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1" w:firstLineChars="500"/>
        <w:outlineLvl w:val="1"/>
        <w:rPr>
          <w:rFonts w:ascii="Times New Roman" w:hAnsi="Times New Roman" w:eastAsia="等线" w:cs="Times New Roman"/>
          <w:szCs w:val="22"/>
          <w:lang w:bidi="ar"/>
        </w:rPr>
      </w:pPr>
      <w:r>
        <w:rPr>
          <w:rFonts w:ascii="Times New Roman" w:hAnsi="Times New Roman" w:eastAsia="等线" w:cs="Times New Roman"/>
          <w:b/>
          <w:bCs/>
          <w:szCs w:val="22"/>
          <w:lang w:bidi="ar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szCs w:val="22"/>
          <w:lang w:val="en-US" w:eastAsia="zh-CN" w:bidi="ar"/>
        </w:rPr>
        <w:t>S1</w:t>
      </w:r>
      <w:r>
        <w:rPr>
          <w:rFonts w:ascii="Times New Roman" w:hAnsi="Times New Roman" w:eastAsia="等线" w:cs="Times New Roman"/>
          <w:b/>
          <w:bCs/>
          <w:szCs w:val="22"/>
          <w:lang w:bidi="ar"/>
        </w:rPr>
        <w:t>. Risk of all-cause mortality by low-high stratification risk group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none" w:color="auto" w:sz="4" w:space="0"/>
          <w:bottom w:val="single" w:color="auto" w:sz="8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826"/>
        <w:gridCol w:w="1381"/>
        <w:gridCol w:w="1566"/>
        <w:gridCol w:w="1005"/>
      </w:tblGrid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24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38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5"/>
                <w:szCs w:val="15"/>
                <w:lang w:bidi="ar"/>
              </w:rPr>
              <w:t>Mortality (%)</w:t>
            </w:r>
          </w:p>
        </w:tc>
        <w:tc>
          <w:tcPr>
            <w:tcW w:w="156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5"/>
                <w:szCs w:val="15"/>
                <w:lang w:bidi="ar"/>
              </w:rPr>
              <w:t>HR (95% CI)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sz w:val="15"/>
                <w:szCs w:val="15"/>
                <w:lang w:bidi="ar"/>
              </w:rPr>
              <w:t>p-value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24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Total points (per 10 units)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42/285 (14.7)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2.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08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78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-2.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43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&lt;0.001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Risk stratification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Low risk (&lt;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94.12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points)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7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/2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45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(6.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9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Ref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High risk (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≥94.12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points)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25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/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40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62.5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)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2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6.89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12.63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sz w:val="15"/>
                <w:szCs w:val="15"/>
                <w:lang w:bidi="ar"/>
              </w:rPr>
              <w:t>57.23</w:t>
            </w: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)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sz w:val="15"/>
                <w:szCs w:val="15"/>
                <w:lang w:bidi="ar"/>
              </w:rPr>
              <w:t>&lt;0.001</w:t>
            </w:r>
          </w:p>
        </w:tc>
      </w:tr>
    </w:tbl>
    <w:p>
      <w:pPr>
        <w:ind w:firstLine="1200" w:firstLineChars="750"/>
      </w:pPr>
      <w:r>
        <w:rPr>
          <w:rFonts w:ascii="Times New Roman" w:hAnsi="Times New Roman" w:eastAsia="等线" w:cs="Times New Roman"/>
          <w:sz w:val="16"/>
          <w:szCs w:val="16"/>
          <w:lang w:bidi="ar"/>
        </w:rPr>
        <w:t>HR hazard ratio, CI confidence interval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NmY3NmQwYTM5OTc3MjhhMzViNzFkMWYyMGFlNTYifQ=="/>
  </w:docVars>
  <w:rsids>
    <w:rsidRoot w:val="00000000"/>
    <w:rsid w:val="37253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2024-04-22T13:29:19Z</dcterms:created>
  <dc:creator>lps</dc:creator>
  <cp:lastModifiedBy>雨季不再来</cp:lastModifiedBy>
  <dcterms:modified xsi:type="dcterms:W3CDTF">2024-04-22T13:29:24Z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FF832441661F4987B6C577A1C828A390_12</vt:lpwstr>
  </property>
</Properties>
</file>