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C74C3" w14:textId="77777777" w:rsidR="0093223D" w:rsidRDefault="00056E78">
      <w:pPr>
        <w:keepNext/>
        <w:pBdr>
          <w:top w:val="nil"/>
          <w:left w:val="nil"/>
          <w:bottom w:val="nil"/>
          <w:right w:val="nil"/>
          <w:between w:val="nil"/>
        </w:pBdr>
        <w:spacing w:before="240" w:after="80"/>
        <w:jc w:val="center"/>
        <w:rPr>
          <w:b/>
          <w:smallCaps/>
        </w:rPr>
      </w:pPr>
      <w:r>
        <w:rPr>
          <w:b/>
          <w:smallCaps/>
        </w:rPr>
        <w:t>SUPPLEMENTARY MATERIAL</w:t>
      </w:r>
    </w:p>
    <w:p w14:paraId="44983747" w14:textId="77777777" w:rsidR="0093223D" w:rsidRDefault="00056E78">
      <w:pPr>
        <w:keepNext/>
        <w:pBdr>
          <w:top w:val="nil"/>
          <w:left w:val="nil"/>
          <w:bottom w:val="nil"/>
          <w:right w:val="nil"/>
          <w:between w:val="nil"/>
        </w:pBdr>
        <w:spacing w:before="240" w:after="80"/>
        <w:jc w:val="center"/>
        <w:rPr>
          <w:smallCaps/>
        </w:rPr>
      </w:pPr>
      <w:r>
        <w:rPr>
          <w:smallCaps/>
          <w:noProof/>
        </w:rPr>
        <w:drawing>
          <wp:inline distT="114300" distB="114300" distL="114300" distR="114300" wp14:anchorId="7D65A09D" wp14:editId="3ECFB506">
            <wp:extent cx="6583680" cy="6985000"/>
            <wp:effectExtent l="0" t="0" r="0" b="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
                    <a:srcRect t="8" b="8"/>
                    <a:stretch>
                      <a:fillRect/>
                    </a:stretch>
                  </pic:blipFill>
                  <pic:spPr>
                    <a:xfrm>
                      <a:off x="0" y="0"/>
                      <a:ext cx="6583680" cy="6985000"/>
                    </a:xfrm>
                    <a:prstGeom prst="rect">
                      <a:avLst/>
                    </a:prstGeom>
                    <a:ln/>
                  </pic:spPr>
                </pic:pic>
              </a:graphicData>
            </a:graphic>
          </wp:inline>
        </w:drawing>
      </w:r>
    </w:p>
    <w:p w14:paraId="1E8D81DA" w14:textId="77777777" w:rsidR="0093223D" w:rsidRDefault="00056E78">
      <w:pPr>
        <w:jc w:val="both"/>
        <w:rPr>
          <w:sz w:val="16"/>
          <w:szCs w:val="16"/>
        </w:rPr>
      </w:pPr>
      <w:r>
        <w:rPr>
          <w:b/>
          <w:sz w:val="16"/>
          <w:szCs w:val="16"/>
        </w:rPr>
        <w:t>Fig 1</w:t>
      </w:r>
      <w:r>
        <w:rPr>
          <w:sz w:val="16"/>
          <w:szCs w:val="16"/>
        </w:rPr>
        <w:t xml:space="preserve"> - Gray and orange dots are the reference/validation samples (humanly interpreted/confirmed). The gray dots represent confirmed non-mining samples, and the orange dots represent mining samples according to human eyes.  A two-stage stratified random sampling approach was used to categorize 52,320 samples, based on a human/visual interpretation procedure, as belonging to the mining or non-mining category. The adopted strategy was weighted by the area of each category/class in relation to the 250 per 250 km grid. A total of 182 grids were necessary to cover Brazil’s extension. </w:t>
      </w:r>
    </w:p>
    <w:p w14:paraId="35BB409E" w14:textId="77777777" w:rsidR="0093223D" w:rsidRDefault="0093223D">
      <w:pPr>
        <w:ind w:firstLine="202"/>
        <w:jc w:val="both"/>
        <w:rPr>
          <w:sz w:val="16"/>
          <w:szCs w:val="16"/>
        </w:rPr>
      </w:pPr>
    </w:p>
    <w:p w14:paraId="6BAABE9E" w14:textId="77777777" w:rsidR="0093223D" w:rsidRDefault="0093223D">
      <w:pPr>
        <w:ind w:firstLine="202"/>
        <w:jc w:val="both"/>
        <w:rPr>
          <w:sz w:val="16"/>
          <w:szCs w:val="16"/>
        </w:rPr>
      </w:pPr>
    </w:p>
    <w:p w14:paraId="105FAFB5" w14:textId="77777777" w:rsidR="0093223D" w:rsidRDefault="00056E78">
      <w:pPr>
        <w:keepNext/>
        <w:spacing w:before="240" w:after="80"/>
        <w:jc w:val="center"/>
        <w:rPr>
          <w:smallCaps/>
        </w:rPr>
      </w:pPr>
      <w:r>
        <w:br w:type="page"/>
      </w:r>
    </w:p>
    <w:p w14:paraId="41E4736B" w14:textId="77777777" w:rsidR="0093223D" w:rsidRDefault="00056E78">
      <w:pPr>
        <w:keepNext/>
        <w:spacing w:before="240" w:after="80"/>
        <w:jc w:val="center"/>
        <w:rPr>
          <w:sz w:val="16"/>
          <w:szCs w:val="16"/>
        </w:rPr>
      </w:pPr>
      <w:r>
        <w:rPr>
          <w:smallCaps/>
          <w:noProof/>
        </w:rPr>
        <w:lastRenderedPageBreak/>
        <w:drawing>
          <wp:inline distT="114300" distB="114300" distL="114300" distR="114300" wp14:anchorId="4160891C" wp14:editId="2F78E086">
            <wp:extent cx="5861139" cy="8308023"/>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t="305" b="305"/>
                    <a:stretch>
                      <a:fillRect/>
                    </a:stretch>
                  </pic:blipFill>
                  <pic:spPr>
                    <a:xfrm>
                      <a:off x="0" y="0"/>
                      <a:ext cx="5861139" cy="8308023"/>
                    </a:xfrm>
                    <a:prstGeom prst="rect">
                      <a:avLst/>
                    </a:prstGeom>
                    <a:ln/>
                  </pic:spPr>
                </pic:pic>
              </a:graphicData>
            </a:graphic>
          </wp:inline>
        </w:drawing>
      </w:r>
    </w:p>
    <w:p w14:paraId="742CA057" w14:textId="77777777" w:rsidR="0093223D" w:rsidRDefault="00056E78">
      <w:pPr>
        <w:jc w:val="both"/>
        <w:rPr>
          <w:sz w:val="16"/>
          <w:szCs w:val="16"/>
          <w:highlight w:val="yellow"/>
        </w:rPr>
      </w:pPr>
      <w:r>
        <w:rPr>
          <w:b/>
          <w:sz w:val="16"/>
          <w:szCs w:val="16"/>
        </w:rPr>
        <w:t>Fig 2</w:t>
      </w:r>
      <w:r>
        <w:rPr>
          <w:sz w:val="16"/>
          <w:szCs w:val="16"/>
        </w:rPr>
        <w:t xml:space="preserve"> </w:t>
      </w:r>
      <w:r>
        <w:rPr>
          <w:b/>
          <w:sz w:val="16"/>
          <w:szCs w:val="16"/>
        </w:rPr>
        <w:t xml:space="preserve">- </w:t>
      </w:r>
      <w:r w:rsidRPr="005A3B51">
        <w:rPr>
          <w:b/>
          <w:bCs/>
          <w:sz w:val="16"/>
          <w:szCs w:val="16"/>
        </w:rPr>
        <w:t>Error matrix and locally distributed accuracy metrics from 2020 to 2005</w:t>
      </w:r>
      <w:r>
        <w:rPr>
          <w:sz w:val="16"/>
          <w:szCs w:val="16"/>
        </w:rPr>
        <w:t xml:space="preserve">. The accuracy metrics for each graphed year are above 90%. Exception to the PA metrics varies between 73% and 77%. This represents that the quantity of false mining classifications of </w:t>
      </w:r>
      <w:r>
        <w:rPr>
          <w:i/>
          <w:sz w:val="16"/>
          <w:szCs w:val="16"/>
        </w:rPr>
        <w:t xml:space="preserve">garimpo </w:t>
      </w:r>
      <w:r>
        <w:rPr>
          <w:sz w:val="16"/>
          <w:szCs w:val="16"/>
        </w:rPr>
        <w:t>is small, but there is still some mining omission to be captured.</w:t>
      </w:r>
      <w:r>
        <w:br w:type="page"/>
      </w:r>
    </w:p>
    <w:p w14:paraId="6F102CF4" w14:textId="77777777" w:rsidR="0093223D" w:rsidRDefault="00056E78">
      <w:pPr>
        <w:keepNext/>
        <w:spacing w:before="240" w:after="80"/>
        <w:jc w:val="center"/>
        <w:rPr>
          <w:sz w:val="16"/>
          <w:szCs w:val="16"/>
        </w:rPr>
      </w:pPr>
      <w:r>
        <w:rPr>
          <w:smallCaps/>
          <w:noProof/>
        </w:rPr>
        <w:lastRenderedPageBreak/>
        <w:drawing>
          <wp:inline distT="114300" distB="114300" distL="114300" distR="114300" wp14:anchorId="4B4A36FE" wp14:editId="792C7E98">
            <wp:extent cx="5861139" cy="8308023"/>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t="305" b="305"/>
                    <a:stretch>
                      <a:fillRect/>
                    </a:stretch>
                  </pic:blipFill>
                  <pic:spPr>
                    <a:xfrm>
                      <a:off x="0" y="0"/>
                      <a:ext cx="5861139" cy="8308023"/>
                    </a:xfrm>
                    <a:prstGeom prst="rect">
                      <a:avLst/>
                    </a:prstGeom>
                    <a:ln/>
                  </pic:spPr>
                </pic:pic>
              </a:graphicData>
            </a:graphic>
          </wp:inline>
        </w:drawing>
      </w:r>
    </w:p>
    <w:p w14:paraId="5A997683" w14:textId="77777777" w:rsidR="0093223D" w:rsidRDefault="00056E78">
      <w:pPr>
        <w:jc w:val="both"/>
        <w:rPr>
          <w:sz w:val="16"/>
          <w:szCs w:val="16"/>
        </w:rPr>
      </w:pPr>
      <w:r>
        <w:rPr>
          <w:b/>
          <w:sz w:val="16"/>
          <w:szCs w:val="16"/>
        </w:rPr>
        <w:t xml:space="preserve">Fig 3 - </w:t>
      </w:r>
      <w:r w:rsidRPr="005A3B51">
        <w:rPr>
          <w:b/>
          <w:bCs/>
          <w:sz w:val="16"/>
          <w:szCs w:val="16"/>
        </w:rPr>
        <w:t>Error matrix and locally distributed accuracy metrics from 2000 to 1985</w:t>
      </w:r>
      <w:r>
        <w:rPr>
          <w:sz w:val="16"/>
          <w:szCs w:val="16"/>
        </w:rPr>
        <w:t>. Each year's OA and CA metrics are above 90%. However, the PA metrics vary between 64% and 70%. Hence, the quantity of false mining classifications is small, but some mining omissions still need to be accounted for. Moreover, 1985, 1990, and 1995 are the years that suffered the most from mining omissions.</w:t>
      </w:r>
    </w:p>
    <w:sectPr w:rsidR="0093223D">
      <w:headerReference w:type="default" r:id="rId10"/>
      <w:pgSz w:w="12240" w:h="15840"/>
      <w:pgMar w:top="1009" w:right="936" w:bottom="1009" w:left="936" w:header="431" w:footer="43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88C8A5" w14:textId="77777777" w:rsidR="00D65FBF" w:rsidRDefault="00D65FBF">
      <w:r>
        <w:separator/>
      </w:r>
    </w:p>
  </w:endnote>
  <w:endnote w:type="continuationSeparator" w:id="0">
    <w:p w14:paraId="6C4DFB31" w14:textId="77777777" w:rsidR="00D65FBF" w:rsidRDefault="00D65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EFF53" w14:textId="77777777" w:rsidR="00D65FBF" w:rsidRDefault="00D65FBF">
      <w:r>
        <w:separator/>
      </w:r>
    </w:p>
  </w:footnote>
  <w:footnote w:type="continuationSeparator" w:id="0">
    <w:p w14:paraId="6E045261" w14:textId="77777777" w:rsidR="00D65FBF" w:rsidRDefault="00D65F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7FF20" w14:textId="77777777" w:rsidR="0093223D" w:rsidRDefault="00056E78">
    <w:pPr>
      <w:jc w:val="right"/>
    </w:pPr>
    <w:r>
      <w:fldChar w:fldCharType="begin"/>
    </w:r>
    <w:r>
      <w:instrText>PAGE</w:instrText>
    </w:r>
    <w:r>
      <w:fldChar w:fldCharType="separate"/>
    </w:r>
    <w:r w:rsidR="005201CF">
      <w:rPr>
        <w:noProof/>
      </w:rPr>
      <w:t>1</w:t>
    </w:r>
    <w:r>
      <w:fldChar w:fldCharType="end"/>
    </w:r>
  </w:p>
  <w:p w14:paraId="63C337AE" w14:textId="77777777" w:rsidR="0093223D" w:rsidRDefault="0093223D">
    <w:pP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C206D3"/>
    <w:multiLevelType w:val="multilevel"/>
    <w:tmpl w:val="E572F0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65AA04BF"/>
    <w:multiLevelType w:val="multilevel"/>
    <w:tmpl w:val="86BAF834"/>
    <w:lvl w:ilvl="0">
      <w:start w:val="1"/>
      <w:numFmt w:val="upperRoman"/>
      <w:lvlText w:val="%1."/>
      <w:lvlJc w:val="left"/>
      <w:pPr>
        <w:ind w:left="0" w:firstLine="0"/>
      </w:pPr>
    </w:lvl>
    <w:lvl w:ilvl="1">
      <w:start w:val="1"/>
      <w:numFmt w:val="upperLetter"/>
      <w:lvlText w:val="%2."/>
      <w:lvlJc w:val="left"/>
      <w:pPr>
        <w:ind w:left="0" w:firstLine="0"/>
      </w:pPr>
      <w:rPr>
        <w:b w:val="0"/>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num w:numId="1" w16cid:durableId="1629362285">
    <w:abstractNumId w:val="0"/>
  </w:num>
  <w:num w:numId="2" w16cid:durableId="20325659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TAyMzc3sjCysDQ0NTBS0lEKTi0uzszPAykwrAUAP6t13SwAAAA="/>
  </w:docVars>
  <w:rsids>
    <w:rsidRoot w:val="0093223D"/>
    <w:rsid w:val="00056E78"/>
    <w:rsid w:val="002C738C"/>
    <w:rsid w:val="005201CF"/>
    <w:rsid w:val="005A3B51"/>
    <w:rsid w:val="0093223D"/>
    <w:rsid w:val="00D65FBF"/>
    <w:rsid w:val="00DC13C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0A944"/>
  <w15:docId w15:val="{3E1C1AD3-6919-4051-880E-D25CACFCB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80"/>
      <w:jc w:val="center"/>
      <w:outlineLvl w:val="0"/>
    </w:pPr>
    <w:rPr>
      <w:smallCaps/>
    </w:rPr>
  </w:style>
  <w:style w:type="paragraph" w:styleId="Heading2">
    <w:name w:val="heading 2"/>
    <w:basedOn w:val="Normal"/>
    <w:next w:val="Normal"/>
    <w:uiPriority w:val="9"/>
    <w:unhideWhenUsed/>
    <w:qFormat/>
    <w:pPr>
      <w:keepNext/>
      <w:spacing w:before="120" w:after="60"/>
      <w:outlineLvl w:val="1"/>
    </w:pPr>
    <w:rPr>
      <w:i/>
    </w:rPr>
  </w:style>
  <w:style w:type="paragraph" w:styleId="Heading3">
    <w:name w:val="heading 3"/>
    <w:basedOn w:val="Normal"/>
    <w:next w:val="Normal"/>
    <w:uiPriority w:val="9"/>
    <w:semiHidden/>
    <w:unhideWhenUsed/>
    <w:qFormat/>
    <w:pPr>
      <w:keepNext/>
      <w:outlineLvl w:val="2"/>
    </w:pPr>
    <w:rPr>
      <w:i/>
    </w:rPr>
  </w:style>
  <w:style w:type="paragraph" w:styleId="Heading4">
    <w:name w:val="heading 4"/>
    <w:basedOn w:val="Normal"/>
    <w:next w:val="Normal"/>
    <w:uiPriority w:val="9"/>
    <w:semiHidden/>
    <w:unhideWhenUsed/>
    <w:qFormat/>
    <w:pPr>
      <w:keepNext/>
      <w:spacing w:before="240" w:after="60"/>
      <w:ind w:left="1152" w:hanging="720"/>
      <w:outlineLvl w:val="3"/>
    </w:pPr>
    <w:rPr>
      <w:i/>
      <w:sz w:val="18"/>
      <w:szCs w:val="18"/>
    </w:rPr>
  </w:style>
  <w:style w:type="paragraph" w:styleId="Heading5">
    <w:name w:val="heading 5"/>
    <w:basedOn w:val="Normal"/>
    <w:next w:val="Normal"/>
    <w:uiPriority w:val="9"/>
    <w:semiHidden/>
    <w:unhideWhenUsed/>
    <w:qFormat/>
    <w:pPr>
      <w:spacing w:before="240" w:after="60"/>
      <w:ind w:left="1872" w:hanging="720"/>
      <w:outlineLvl w:val="4"/>
    </w:pPr>
    <w:rPr>
      <w:sz w:val="18"/>
      <w:szCs w:val="18"/>
    </w:rPr>
  </w:style>
  <w:style w:type="paragraph" w:styleId="Heading6">
    <w:name w:val="heading 6"/>
    <w:basedOn w:val="Normal"/>
    <w:next w:val="Normal"/>
    <w:uiPriority w:val="9"/>
    <w:semiHidden/>
    <w:unhideWhenUsed/>
    <w:qFormat/>
    <w:pPr>
      <w:spacing w:before="240" w:after="60"/>
      <w:ind w:left="2592" w:hanging="720"/>
      <w:outlineLvl w:val="5"/>
    </w:pPr>
    <w:rPr>
      <w:i/>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jc w:val="center"/>
    </w:pPr>
    <w:rPr>
      <w:sz w:val="48"/>
      <w:szCs w:val="4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top w:w="100" w:type="dxa"/>
        <w:left w:w="100" w:type="dxa"/>
        <w:bottom w:w="100" w:type="dxa"/>
        <w:right w:w="100" w:type="dxa"/>
      </w:tblCellMar>
    </w:tblPr>
  </w:style>
  <w:style w:type="table" w:customStyle="1" w:styleId="a0">
    <w:basedOn w:val="TableNormal1"/>
    <w:tblPr>
      <w:tblStyleRowBandSize w:val="1"/>
      <w:tblStyleColBandSize w:val="1"/>
      <w:tblCellMar>
        <w:left w:w="108" w:type="dxa"/>
        <w:right w:w="108" w:type="dxa"/>
      </w:tblCellMar>
    </w:tblPr>
  </w:style>
  <w:style w:type="table" w:customStyle="1" w:styleId="a1">
    <w:basedOn w:val="TableNormal1"/>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200</Words>
  <Characters>1146</Characters>
  <Application>Microsoft Office Word</Application>
  <DocSecurity>0</DocSecurity>
  <Lines>9</Lines>
  <Paragraphs>2</Paragraphs>
  <ScaleCrop>false</ScaleCrop>
  <Company/>
  <LinksUpToDate>false</LinksUpToDate>
  <CharactersWithSpaces>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Poonam Mutha</cp:lastModifiedBy>
  <cp:revision>3</cp:revision>
  <dcterms:created xsi:type="dcterms:W3CDTF">2024-04-22T14:00:00Z</dcterms:created>
  <dcterms:modified xsi:type="dcterms:W3CDTF">2024-04-25T05:56:00Z</dcterms:modified>
</cp:coreProperties>
</file>