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34CED" w14:textId="77777777" w:rsidR="00F0684A" w:rsidRDefault="00F0684A" w:rsidP="00F0684A">
      <w:pPr>
        <w:spacing w:line="480" w:lineRule="auto"/>
      </w:pPr>
      <w:r>
        <w:rPr>
          <w:noProof/>
        </w:rPr>
        <w:drawing>
          <wp:inline distT="0" distB="0" distL="0" distR="0" wp14:anchorId="00FFFDCA" wp14:editId="77B7E920">
            <wp:extent cx="6119495" cy="3736427"/>
            <wp:effectExtent l="0" t="0" r="14605" b="1651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2539868E-034B-D62C-325A-6A2BA12E79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B7B17B0" w14:textId="77777777" w:rsidR="00F0684A" w:rsidRDefault="00F0684A" w:rsidP="00F0684A">
      <w:pPr>
        <w:spacing w:line="480" w:lineRule="auto"/>
      </w:pPr>
      <w:r>
        <w:rPr>
          <w:noProof/>
        </w:rPr>
        <w:drawing>
          <wp:inline distT="0" distB="0" distL="0" distR="0" wp14:anchorId="65775A0C" wp14:editId="2EC6799E">
            <wp:extent cx="6119495" cy="3815255"/>
            <wp:effectExtent l="0" t="0" r="14605" b="13970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0740F989-E8B2-FAEA-1442-FE0FB58525A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C486A85" w14:textId="77777777" w:rsidR="00F0684A" w:rsidRDefault="00F0684A" w:rsidP="00F0684A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0F347486" wp14:editId="6A66EF26">
            <wp:extent cx="6148245" cy="3815255"/>
            <wp:effectExtent l="0" t="0" r="5080" b="1397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FCA90C80-68A7-9969-3EED-F70710744D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t xml:space="preserve"> </w:t>
      </w:r>
    </w:p>
    <w:p w14:paraId="512B30E7" w14:textId="77777777" w:rsidR="00F0684A" w:rsidRPr="005261E9" w:rsidRDefault="00F0684A" w:rsidP="00F0684A">
      <w:pPr>
        <w:spacing w:line="480" w:lineRule="auto"/>
      </w:pPr>
      <w:r>
        <w:rPr>
          <w:b/>
          <w:bCs/>
        </w:rPr>
        <w:t>Chart 1</w:t>
      </w:r>
      <w:r w:rsidRPr="005261E9">
        <w:rPr>
          <w:b/>
          <w:bCs/>
        </w:rPr>
        <w:t>:</w:t>
      </w:r>
      <w:r>
        <w:rPr>
          <w:b/>
          <w:bCs/>
        </w:rPr>
        <w:t xml:space="preserve"> </w:t>
      </w:r>
      <w:r w:rsidRPr="00FB1209">
        <w:t>Prevalence of hypertension according to background characteristics India, 2019-21</w:t>
      </w:r>
    </w:p>
    <w:p w14:paraId="32259430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4A"/>
    <w:rsid w:val="003C2EF4"/>
    <w:rsid w:val="00F0684A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5A782"/>
  <w15:chartTrackingRefBased/>
  <w15:docId w15:val="{6E9DEBB2-36FD-4EDE-9279-0019D729F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84A"/>
    <w:rPr>
      <w:rFonts w:ascii="Times New Roman" w:hAnsi="Times New Roman" w:cs="Arial"/>
      <w:color w:val="333333"/>
      <w:kern w:val="0"/>
      <w:sz w:val="24"/>
      <w:szCs w:val="18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G:\My%20Drive\IIPS%20PhD%202022\Pre_PhD\SecondaryDataPaper\Copy%20of%20AnalysisTables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G:\My%20Drive\IIPS%20PhD%202022\Pre_PhD\SecondaryDataPaper\AnalysisTables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G:\My%20Drive\IIPS%20PhD%202022\Pre_PhD\SecondaryDataPaper\AnalysisTables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735314760450004"/>
          <c:y val="7.0558050032071842E-2"/>
          <c:w val="0.85981817127066862"/>
          <c:h val="0.534563848216856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chart!$C$20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chart!$B$21:$B$31</c:f>
              <c:strCache>
                <c:ptCount val="11"/>
                <c:pt idx="0">
                  <c:v>Hindu</c:v>
                </c:pt>
                <c:pt idx="1">
                  <c:v>Muslim</c:v>
                </c:pt>
                <c:pt idx="2">
                  <c:v>Others</c:v>
                </c:pt>
                <c:pt idx="4">
                  <c:v>None</c:v>
                </c:pt>
                <c:pt idx="5">
                  <c:v>SC</c:v>
                </c:pt>
                <c:pt idx="6">
                  <c:v>ST</c:v>
                </c:pt>
                <c:pt idx="7">
                  <c:v>OBC</c:v>
                </c:pt>
                <c:pt idx="9">
                  <c:v>Married</c:v>
                </c:pt>
                <c:pt idx="10">
                  <c:v>Others</c:v>
                </c:pt>
              </c:strCache>
            </c:strRef>
          </c:cat>
          <c:val>
            <c:numRef>
              <c:f>chart!$C$21:$C$31</c:f>
              <c:numCache>
                <c:formatCode>0.0</c:formatCode>
                <c:ptCount val="11"/>
                <c:pt idx="0">
                  <c:v>24</c:v>
                </c:pt>
                <c:pt idx="1">
                  <c:v>21.6</c:v>
                </c:pt>
                <c:pt idx="2">
                  <c:v>30.4</c:v>
                </c:pt>
                <c:pt idx="4">
                  <c:v>27</c:v>
                </c:pt>
                <c:pt idx="5">
                  <c:v>22.900000000000002</c:v>
                </c:pt>
                <c:pt idx="6">
                  <c:v>22.3</c:v>
                </c:pt>
                <c:pt idx="7">
                  <c:v>23.9</c:v>
                </c:pt>
                <c:pt idx="9">
                  <c:v>29.299999999999997</c:v>
                </c:pt>
                <c:pt idx="10">
                  <c:v>12.6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C85-459F-B8D0-099B43E41A9F}"/>
            </c:ext>
          </c:extLst>
        </c:ser>
        <c:ser>
          <c:idx val="1"/>
          <c:order val="1"/>
          <c:tx>
            <c:strRef>
              <c:f>chart!$D$20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chart!$B$21:$B$31</c:f>
              <c:strCache>
                <c:ptCount val="11"/>
                <c:pt idx="0">
                  <c:v>Hindu</c:v>
                </c:pt>
                <c:pt idx="1">
                  <c:v>Muslim</c:v>
                </c:pt>
                <c:pt idx="2">
                  <c:v>Others</c:v>
                </c:pt>
                <c:pt idx="4">
                  <c:v>None</c:v>
                </c:pt>
                <c:pt idx="5">
                  <c:v>SC</c:v>
                </c:pt>
                <c:pt idx="6">
                  <c:v>ST</c:v>
                </c:pt>
                <c:pt idx="7">
                  <c:v>OBC</c:v>
                </c:pt>
                <c:pt idx="9">
                  <c:v>Married</c:v>
                </c:pt>
                <c:pt idx="10">
                  <c:v>Others</c:v>
                </c:pt>
              </c:strCache>
            </c:strRef>
          </c:cat>
          <c:val>
            <c:numRef>
              <c:f>chart!$D$21:$D$31</c:f>
              <c:numCache>
                <c:formatCode>0.0</c:formatCode>
                <c:ptCount val="11"/>
                <c:pt idx="0">
                  <c:v>20.9</c:v>
                </c:pt>
                <c:pt idx="1">
                  <c:v>20.9</c:v>
                </c:pt>
                <c:pt idx="2">
                  <c:v>26.6</c:v>
                </c:pt>
                <c:pt idx="4">
                  <c:v>24</c:v>
                </c:pt>
                <c:pt idx="5">
                  <c:v>19.400000000000002</c:v>
                </c:pt>
                <c:pt idx="6">
                  <c:v>19.600000000000001</c:v>
                </c:pt>
                <c:pt idx="7">
                  <c:v>21</c:v>
                </c:pt>
                <c:pt idx="9">
                  <c:v>20.9</c:v>
                </c:pt>
                <c:pt idx="10">
                  <c:v>21.9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C85-459F-B8D0-099B43E41A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86731855"/>
        <c:axId val="1986733935"/>
      </c:barChart>
      <c:catAx>
        <c:axId val="198673185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6733935"/>
        <c:crosses val="autoZero"/>
        <c:auto val="1"/>
        <c:lblAlgn val="ctr"/>
        <c:lblOffset val="100"/>
        <c:noMultiLvlLbl val="0"/>
      </c:catAx>
      <c:valAx>
        <c:axId val="1986733935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 b="0" i="0" u="none" strike="noStrike" baseline="0">
                    <a:effectLst/>
                  </a:rPr>
                  <a:t>Percentage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2.1879092964370427E-2"/>
              <c:y val="0.1525355738232961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6731855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5553149606299214E-2"/>
          <c:y val="0.17171296296296296"/>
          <c:w val="0.88389129483814521"/>
          <c:h val="0.6213017631936482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chart!$C$32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chart!$B$33:$B$42</c:f>
              <c:strCache>
                <c:ptCount val="10"/>
                <c:pt idx="0">
                  <c:v>Non-literate</c:v>
                </c:pt>
                <c:pt idx="1">
                  <c:v>Primary</c:v>
                </c:pt>
                <c:pt idx="2">
                  <c:v>Secondary</c:v>
                </c:pt>
                <c:pt idx="3">
                  <c:v>Higher</c:v>
                </c:pt>
                <c:pt idx="5">
                  <c:v>Poorest</c:v>
                </c:pt>
                <c:pt idx="6">
                  <c:v>Poorer</c:v>
                </c:pt>
                <c:pt idx="7">
                  <c:v>Middle</c:v>
                </c:pt>
                <c:pt idx="8">
                  <c:v>Richer</c:v>
                </c:pt>
                <c:pt idx="9">
                  <c:v>Richest</c:v>
                </c:pt>
              </c:strCache>
            </c:strRef>
          </c:cat>
          <c:val>
            <c:numRef>
              <c:f>chart!$C$33:$C$42</c:f>
              <c:numCache>
                <c:formatCode>0.0</c:formatCode>
                <c:ptCount val="10"/>
                <c:pt idx="0">
                  <c:v>29.299999999999997</c:v>
                </c:pt>
                <c:pt idx="1">
                  <c:v>28.7</c:v>
                </c:pt>
                <c:pt idx="2">
                  <c:v>21.9</c:v>
                </c:pt>
                <c:pt idx="3">
                  <c:v>22</c:v>
                </c:pt>
                <c:pt idx="5">
                  <c:v>19.600000000000001</c:v>
                </c:pt>
                <c:pt idx="6">
                  <c:v>20.9</c:v>
                </c:pt>
                <c:pt idx="7">
                  <c:v>23.3</c:v>
                </c:pt>
                <c:pt idx="8">
                  <c:v>26.200000000000003</c:v>
                </c:pt>
                <c:pt idx="9">
                  <c:v>29.799999999999997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D55-4A1F-A033-CA8B324755DA}"/>
            </c:ext>
          </c:extLst>
        </c:ser>
        <c:ser>
          <c:idx val="1"/>
          <c:order val="1"/>
          <c:tx>
            <c:strRef>
              <c:f>chart!$D$32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chart!$B$33:$B$42</c:f>
              <c:strCache>
                <c:ptCount val="10"/>
                <c:pt idx="0">
                  <c:v>Non-literate</c:v>
                </c:pt>
                <c:pt idx="1">
                  <c:v>Primary</c:v>
                </c:pt>
                <c:pt idx="2">
                  <c:v>Secondary</c:v>
                </c:pt>
                <c:pt idx="3">
                  <c:v>Higher</c:v>
                </c:pt>
                <c:pt idx="5">
                  <c:v>Poorest</c:v>
                </c:pt>
                <c:pt idx="6">
                  <c:v>Poorer</c:v>
                </c:pt>
                <c:pt idx="7">
                  <c:v>Middle</c:v>
                </c:pt>
                <c:pt idx="8">
                  <c:v>Richer</c:v>
                </c:pt>
                <c:pt idx="9">
                  <c:v>Richest</c:v>
                </c:pt>
              </c:strCache>
            </c:strRef>
          </c:cat>
          <c:val>
            <c:numRef>
              <c:f>chart!$D$33:$D$42</c:f>
              <c:numCache>
                <c:formatCode>0.0</c:formatCode>
                <c:ptCount val="10"/>
                <c:pt idx="0">
                  <c:v>30.9</c:v>
                </c:pt>
                <c:pt idx="1">
                  <c:v>26.3</c:v>
                </c:pt>
                <c:pt idx="2">
                  <c:v>14.499999999999998</c:v>
                </c:pt>
                <c:pt idx="3">
                  <c:v>10.9</c:v>
                </c:pt>
                <c:pt idx="5">
                  <c:v>18.5</c:v>
                </c:pt>
                <c:pt idx="6">
                  <c:v>19.100000000000001</c:v>
                </c:pt>
                <c:pt idx="7">
                  <c:v>21.099999999999998</c:v>
                </c:pt>
                <c:pt idx="8">
                  <c:v>22.5</c:v>
                </c:pt>
                <c:pt idx="9">
                  <c:v>24.8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D55-4A1F-A033-CA8B324755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53016415"/>
        <c:axId val="1753016831"/>
      </c:barChart>
      <c:catAx>
        <c:axId val="17530164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53016831"/>
        <c:crosses val="autoZero"/>
        <c:auto val="0"/>
        <c:lblAlgn val="ctr"/>
        <c:lblOffset val="100"/>
        <c:noMultiLvlLbl val="0"/>
      </c:catAx>
      <c:valAx>
        <c:axId val="175301683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Percentage</a:t>
                </a:r>
              </a:p>
            </c:rich>
          </c:tx>
          <c:layout>
            <c:manualLayout>
              <c:xMode val="edge"/>
              <c:yMode val="edge"/>
              <c:x val="1.2452007886271661E-2"/>
              <c:y val="0.179412908537170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53016415"/>
        <c:crosses val="autoZero"/>
        <c:crossBetween val="midCat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735314760450004"/>
          <c:y val="5.8262711864406777E-2"/>
          <c:w val="0.83376781907657416"/>
          <c:h val="0.658122164019751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chart!$C$43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chart!$B$44:$B$54</c:f>
              <c:strCache>
                <c:ptCount val="11"/>
                <c:pt idx="0">
                  <c:v>Nouser</c:v>
                </c:pt>
                <c:pt idx="1">
                  <c:v>Tobacco user</c:v>
                </c:pt>
                <c:pt idx="3">
                  <c:v>Non Drinker</c:v>
                </c:pt>
                <c:pt idx="4">
                  <c:v>Drinker</c:v>
                </c:pt>
                <c:pt idx="6">
                  <c:v>Normal</c:v>
                </c:pt>
                <c:pt idx="7">
                  <c:v>Thin</c:v>
                </c:pt>
                <c:pt idx="8">
                  <c:v>Overweight</c:v>
                </c:pt>
                <c:pt idx="9">
                  <c:v>Obese</c:v>
                </c:pt>
                <c:pt idx="10">
                  <c:v>BMI not measured</c:v>
                </c:pt>
              </c:strCache>
            </c:strRef>
          </c:cat>
          <c:val>
            <c:numRef>
              <c:f>chart!$C$44:$C$54</c:f>
              <c:numCache>
                <c:formatCode>0.0</c:formatCode>
                <c:ptCount val="11"/>
                <c:pt idx="0">
                  <c:v>22.400000000000002</c:v>
                </c:pt>
                <c:pt idx="1">
                  <c:v>26.8</c:v>
                </c:pt>
                <c:pt idx="3">
                  <c:v>22.7</c:v>
                </c:pt>
                <c:pt idx="4">
                  <c:v>30.2</c:v>
                </c:pt>
                <c:pt idx="6">
                  <c:v>15.9</c:v>
                </c:pt>
                <c:pt idx="7">
                  <c:v>8</c:v>
                </c:pt>
                <c:pt idx="8">
                  <c:v>30.3</c:v>
                </c:pt>
                <c:pt idx="9">
                  <c:v>39.4</c:v>
                </c:pt>
                <c:pt idx="10">
                  <c:v>24.9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43F-45AD-B033-B4903FF7137D}"/>
            </c:ext>
          </c:extLst>
        </c:ser>
        <c:ser>
          <c:idx val="1"/>
          <c:order val="1"/>
          <c:tx>
            <c:strRef>
              <c:f>chart!$D$43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chart!$B$44:$B$54</c:f>
              <c:strCache>
                <c:ptCount val="11"/>
                <c:pt idx="0">
                  <c:v>Nouser</c:v>
                </c:pt>
                <c:pt idx="1">
                  <c:v>Tobacco user</c:v>
                </c:pt>
                <c:pt idx="3">
                  <c:v>Non Drinker</c:v>
                </c:pt>
                <c:pt idx="4">
                  <c:v>Drinker</c:v>
                </c:pt>
                <c:pt idx="6">
                  <c:v>Normal</c:v>
                </c:pt>
                <c:pt idx="7">
                  <c:v>Thin</c:v>
                </c:pt>
                <c:pt idx="8">
                  <c:v>Overweight</c:v>
                </c:pt>
                <c:pt idx="9">
                  <c:v>Obese</c:v>
                </c:pt>
                <c:pt idx="10">
                  <c:v>BMI not measured</c:v>
                </c:pt>
              </c:strCache>
            </c:strRef>
          </c:cat>
          <c:val>
            <c:numRef>
              <c:f>chart!$D$44:$D$54</c:f>
              <c:numCache>
                <c:formatCode>0.0</c:formatCode>
                <c:ptCount val="11"/>
                <c:pt idx="0">
                  <c:v>20.3</c:v>
                </c:pt>
                <c:pt idx="1">
                  <c:v>30.7</c:v>
                </c:pt>
                <c:pt idx="3">
                  <c:v>21.099999999999998</c:v>
                </c:pt>
                <c:pt idx="4">
                  <c:v>30.7</c:v>
                </c:pt>
                <c:pt idx="6">
                  <c:v>9.4</c:v>
                </c:pt>
                <c:pt idx="7">
                  <c:v>5.8999999999999995</c:v>
                </c:pt>
                <c:pt idx="8">
                  <c:v>19.2</c:v>
                </c:pt>
                <c:pt idx="9">
                  <c:v>27.900000000000002</c:v>
                </c:pt>
                <c:pt idx="10">
                  <c:v>44.9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43F-45AD-B033-B4903FF713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90006079"/>
        <c:axId val="2090005663"/>
      </c:barChart>
      <c:catAx>
        <c:axId val="209000607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90005663"/>
        <c:crosses val="autoZero"/>
        <c:auto val="1"/>
        <c:lblAlgn val="ctr"/>
        <c:lblOffset val="100"/>
        <c:noMultiLvlLbl val="0"/>
      </c:catAx>
      <c:valAx>
        <c:axId val="2090005663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 b="0" i="0" u="none" strike="noStrike" baseline="0">
                    <a:effectLst/>
                  </a:rPr>
                  <a:t>Percentage</a:t>
                </a:r>
                <a:endParaRPr lang="en-IN"/>
              </a:p>
            </c:rich>
          </c:tx>
          <c:layout>
            <c:manualLayout>
              <c:xMode val="edge"/>
              <c:yMode val="edge"/>
              <c:x val="2.3954427612082371E-2"/>
              <c:y val="0.2498636227145335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90006079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0.14787</cdr:x>
      <cdr:y>0.06261</cdr:y>
    </cdr:from>
    <cdr:to>
      <cdr:x>0.27854</cdr:x>
      <cdr:y>0.20974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904861" y="115651"/>
          <a:ext cx="799641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Religion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0.5186</cdr:x>
      <cdr:y>0.02692</cdr:y>
    </cdr:from>
    <cdr:to>
      <cdr:x>0.64927</cdr:x>
      <cdr:y>0.17405</cdr:y>
    </cdr:to>
    <cdr:sp macro="" textlink="">
      <cdr:nvSpPr>
        <cdr:cNvPr id="3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3173567" y="49719"/>
          <a:ext cx="799641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Caste/Tribe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0.80117</cdr:x>
      <cdr:y>0.01989</cdr:y>
    </cdr:from>
    <cdr:to>
      <cdr:x>1</cdr:x>
      <cdr:y>0.16702</cdr:y>
    </cdr:to>
    <cdr:sp macro="" textlink="">
      <cdr:nvSpPr>
        <cdr:cNvPr id="4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902740" y="36749"/>
          <a:ext cx="1216755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Current Marital Status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0.19767</cdr:x>
      <cdr:y>0.00928</cdr:y>
    </cdr:from>
    <cdr:to>
      <cdr:x>0.36667</cdr:x>
      <cdr:y>0.14655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209660" y="18374"/>
          <a:ext cx="1034186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Education Level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0.6659</cdr:x>
      <cdr:y>0.03166</cdr:y>
    </cdr:from>
    <cdr:to>
      <cdr:x>0.84144</cdr:x>
      <cdr:y>0.16893</cdr:y>
    </cdr:to>
    <cdr:sp macro="" textlink="">
      <cdr:nvSpPr>
        <cdr:cNvPr id="3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074997" y="62689"/>
          <a:ext cx="1074178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Wealth</a:t>
          </a:r>
          <a:r>
            <a:rPr lang="en-IN" sz="1000" baseline="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 Index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0.67421</cdr:x>
      <cdr:y>0.04733</cdr:y>
    </cdr:from>
    <cdr:to>
      <cdr:x>0.84974</cdr:x>
      <cdr:y>0.16068</cdr:y>
    </cdr:to>
    <cdr:sp macro="" textlink="">
      <cdr:nvSpPr>
        <cdr:cNvPr id="2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125797" y="113489"/>
          <a:ext cx="1074178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Body Mass</a:t>
          </a:r>
          <a:r>
            <a:rPr lang="en-IN" sz="1000" baseline="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 Index (BMI)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0.33297</cdr:x>
      <cdr:y>0.07438</cdr:y>
    </cdr:from>
    <cdr:to>
      <cdr:x>0.5085</cdr:x>
      <cdr:y>0.18773</cdr:y>
    </cdr:to>
    <cdr:sp macro="" textlink="">
      <cdr:nvSpPr>
        <cdr:cNvPr id="3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037593" y="178340"/>
          <a:ext cx="1074178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Alcohol use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  <cdr:relSizeAnchor xmlns:cdr="http://schemas.openxmlformats.org/drawingml/2006/chartDrawing">
    <cdr:from>
      <cdr:x>0.11021</cdr:x>
      <cdr:y>0.07934</cdr:y>
    </cdr:from>
    <cdr:to>
      <cdr:x>0.26494</cdr:x>
      <cdr:y>0.19268</cdr:y>
    </cdr:to>
    <cdr:sp macro="" textlink="">
      <cdr:nvSpPr>
        <cdr:cNvPr id="4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674450" y="190229"/>
          <a:ext cx="946825" cy="271780"/>
        </a:xfrm>
        <a:prstGeom xmlns:a="http://schemas.openxmlformats.org/drawingml/2006/main" prst="rect">
          <a:avLst/>
        </a:prstGeom>
        <a:solidFill xmlns:a="http://schemas.openxmlformats.org/drawingml/2006/main">
          <a:srgbClr val="FFFFFF"/>
        </a:solidFill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>
            <a:lnSpc>
              <a:spcPct val="107000"/>
            </a:lnSpc>
            <a:spcAft>
              <a:spcPts val="800"/>
            </a:spcAft>
          </a:pPr>
          <a:r>
            <a:rPr lang="en-IN" sz="1000">
              <a:solidFill>
                <a:srgbClr val="333333"/>
              </a:solidFill>
              <a:effectLst/>
              <a:latin typeface="Calibri" panose="020F0502020204030204" pitchFamily="34" charset="0"/>
              <a:ea typeface="Calibri" panose="020F0502020204030204" pitchFamily="34" charset="0"/>
              <a:cs typeface="Arial" panose="020B0604020202020204" pitchFamily="34" charset="0"/>
            </a:rPr>
            <a:t>Tobacco use</a:t>
          </a:r>
          <a:endParaRPr lang="en-IN" sz="1200">
            <a:solidFill>
              <a:srgbClr val="333333"/>
            </a:solidFill>
            <a:effectLst/>
            <a:latin typeface="Times New Roman" panose="02020603050405020304" pitchFamily="18" charset="0"/>
            <a:ea typeface="Calibri" panose="020F0502020204030204" pitchFamily="34" charset="0"/>
            <a:cs typeface="Arial" panose="020B0604020202020204" pitchFamily="3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</Words>
  <Characters>85</Characters>
  <Application>Microsoft Office Word</Application>
  <DocSecurity>0</DocSecurity>
  <Lines>1</Lines>
  <Paragraphs>1</Paragraphs>
  <ScaleCrop>false</ScaleCrop>
  <Company>Springer Nature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2024-04-29T07:08:00Z</dcterms:created>
  <dcterms:modified xsi:type="dcterms:W3CDTF">2024-04-29T07:08:00Z</dcterms:modified>
</cp:coreProperties>
</file>