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Times New Roman Bold" w:hAnsi="Times New Roman Bold" w:cs="Times New Roman Bold"/>
          <w:b/>
          <w:bCs/>
          <w:szCs w:val="21"/>
        </w:rPr>
        <w:t>Supplemental Table 1.</w:t>
      </w:r>
      <w:r>
        <w:rPr>
          <w:rFonts w:ascii="Times New Roman Bold" w:hAnsi="Times New Roman Bold" w:cs="Times New Roman Bold"/>
          <w:b/>
          <w:bCs/>
          <w:szCs w:val="21"/>
        </w:rPr>
        <w:t>U</w:t>
      </w:r>
      <w:r>
        <w:rPr>
          <w:rFonts w:hint="eastAsia" w:ascii="Times New Roman Bold" w:hAnsi="Times New Roman Bold" w:cs="Times New Roman Bold"/>
          <w:b/>
          <w:bCs/>
          <w:szCs w:val="21"/>
        </w:rPr>
        <w:t>nivariate analysis for OS and RFS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430"/>
        <w:gridCol w:w="1410"/>
        <w:gridCol w:w="1244"/>
        <w:gridCol w:w="1244"/>
        <w:gridCol w:w="1248"/>
      </w:tblGrid>
      <w:tr>
        <w:trPr>
          <w:trHeight w:val="20" w:hRule="atLeast"/>
          <w:jc w:val="center"/>
        </w:trPr>
        <w:tc>
          <w:tcPr>
            <w:tcW w:w="3376" w:type="dxa"/>
            <w:gridSpan w:val="2"/>
            <w:vMerge w:val="restart"/>
            <w:tcBorders>
              <w:top w:val="single" w:color="auto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Factor</w:t>
            </w:r>
          </w:p>
        </w:tc>
        <w:tc>
          <w:tcPr>
            <w:tcW w:w="5146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1890" w:firstLineChars="900"/>
              <w:jc w:val="left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95.0% CI</w:t>
            </w:r>
          </w:p>
        </w:tc>
      </w:tr>
      <w:tr>
        <w:trPr>
          <w:trHeight w:val="20" w:hRule="atLeast"/>
          <w:jc w:val="center"/>
        </w:trPr>
        <w:tc>
          <w:tcPr>
            <w:tcW w:w="337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Hazard Ratio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Lower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Upper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</w:tr>
      <w:tr>
        <w:trPr>
          <w:trHeight w:val="90" w:hRule="atLeast"/>
          <w:jc w:val="center"/>
        </w:trPr>
        <w:tc>
          <w:tcPr>
            <w:tcW w:w="33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OS</w:t>
            </w:r>
          </w:p>
        </w:tc>
        <w:tc>
          <w:tcPr>
            <w:tcW w:w="514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 (y)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IPSS-M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Very high risk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4.173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10.181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KPS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score)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3.405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7.155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Acute GvHD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(grades 3-4)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Sexual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Type（MDS）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Combined umbilical blood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HCT-CI（score）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Conditioning regimen intensity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Haploidentical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Age（Donor）（y）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Sexual（Donor）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ABO incompatible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Chronic GVHD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1.3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9.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Male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Female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EB1/EB2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RIC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MAC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F to M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55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1.083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1.246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0.635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2.943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2.457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1.665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1.100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1.943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1.043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0.599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0.526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0.511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0.215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0.401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1.211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0.717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0.384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0.903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0.516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0.243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2.230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3.041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1.871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21.608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4.981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3.869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3.153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4.183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2.110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1.476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0.828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0.629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0.410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0.289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0.013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0.236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0.859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0.089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0.906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0.266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37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RFS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5.062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08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IPSS-M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Very high risk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4.610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11.171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KPS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(score)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3.051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6.326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≥90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Acute GvHD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(grades 3-4)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3.319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1.269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8.680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0.014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Sexual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Type（MDS）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Combined 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umbilical blood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HCT-CI（score）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Conditioning regimen intensity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Haploidentical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Age（Donor）（y）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Male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Female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EB1/EB2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RIC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MAC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≥50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&lt;50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0.942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1.227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0.591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3.207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2.210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1.249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1.330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0.470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0.552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0.202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0.413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1.111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0.601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0.512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1.887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3.242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1.732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22.181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4.935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2.788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3.456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0.866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0.520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0.338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0.276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0.020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0.510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0.558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Sexual（Donor）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F to M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1.800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0.846</w:t>
            </w: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3.834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0.127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ABO incompatible</w:t>
            </w:r>
          </w:p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Chronic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GVHD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55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</w:tc>
        <w:tc>
          <w:tcPr>
            <w:tcW w:w="1410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1.197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0.599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0.603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0.243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2.347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1.476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0.608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0.266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IPSS-M, Molecular International Prognostic Scoring System; KPS, Karnofsky Performance Status; 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HD, Graft-versus-Host Disease; CI, confide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ce interval; OS, overall survival; RFS, recurrence free survival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eastAsia" w:ascii="Times New Roman" w:hAnsi="Times New Roman" w:cs="Times New Roman"/>
          <w:bCs/>
          <w:color w:val="000000"/>
          <w:kern w:val="0"/>
          <w:szCs w:val="21"/>
          <w:lang w:bidi="ar"/>
        </w:rPr>
        <w:t>HCT-CI</w:t>
      </w:r>
      <w:r>
        <w:rPr>
          <w:rFonts w:ascii="Times New Roman" w:hAnsi="Times New Roman" w:cs="Times New Roman"/>
          <w:bCs/>
          <w:color w:val="000000"/>
          <w:kern w:val="0"/>
          <w:szCs w:val="21"/>
          <w:lang w:bidi="ar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Hematopoietic Cell Transplantation-Comorbidity Index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widowControl/>
        <w:jc w:val="left"/>
        <w:rPr>
          <w:rFonts w:ascii="Times New Roman Bold" w:hAnsi="Times New Roman Bold" w:cs="Times New Roman Bold"/>
          <w:b/>
          <w:bCs/>
          <w:szCs w:val="21"/>
        </w:rPr>
      </w:pPr>
    </w:p>
    <w:p>
      <w:pPr>
        <w:widowControl/>
        <w:jc w:val="left"/>
      </w:pPr>
      <w:r>
        <w:rPr>
          <w:rFonts w:ascii="Times New Roman Bold" w:hAnsi="Times New Roman Bold" w:cs="Times New Roman Bold"/>
          <w:b/>
          <w:bCs/>
          <w:szCs w:val="21"/>
        </w:rPr>
        <w:t>Supplemental Table 2. Patient characteristics between intervention and non-intervention</w:t>
      </w:r>
      <w:r>
        <w:rPr>
          <w:rFonts w:hint="eastAsia" w:ascii="Times New Roman Bold" w:hAnsi="Times New Roman Bold" w:cs="Times New Roman Bold"/>
          <w:b/>
          <w:bCs/>
          <w:szCs w:val="21"/>
        </w:rPr>
        <w:t xml:space="preserve"> </w:t>
      </w:r>
      <w:r>
        <w:rPr>
          <w:rFonts w:ascii="Times New Roman Bold" w:hAnsi="Times New Roman Bold" w:cs="Times New Roman Bold"/>
          <w:b/>
          <w:bCs/>
          <w:szCs w:val="21"/>
        </w:rPr>
        <w:t>groups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984"/>
        <w:gridCol w:w="1984"/>
        <w:gridCol w:w="1134"/>
      </w:tblGrid>
      <w:tr>
        <w:tc>
          <w:tcPr>
            <w:tcW w:w="3969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Characteristic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Intervention group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n=16)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Non-intervention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group(n=54)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P value</w:t>
            </w:r>
          </w:p>
        </w:tc>
      </w:tr>
      <w:tr>
        <w:tc>
          <w:tcPr>
            <w:tcW w:w="396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  <w:t>Age in years, median (range)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48(21-64)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48(18-71)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0.716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  <w:t>Sex, 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11(68.8)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27(50.0)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0.494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5(31.2)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27(50.0)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0.598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WHO category,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EB1/EB2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93.8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92.6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MDS-MLD/SLD/RS-MLD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6.3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7.4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  <w:t>Treatment before HSCT, 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HMA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5(31.2)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21(38.9)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0.788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Chemothraphy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2(12.5)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7(13.0)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Others*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9(56.3)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26(48.1)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0.810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  <w:t>Conditioning regimens, 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rPr>
          <w:trHeight w:val="202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11(68.8)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34(63.0)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5(31.2)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20(37.0)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color w:val="000000"/>
                <w:szCs w:val="21"/>
              </w:rPr>
              <w:t>Donor, 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Haploidentical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9(56.3)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35(54.8)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0.820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Matched**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7(43.8)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19(35.2)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0.789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Time to HSCT in days, median (IQR)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45(90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391)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65-184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0.634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Combined umbilical blood, 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6.3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13.0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0.678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93.8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87.0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Nuclear cell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×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/kg，median（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range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2.6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2.6-2.6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0.9-1.8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0.180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CD34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 xml:space="preserve"> cell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×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vertAlign w:val="superscript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/kg，median（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range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1.1-1.1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0.7-1.2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ABO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blood type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，n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Matched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Unmatched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Major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37.5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6.3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50.0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16.7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0.406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0.406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Minor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43.8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27.8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0.238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Bidirectional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12.5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5.6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0.321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</w:rPr>
              <w:t>Donor to recipient gender，n 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Female to 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4(25.0)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13(24.1)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12(75.0)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41(75.9)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1.000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MNC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15.0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(12.8-16.4)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16.3(13.2-21.3)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0.275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CD34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cell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,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11.2(8.4-16.1)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10.3(6.7-14.4)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0.397</w:t>
            </w:r>
          </w:p>
        </w:tc>
      </w:tr>
      <w:tr>
        <w:tc>
          <w:tcPr>
            <w:tcW w:w="39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CD3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cell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,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3.0(2.7-3.9)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3.4(2.6-4.5)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0.612</w:t>
            </w:r>
          </w:p>
        </w:tc>
      </w:tr>
    </w:tbl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*Others: include low-dose cytarabine, cyclosporine, danazol, eltrombopag, erythropoietin-stimulating agents, thalidomide, steroid, blood transfusion.</w:t>
      </w:r>
    </w:p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**Matched: matched sibling donor (MSD)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matched unrelated-donor (URD)</w:t>
      </w:r>
    </w:p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WHO, World Health Organization; MSD, myelodysplastic syndromes; MDS-EB1, MDS with excess of blasts type 1; MDS-EB, MDS with excess of blasts type 2; MDS-MLD, MDS with multilineage dysplasia; MDS-RS-MLD, MDS with ring sideroblasts and multilineage dysplasia; MDS-SLD, MDS with single-lineage dysplasia;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MAC, myeloablative conditioning; RIC, reduced-intensity conditioning; HSCT, hematopoietic stem cell transplantation; HMA, hypomethylating agent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; MNCs, mononuclear cells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67B4"/>
    <w:rsid w:val="00332C81"/>
    <w:rsid w:val="00854FE7"/>
    <w:rsid w:val="00A17823"/>
    <w:rsid w:val="00B05328"/>
    <w:rsid w:val="7FFB67B4"/>
    <w:rsid w:val="7FFEA7A1"/>
    <w:rsid w:val="BFF7E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3198</Characters>
  <Lines>26</Lines>
  <Paragraphs>7</Paragraphs>
  <TotalTime>0</TotalTime>
  <ScaleCrop>false</ScaleCrop>
  <LinksUpToDate>false</LinksUpToDate>
  <CharactersWithSpaces>3751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2024-04-08T10:46:00Z</dcterms:created>
  <dc:creator>吴慧慧慧慧</dc:creator>
  <cp:lastModifiedBy>吴慧慧慧慧</cp:lastModifiedBy>
  <dcterms:modified xsi:type="dcterms:W3CDTF">2024-04-08T23:43:54Z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F6EA0A7F086FAEF39B791266E93B1A40_41</vt:lpwstr>
  </property>
</Properties>
</file>