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2D77AA" w14:textId="77777777" w:rsidR="005141AE" w:rsidRPr="004431F4" w:rsidRDefault="005141AE" w:rsidP="004B77AD">
      <w:pPr>
        <w:pStyle w:val="Heading1"/>
        <w:spacing w:line="276" w:lineRule="auto"/>
        <w:rPr>
          <w:sz w:val="24"/>
          <w:szCs w:val="24"/>
        </w:rPr>
      </w:pPr>
      <w:r w:rsidRPr="004431F4">
        <w:rPr>
          <w:sz w:val="24"/>
          <w:szCs w:val="24"/>
        </w:rPr>
        <w:t>Materials and Methodology</w:t>
      </w:r>
    </w:p>
    <w:p w14:paraId="6E54AAFF" w14:textId="77777777" w:rsidR="005141AE" w:rsidRPr="004431F4" w:rsidRDefault="005141AE" w:rsidP="004B77AD">
      <w:pPr>
        <w:pStyle w:val="Heading2"/>
        <w:spacing w:line="276" w:lineRule="auto"/>
        <w:rPr>
          <w:sz w:val="24"/>
          <w:szCs w:val="24"/>
        </w:rPr>
      </w:pPr>
      <w:r w:rsidRPr="004431F4">
        <w:rPr>
          <w:sz w:val="24"/>
          <w:szCs w:val="24"/>
        </w:rPr>
        <w:t xml:space="preserve">Design and Manufacturing </w:t>
      </w:r>
    </w:p>
    <w:p w14:paraId="4130DB3E" w14:textId="471AD18E" w:rsidR="005141AE" w:rsidRPr="004431F4" w:rsidRDefault="0110BF78" w:rsidP="004B77AD">
      <w:pPr>
        <w:spacing w:line="276" w:lineRule="auto"/>
        <w:ind w:firstLine="288"/>
        <w:jc w:val="both"/>
        <w:rPr>
          <w:rFonts w:eastAsia="Times New Roman"/>
          <w:color w:val="000000" w:themeColor="text1"/>
          <w:sz w:val="24"/>
          <w:szCs w:val="24"/>
        </w:rPr>
      </w:pPr>
      <w:r w:rsidRPr="004431F4">
        <w:rPr>
          <w:rFonts w:eastAsia="Times New Roman"/>
          <w:color w:val="000000" w:themeColor="text1"/>
          <w:sz w:val="24"/>
          <w:szCs w:val="24"/>
        </w:rPr>
        <w:t>Sheet-based gyroid sandwich beams were modeled using a constant unit cell size of (</w:t>
      </w:r>
      <w:r w:rsidR="61C5EFBA" w:rsidRPr="004431F4">
        <w:rPr>
          <w:rFonts w:eastAsia="Times New Roman"/>
          <w:color w:val="000000" w:themeColor="text1"/>
          <w:sz w:val="24"/>
          <w:szCs w:val="24"/>
        </w:rPr>
        <w:t>10</w:t>
      </w:r>
      <w:r w:rsidRPr="004431F4">
        <w:rPr>
          <w:rFonts w:eastAsia="Times New Roman"/>
          <w:color w:val="000000" w:themeColor="text1"/>
          <w:sz w:val="24"/>
          <w:szCs w:val="24"/>
        </w:rPr>
        <w:t xml:space="preserve"> x 10 x </w:t>
      </w:r>
      <w:r w:rsidR="6411BB0F" w:rsidRPr="004431F4">
        <w:rPr>
          <w:rFonts w:eastAsia="Times New Roman"/>
          <w:color w:val="000000" w:themeColor="text1"/>
          <w:sz w:val="24"/>
          <w:szCs w:val="24"/>
        </w:rPr>
        <w:t>10 mm</w:t>
      </w:r>
      <w:r w:rsidRPr="004431F4">
        <w:rPr>
          <w:rFonts w:eastAsia="Times New Roman"/>
          <w:color w:val="000000" w:themeColor="text1"/>
          <w:sz w:val="24"/>
          <w:szCs w:val="24"/>
        </w:rPr>
        <w:t>). To maintain constant stress throughout the beam specimens, irrespective of material, the gyroid surface thickness was varied according to the yield strength in the constituent materials according to the Gibson-Ashby model</w:t>
      </w:r>
      <w:r w:rsidR="00135E2F" w:rsidRPr="004431F4">
        <w:rPr>
          <w:rFonts w:eastAsia="Times New Roman"/>
          <w:color w:val="000000" w:themeColor="text1"/>
          <w:sz w:val="24"/>
          <w:szCs w:val="24"/>
        </w:rPr>
        <w:fldChar w:fldCharType="begin"/>
      </w:r>
      <w:r w:rsidR="008A44B5">
        <w:rPr>
          <w:rFonts w:eastAsia="Times New Roman"/>
          <w:color w:val="000000" w:themeColor="text1"/>
          <w:sz w:val="24"/>
          <w:szCs w:val="24"/>
        </w:rPr>
        <w:instrText xml:space="preserve"> ADDIN ZOTERO_ITEM CSL_CITATION {"citationID":"odX0qBMK","properties":{"formattedCitation":"\\super 1\\nosupersub{}","plainCitation":"1","noteIndex":0},"citationItems":[{"id":40,"uris":["http://zotero.org/users/13440149/items/2YQ5S8UB"],"itemData":{"id":40,"type":"article-journal","abstract":"Additive manufacturing (AM), particularly Selective Laser Melting (SLM) has enabled development of lattice structures with unique properties. Through control of various parameters lattice structures can produce unique mechanical, electrical, thermal and acoustic properties, and have received much research attention. Despite the increasing volume of published data on the mechanical response of specific SLM lattice structures, there exists no overarching analysis. This work addresses this identified deficiency by providing a comprehensive summary of the experimental data reported on the mechanical response of SLM lattice structures. The design, fabrication and performance of SLM lattice structures are reviewed and the quality of data reported is analysed to inform best-practice for future studies. This comprehensive data summary enables meta-analysis of the reported mechanical performance of SLM lattice structures, providing insight into the bounds of their technical capabilities. Correlations were identified between the relative density and mechanical properties of many unit cell topologies consistent with the predictions of the Gibson-Ashby model, indicating its usefulness in describing and predicting the behaviour of SLM lattice structures. This review provides designers with a compiled resource of experimental data and design for AM tools to inform future design applications of SLM lattice structures and facilitates their further commercial adoption.","container-title":"Materials and Design","DOI":"10.1016/j.matdes.2019.108137","ISSN":"18734197","note":"publisher: Elsevier Ltd","page":"108137","title":"SLM lattice structures: Properties, performance, applications and challenges","volume":"183","author":[{"family":"Maconachie","given":"Tobias"},{"family":"Leary","given":"Martin"},{"family":"Lozanovski","given":"Bill"},{"family":"Zhang","given":"Xuezhe"},{"family":"Qian","given":"Ma"},{"family":"Faruque","given":"Omar"},{"family":"Brandt","given":"Milan"}],"issued":{"date-parts":[["2019"]]}}}],"schema":"https://github.com/citation-style-language/schema/raw/master/csl-citation.json"} </w:instrText>
      </w:r>
      <w:r w:rsidR="00135E2F" w:rsidRPr="004431F4">
        <w:rPr>
          <w:rFonts w:eastAsia="Times New Roman"/>
          <w:color w:val="000000" w:themeColor="text1"/>
          <w:sz w:val="24"/>
          <w:szCs w:val="24"/>
        </w:rPr>
        <w:fldChar w:fldCharType="separate"/>
      </w:r>
      <w:r w:rsidR="008A44B5" w:rsidRPr="008A44B5">
        <w:rPr>
          <w:sz w:val="24"/>
          <w:szCs w:val="24"/>
          <w:vertAlign w:val="superscript"/>
        </w:rPr>
        <w:t>1</w:t>
      </w:r>
      <w:r w:rsidR="00135E2F" w:rsidRPr="004431F4">
        <w:rPr>
          <w:rFonts w:eastAsia="Times New Roman"/>
          <w:color w:val="000000" w:themeColor="text1"/>
          <w:sz w:val="24"/>
          <w:szCs w:val="24"/>
        </w:rPr>
        <w:fldChar w:fldCharType="end"/>
      </w:r>
      <w:r w:rsidRPr="004431F4">
        <w:rPr>
          <w:rFonts w:eastAsia="Times New Roman"/>
          <w:color w:val="000000" w:themeColor="text1"/>
          <w:sz w:val="24"/>
          <w:szCs w:val="24"/>
        </w:rPr>
        <w:t xml:space="preserve">. Using a yield strength of 270 MPa and 130 MPa for 904L stainless steel and CuSn10 respectively, the ratio of thickness to produce equivalent strain was found to be 1:1.42, i.e., a thickness of </w:t>
      </w:r>
      <w:bookmarkStart w:id="0" w:name="_Int_BaN3gId9"/>
      <w:r w:rsidRPr="004431F4">
        <w:rPr>
          <w:rFonts w:eastAsia="Times New Roman"/>
          <w:color w:val="000000" w:themeColor="text1"/>
          <w:sz w:val="24"/>
          <w:szCs w:val="24"/>
        </w:rPr>
        <w:t>1mm</w:t>
      </w:r>
      <w:bookmarkEnd w:id="0"/>
      <w:r w:rsidRPr="004431F4">
        <w:rPr>
          <w:rFonts w:eastAsia="Times New Roman"/>
          <w:color w:val="000000" w:themeColor="text1"/>
          <w:sz w:val="24"/>
          <w:szCs w:val="24"/>
        </w:rPr>
        <w:t xml:space="preserve"> for steel sections and </w:t>
      </w:r>
      <w:bookmarkStart w:id="1" w:name="_Int_tPRFtgfz"/>
      <w:r w:rsidRPr="004431F4">
        <w:rPr>
          <w:rFonts w:eastAsia="Times New Roman"/>
          <w:color w:val="000000" w:themeColor="text1"/>
          <w:sz w:val="24"/>
          <w:szCs w:val="24"/>
        </w:rPr>
        <w:t>1.42 mm</w:t>
      </w:r>
      <w:bookmarkEnd w:id="1"/>
      <w:r w:rsidRPr="004431F4">
        <w:rPr>
          <w:rFonts w:eastAsia="Times New Roman"/>
          <w:color w:val="000000" w:themeColor="text1"/>
          <w:sz w:val="24"/>
          <w:szCs w:val="24"/>
        </w:rPr>
        <w:t xml:space="preserve"> for CuSn10 sheets. </w:t>
      </w:r>
    </w:p>
    <w:p w14:paraId="0A57B4DD" w14:textId="409FA21C" w:rsidR="005141AE" w:rsidRPr="004431F4" w:rsidRDefault="0110BF78" w:rsidP="004B77AD">
      <w:pPr>
        <w:spacing w:line="276" w:lineRule="auto"/>
        <w:ind w:firstLine="720"/>
        <w:jc w:val="both"/>
        <w:rPr>
          <w:rFonts w:eastAsia="Times New Roman"/>
          <w:color w:val="000000" w:themeColor="text1"/>
          <w:sz w:val="24"/>
          <w:szCs w:val="24"/>
        </w:rPr>
      </w:pPr>
      <w:r w:rsidRPr="004431F4">
        <w:rPr>
          <w:rFonts w:eastAsia="Times New Roman"/>
          <w:color w:val="000000" w:themeColor="text1"/>
          <w:sz w:val="24"/>
          <w:szCs w:val="24"/>
        </w:rPr>
        <w:t xml:space="preserve">The generative design software </w:t>
      </w:r>
      <w:proofErr w:type="spellStart"/>
      <w:r w:rsidRPr="004431F4">
        <w:rPr>
          <w:rFonts w:eastAsia="Times New Roman"/>
          <w:color w:val="000000" w:themeColor="text1"/>
          <w:sz w:val="24"/>
          <w:szCs w:val="24"/>
        </w:rPr>
        <w:t>nTopology</w:t>
      </w:r>
      <w:proofErr w:type="spellEnd"/>
      <w:r w:rsidRPr="004431F4">
        <w:rPr>
          <w:rFonts w:eastAsia="Times New Roman"/>
          <w:color w:val="000000" w:themeColor="text1"/>
          <w:sz w:val="24"/>
          <w:szCs w:val="24"/>
        </w:rPr>
        <w:t xml:space="preserve"> </w:t>
      </w:r>
      <w:r w:rsidR="46F71671" w:rsidRPr="004431F4">
        <w:rPr>
          <w:rFonts w:eastAsia="Times New Roman"/>
          <w:color w:val="000000" w:themeColor="text1"/>
          <w:sz w:val="24"/>
          <w:szCs w:val="24"/>
        </w:rPr>
        <w:t>(</w:t>
      </w:r>
      <w:proofErr w:type="spellStart"/>
      <w:r w:rsidRPr="004431F4">
        <w:rPr>
          <w:rFonts w:eastAsia="Times New Roman"/>
          <w:color w:val="000000" w:themeColor="text1"/>
          <w:sz w:val="24"/>
          <w:szCs w:val="24"/>
        </w:rPr>
        <w:t>nTopology</w:t>
      </w:r>
      <w:proofErr w:type="spellEnd"/>
      <w:r w:rsidR="5114C9E6" w:rsidRPr="004431F4">
        <w:rPr>
          <w:rFonts w:eastAsia="Times New Roman"/>
          <w:color w:val="000000" w:themeColor="text1"/>
          <w:sz w:val="24"/>
          <w:szCs w:val="24"/>
        </w:rPr>
        <w:t>, Version 3.33.2</w:t>
      </w:r>
      <w:r w:rsidRPr="004431F4">
        <w:rPr>
          <w:rFonts w:eastAsia="Times New Roman"/>
          <w:color w:val="000000" w:themeColor="text1"/>
          <w:sz w:val="24"/>
          <w:szCs w:val="24"/>
        </w:rPr>
        <w:t xml:space="preserve">, US) was used </w:t>
      </w:r>
      <w:r w:rsidR="6726A86B" w:rsidRPr="004431F4">
        <w:rPr>
          <w:rFonts w:eastAsia="Times New Roman"/>
          <w:color w:val="000000" w:themeColor="text1"/>
          <w:sz w:val="24"/>
          <w:szCs w:val="24"/>
        </w:rPr>
        <w:t>to model</w:t>
      </w:r>
      <w:r w:rsidRPr="004431F4">
        <w:rPr>
          <w:rFonts w:eastAsia="Times New Roman"/>
          <w:color w:val="000000" w:themeColor="text1"/>
          <w:sz w:val="24"/>
          <w:szCs w:val="24"/>
        </w:rPr>
        <w:t xml:space="preserve"> multi-material specimens. Flexural test coupons with end plates (thickness of three times the TPMS wall thickness of the strongest material</w:t>
      </w:r>
      <w:r w:rsidR="008D25BA" w:rsidRPr="004431F4">
        <w:rPr>
          <w:rFonts w:eastAsia="Times New Roman"/>
          <w:color w:val="000000" w:themeColor="text1"/>
          <w:sz w:val="24"/>
          <w:szCs w:val="24"/>
        </w:rPr>
        <w:fldChar w:fldCharType="begin"/>
      </w:r>
      <w:r w:rsidR="008A44B5">
        <w:rPr>
          <w:rFonts w:eastAsia="Times New Roman"/>
          <w:color w:val="000000" w:themeColor="text1"/>
          <w:sz w:val="24"/>
          <w:szCs w:val="24"/>
        </w:rPr>
        <w:instrText xml:space="preserve"> ADDIN ZOTERO_ITEM CSL_CITATION {"citationID":"hWwJ4ueZ","properties":{"formattedCitation":"\\super 2\\nosupersub{}","plainCitation":"2","noteIndex":0},"citationItems":[{"id":56,"uris":["http://zotero.org/users/13440149/items/8C5LKVAB"],"itemData":{"id":56,"type":"article-journal","container-title":"Journal of Zhejiang University SCIENCE A","DOI":"10.1631/jzus.A1300283","issue":"1","page":"61–67","title":"Skin-core adhesion in high performance sandwich structures","volume":"15","author":[{"family":"Shen","given":"Yi-ou"},{"family":"Cantwell","given":"Wesley"},{"family":"Li","given":"Yan"}],"issued":{"date-parts":[["2014"]]}}}],"schema":"https://github.com/citation-style-language/schema/raw/master/csl-citation.json"} </w:instrText>
      </w:r>
      <w:r w:rsidR="008D25BA" w:rsidRPr="004431F4">
        <w:rPr>
          <w:rFonts w:eastAsia="Times New Roman"/>
          <w:color w:val="000000" w:themeColor="text1"/>
          <w:sz w:val="24"/>
          <w:szCs w:val="24"/>
        </w:rPr>
        <w:fldChar w:fldCharType="separate"/>
      </w:r>
      <w:r w:rsidR="008A44B5" w:rsidRPr="008A44B5">
        <w:rPr>
          <w:sz w:val="24"/>
          <w:szCs w:val="24"/>
          <w:vertAlign w:val="superscript"/>
        </w:rPr>
        <w:t>2</w:t>
      </w:r>
      <w:r w:rsidR="008D25BA" w:rsidRPr="004431F4">
        <w:rPr>
          <w:rFonts w:eastAsia="Times New Roman"/>
          <w:color w:val="000000" w:themeColor="text1"/>
          <w:sz w:val="24"/>
          <w:szCs w:val="24"/>
        </w:rPr>
        <w:fldChar w:fldCharType="end"/>
      </w:r>
      <w:r w:rsidR="00135E2F" w:rsidRPr="004431F4">
        <w:rPr>
          <w:rFonts w:eastAsia="Times New Roman"/>
          <w:color w:val="000000" w:themeColor="text1"/>
          <w:sz w:val="24"/>
          <w:szCs w:val="24"/>
        </w:rPr>
        <w:t xml:space="preserve"> </w:t>
      </w:r>
      <w:r w:rsidRPr="004431F4">
        <w:rPr>
          <w:rFonts w:eastAsia="Times New Roman"/>
          <w:color w:val="000000" w:themeColor="text1"/>
          <w:sz w:val="24"/>
          <w:szCs w:val="24"/>
        </w:rPr>
        <w:t xml:space="preserve">were included for mechanical testing (Figure </w:t>
      </w:r>
      <w:r w:rsidR="680022F3" w:rsidRPr="004431F4">
        <w:rPr>
          <w:rFonts w:eastAsia="Times New Roman"/>
          <w:color w:val="000000" w:themeColor="text1"/>
          <w:sz w:val="24"/>
          <w:szCs w:val="24"/>
        </w:rPr>
        <w:t>7</w:t>
      </w:r>
      <w:r w:rsidRPr="004431F4">
        <w:rPr>
          <w:rFonts w:eastAsia="Times New Roman"/>
          <w:color w:val="000000" w:themeColor="text1"/>
          <w:sz w:val="24"/>
          <w:szCs w:val="24"/>
        </w:rPr>
        <w:t xml:space="preserve">).  </w:t>
      </w:r>
    </w:p>
    <w:p w14:paraId="61C245DE" w14:textId="0DD7697A" w:rsidR="005141AE" w:rsidRPr="004431F4" w:rsidRDefault="005141AE" w:rsidP="004B77AD">
      <w:pPr>
        <w:spacing w:line="276" w:lineRule="auto"/>
        <w:ind w:firstLine="720"/>
        <w:jc w:val="both"/>
        <w:rPr>
          <w:rFonts w:eastAsia="Times New Roman"/>
          <w:color w:val="000000" w:themeColor="text1"/>
          <w:sz w:val="24"/>
          <w:szCs w:val="24"/>
        </w:rPr>
      </w:pPr>
      <w:r w:rsidRPr="004431F4">
        <w:rPr>
          <w:rFonts w:eastAsia="Times New Roman"/>
          <w:color w:val="000000" w:themeColor="text1"/>
          <w:sz w:val="24"/>
          <w:szCs w:val="24"/>
        </w:rPr>
        <w:t xml:space="preserve">Witness coupons </w:t>
      </w:r>
      <w:r w:rsidR="0110BF78" w:rsidRPr="004431F4">
        <w:rPr>
          <w:rFonts w:eastAsia="Times New Roman"/>
          <w:color w:val="000000" w:themeColor="text1"/>
          <w:sz w:val="24"/>
          <w:szCs w:val="24"/>
        </w:rPr>
        <w:t xml:space="preserve">(10 x 10 x </w:t>
      </w:r>
      <w:r w:rsidR="1BB62E6B" w:rsidRPr="004431F4">
        <w:rPr>
          <w:rFonts w:eastAsia="Times New Roman"/>
          <w:color w:val="000000" w:themeColor="text1"/>
          <w:sz w:val="24"/>
          <w:szCs w:val="24"/>
        </w:rPr>
        <w:t>10 mm</w:t>
      </w:r>
      <w:r w:rsidR="0110BF78" w:rsidRPr="004431F4">
        <w:rPr>
          <w:rFonts w:eastAsia="Times New Roman"/>
          <w:color w:val="000000" w:themeColor="text1"/>
          <w:sz w:val="24"/>
          <w:szCs w:val="24"/>
        </w:rPr>
        <w:t>)</w:t>
      </w:r>
      <w:r w:rsidRPr="004431F4">
        <w:rPr>
          <w:rFonts w:eastAsia="Times New Roman"/>
          <w:color w:val="000000" w:themeColor="text1"/>
          <w:sz w:val="24"/>
          <w:szCs w:val="24"/>
        </w:rPr>
        <w:t xml:space="preserve"> were printed in four unique build orientations</w:t>
      </w:r>
      <w:r w:rsidR="0110BF78" w:rsidRPr="004431F4">
        <w:rPr>
          <w:rFonts w:eastAsia="Times New Roman"/>
          <w:color w:val="000000" w:themeColor="text1"/>
          <w:sz w:val="24"/>
          <w:szCs w:val="24"/>
        </w:rPr>
        <w:t xml:space="preserve"> (Figure </w:t>
      </w:r>
      <w:r w:rsidR="08ADB05B" w:rsidRPr="004431F4">
        <w:rPr>
          <w:rFonts w:eastAsia="Times New Roman"/>
          <w:color w:val="000000" w:themeColor="text1"/>
          <w:sz w:val="24"/>
          <w:szCs w:val="24"/>
        </w:rPr>
        <w:t>S1</w:t>
      </w:r>
      <w:r w:rsidR="0110BF78" w:rsidRPr="004431F4">
        <w:rPr>
          <w:rFonts w:eastAsia="Times New Roman"/>
          <w:color w:val="000000" w:themeColor="text1"/>
          <w:sz w:val="24"/>
          <w:szCs w:val="24"/>
        </w:rPr>
        <w:t>)</w:t>
      </w:r>
      <w:r w:rsidRPr="004431F4">
        <w:rPr>
          <w:rFonts w:eastAsia="Times New Roman"/>
          <w:color w:val="000000" w:themeColor="text1"/>
          <w:sz w:val="24"/>
          <w:szCs w:val="24"/>
        </w:rPr>
        <w:t xml:space="preserve"> along with the flexural testing specimens for microstructural, crystallographic, and chemical composition analysis using SEM, EBSD, and EDS. These four material orientations will be used to study micro defects in material fusion as shown in Figure</w:t>
      </w:r>
      <w:r w:rsidR="0979F769" w:rsidRPr="004431F4">
        <w:rPr>
          <w:rFonts w:eastAsia="Times New Roman"/>
          <w:color w:val="000000" w:themeColor="text1"/>
          <w:sz w:val="24"/>
          <w:szCs w:val="24"/>
        </w:rPr>
        <w:t xml:space="preserve"> 3</w:t>
      </w:r>
      <w:r w:rsidRPr="004431F4">
        <w:rPr>
          <w:rFonts w:eastAsia="Times New Roman"/>
          <w:color w:val="000000" w:themeColor="text1"/>
          <w:sz w:val="24"/>
          <w:szCs w:val="24"/>
        </w:rPr>
        <w:t xml:space="preserve">. </w:t>
      </w:r>
    </w:p>
    <w:p w14:paraId="74FF4FB4" w14:textId="7F7287A2" w:rsidR="005141AE" w:rsidRPr="004431F4" w:rsidRDefault="005141AE" w:rsidP="004B77AD">
      <w:pPr>
        <w:keepNext/>
        <w:spacing w:line="276" w:lineRule="auto"/>
        <w:jc w:val="both"/>
        <w:rPr>
          <w:sz w:val="24"/>
          <w:szCs w:val="24"/>
        </w:rPr>
      </w:pPr>
      <w:r w:rsidRPr="004431F4">
        <w:rPr>
          <w:noProof/>
          <w:sz w:val="24"/>
          <w:szCs w:val="24"/>
        </w:rPr>
        <w:t xml:space="preserve">  </w:t>
      </w:r>
      <w:r w:rsidR="002E099C" w:rsidRPr="004431F4">
        <w:rPr>
          <w:noProof/>
          <w:sz w:val="24"/>
          <w:szCs w:val="24"/>
        </w:rPr>
        <w:drawing>
          <wp:inline distT="0" distB="0" distL="0" distR="0" wp14:anchorId="6C9E2C8F" wp14:editId="4D253FAA">
            <wp:extent cx="5813946" cy="1598612"/>
            <wp:effectExtent l="0" t="0" r="0" b="190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17788" cy="1627165"/>
                    </a:xfrm>
                    <a:prstGeom prst="rect">
                      <a:avLst/>
                    </a:prstGeom>
                    <a:noFill/>
                  </pic:spPr>
                </pic:pic>
              </a:graphicData>
            </a:graphic>
          </wp:inline>
        </w:drawing>
      </w:r>
    </w:p>
    <w:p w14:paraId="01A1A87A" w14:textId="4EE6FB99" w:rsidR="005141AE" w:rsidRPr="004431F4" w:rsidRDefault="0110BF78" w:rsidP="004B77AD">
      <w:pPr>
        <w:spacing w:line="276" w:lineRule="auto"/>
        <w:jc w:val="both"/>
        <w:rPr>
          <w:i/>
          <w:iCs/>
          <w:sz w:val="24"/>
          <w:szCs w:val="24"/>
        </w:rPr>
      </w:pPr>
      <w:r w:rsidRPr="004431F4">
        <w:rPr>
          <w:b/>
          <w:bCs/>
          <w:sz w:val="24"/>
          <w:szCs w:val="24"/>
        </w:rPr>
        <w:t xml:space="preserve">Figure S1: </w:t>
      </w:r>
      <w:r w:rsidRPr="004431F4">
        <w:rPr>
          <w:i/>
          <w:iCs/>
          <w:sz w:val="24"/>
          <w:szCs w:val="24"/>
        </w:rPr>
        <w:t xml:space="preserve">A) Selective powder deposition (SPD) to enable MM-LPBF B) Specimen build plate </w:t>
      </w:r>
      <w:r w:rsidR="00D343BD" w:rsidRPr="004431F4">
        <w:rPr>
          <w:i/>
          <w:iCs/>
          <w:sz w:val="24"/>
          <w:szCs w:val="24"/>
        </w:rPr>
        <w:t>with w</w:t>
      </w:r>
      <w:r w:rsidRPr="004431F4">
        <w:rPr>
          <w:i/>
          <w:iCs/>
          <w:sz w:val="24"/>
          <w:szCs w:val="24"/>
        </w:rPr>
        <w:t xml:space="preserve">itness coupons made in 4 build orientations with respect to the </w:t>
      </w:r>
      <w:proofErr w:type="spellStart"/>
      <w:r w:rsidRPr="004431F4">
        <w:rPr>
          <w:i/>
          <w:iCs/>
          <w:sz w:val="24"/>
          <w:szCs w:val="24"/>
        </w:rPr>
        <w:t>recoater</w:t>
      </w:r>
      <w:proofErr w:type="spellEnd"/>
      <w:r w:rsidRPr="004431F4">
        <w:rPr>
          <w:i/>
          <w:iCs/>
          <w:sz w:val="24"/>
          <w:szCs w:val="24"/>
        </w:rPr>
        <w:t xml:space="preserve"> and Cartesian directions. Witness cube nomenclature indicates the sequential material placement along the direction normal to the fusion plane. </w:t>
      </w:r>
    </w:p>
    <w:p w14:paraId="31C8FC01" w14:textId="77777777" w:rsidR="005141AE" w:rsidRPr="004431F4" w:rsidRDefault="005141AE" w:rsidP="004B77AD">
      <w:pPr>
        <w:spacing w:line="276" w:lineRule="auto"/>
        <w:jc w:val="both"/>
        <w:rPr>
          <w:sz w:val="24"/>
          <w:szCs w:val="24"/>
        </w:rPr>
      </w:pPr>
    </w:p>
    <w:p w14:paraId="0678883C" w14:textId="6CFF8430" w:rsidR="005141AE" w:rsidRPr="004431F4" w:rsidRDefault="0110BF78" w:rsidP="004B77AD">
      <w:pPr>
        <w:spacing w:line="276" w:lineRule="auto"/>
        <w:ind w:firstLine="720"/>
        <w:jc w:val="both"/>
        <w:rPr>
          <w:rFonts w:eastAsia="Times New Roman"/>
          <w:color w:val="000000" w:themeColor="text1"/>
          <w:sz w:val="24"/>
          <w:szCs w:val="24"/>
        </w:rPr>
      </w:pPr>
      <w:r w:rsidRPr="004431F4">
        <w:rPr>
          <w:rFonts w:eastAsia="Times New Roman"/>
          <w:color w:val="000000" w:themeColor="text1"/>
          <w:sz w:val="24"/>
          <w:szCs w:val="24"/>
        </w:rPr>
        <w:t xml:space="preserve">Specimens were manufactured on an </w:t>
      </w:r>
      <w:proofErr w:type="spellStart"/>
      <w:r w:rsidRPr="004431F4">
        <w:rPr>
          <w:rFonts w:eastAsia="Times New Roman"/>
          <w:color w:val="000000" w:themeColor="text1"/>
          <w:sz w:val="24"/>
          <w:szCs w:val="24"/>
        </w:rPr>
        <w:t>Aconity</w:t>
      </w:r>
      <w:proofErr w:type="spellEnd"/>
      <w:r w:rsidRPr="004431F4">
        <w:rPr>
          <w:rFonts w:eastAsia="Times New Roman"/>
          <w:color w:val="000000" w:themeColor="text1"/>
          <w:sz w:val="24"/>
          <w:szCs w:val="24"/>
        </w:rPr>
        <w:t xml:space="preserve"> MIDI+ (Aconity3D GmbH, Germany) equipped with an Aerosint SPD v1 (Aerosint SA, Belgium), with a single mode fiber laser at a continuous wavelength of 1070 nm and </w:t>
      </w:r>
      <w:r w:rsidR="61DA0B13" w:rsidRPr="004431F4">
        <w:rPr>
          <w:rFonts w:eastAsia="Times New Roman"/>
          <w:color w:val="000000" w:themeColor="text1"/>
          <w:sz w:val="24"/>
          <w:szCs w:val="24"/>
        </w:rPr>
        <w:t xml:space="preserve">effective </w:t>
      </w:r>
      <w:r w:rsidRPr="004431F4">
        <w:rPr>
          <w:rFonts w:eastAsia="Times New Roman"/>
          <w:color w:val="000000" w:themeColor="text1"/>
          <w:sz w:val="24"/>
          <w:szCs w:val="24"/>
        </w:rPr>
        <w:t xml:space="preserve">spot size of 80 µm. Since bronze and 904L SS are dissimilar materials in terms of thermal conductivity and optical absorption of </w:t>
      </w:r>
      <w:r w:rsidR="008D25BA" w:rsidRPr="004431F4">
        <w:rPr>
          <w:rFonts w:eastAsia="Times New Roman"/>
          <w:color w:val="000000" w:themeColor="text1"/>
          <w:sz w:val="24"/>
          <w:szCs w:val="24"/>
        </w:rPr>
        <w:t>infrared</w:t>
      </w:r>
      <w:r w:rsidRPr="004431F4">
        <w:rPr>
          <w:rFonts w:eastAsia="Times New Roman"/>
          <w:color w:val="000000" w:themeColor="text1"/>
          <w:sz w:val="24"/>
          <w:szCs w:val="24"/>
        </w:rPr>
        <w:t xml:space="preserve"> light, different process parameters, detailed in </w:t>
      </w:r>
      <w:r w:rsidRPr="004431F4">
        <w:rPr>
          <w:rFonts w:eastAsia="Times New Roman"/>
          <w:sz w:val="24"/>
          <w:szCs w:val="24"/>
        </w:rPr>
        <w:t>Table I</w:t>
      </w:r>
      <w:r w:rsidRPr="004431F4">
        <w:rPr>
          <w:rFonts w:eastAsia="Times New Roman"/>
          <w:color w:val="000000" w:themeColor="text1"/>
          <w:sz w:val="24"/>
          <w:szCs w:val="24"/>
        </w:rPr>
        <w:t xml:space="preserve">, were utilized for each. A sequential scanning strategy was selected for each material subsection (904L SS followed by bronze). The interlayer rotation is 67° for the </w:t>
      </w:r>
      <w:r w:rsidR="2B103F79" w:rsidRPr="004431F4">
        <w:rPr>
          <w:rFonts w:eastAsia="Times New Roman"/>
          <w:color w:val="000000" w:themeColor="text1"/>
          <w:sz w:val="24"/>
          <w:szCs w:val="24"/>
        </w:rPr>
        <w:t>three-point</w:t>
      </w:r>
      <w:r w:rsidRPr="004431F4">
        <w:rPr>
          <w:rFonts w:eastAsia="Times New Roman"/>
          <w:color w:val="000000" w:themeColor="text1"/>
          <w:sz w:val="24"/>
          <w:szCs w:val="24"/>
        </w:rPr>
        <w:t xml:space="preserve"> flexural specimens, and 90</w:t>
      </w:r>
      <w:r w:rsidR="6840A177" w:rsidRPr="004431F4">
        <w:rPr>
          <w:rFonts w:eastAsia="Times New Roman"/>
          <w:color w:val="000000" w:themeColor="text1"/>
          <w:sz w:val="24"/>
          <w:szCs w:val="24"/>
        </w:rPr>
        <w:t>°</w:t>
      </w:r>
      <w:r w:rsidRPr="004431F4">
        <w:rPr>
          <w:rFonts w:eastAsia="Times New Roman"/>
          <w:color w:val="000000" w:themeColor="text1"/>
          <w:sz w:val="24"/>
          <w:szCs w:val="24"/>
        </w:rPr>
        <w:t xml:space="preserve"> for the witness coupons. The chamber was flushed with argon gas, and O</w:t>
      </w:r>
      <w:r w:rsidRPr="004431F4">
        <w:rPr>
          <w:rFonts w:eastAsia="Times New Roman"/>
          <w:color w:val="000000" w:themeColor="text1"/>
          <w:sz w:val="24"/>
          <w:szCs w:val="24"/>
          <w:vertAlign w:val="subscript"/>
        </w:rPr>
        <w:t>2</w:t>
      </w:r>
      <w:r w:rsidRPr="004431F4">
        <w:rPr>
          <w:rFonts w:eastAsia="Times New Roman"/>
          <w:color w:val="000000" w:themeColor="text1"/>
          <w:sz w:val="24"/>
          <w:szCs w:val="24"/>
        </w:rPr>
        <w:t xml:space="preserve"> concentrations were kept below 500 ppm throughout the entire process.</w:t>
      </w:r>
    </w:p>
    <w:p w14:paraId="590F2AEB" w14:textId="77777777" w:rsidR="005141AE" w:rsidRPr="004431F4" w:rsidRDefault="005141AE" w:rsidP="004B77AD">
      <w:pPr>
        <w:pStyle w:val="Heading5"/>
        <w:spacing w:line="276" w:lineRule="auto"/>
        <w:rPr>
          <w:rFonts w:ascii="Times New Roman" w:hAnsi="Times New Roman" w:cs="Times New Roman"/>
          <w:color w:val="auto"/>
          <w:sz w:val="24"/>
          <w:szCs w:val="24"/>
        </w:rPr>
      </w:pPr>
      <w:r w:rsidRPr="004431F4">
        <w:rPr>
          <w:rFonts w:ascii="Times New Roman" w:hAnsi="Times New Roman" w:cs="Times New Roman"/>
          <w:color w:val="auto"/>
          <w:sz w:val="24"/>
          <w:szCs w:val="24"/>
        </w:rPr>
        <w:lastRenderedPageBreak/>
        <w:t>Table I: List of Processing parameters by material</w:t>
      </w:r>
    </w:p>
    <w:tbl>
      <w:tblPr>
        <w:tblStyle w:val="TableGrid"/>
        <w:tblW w:w="6791"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245"/>
        <w:gridCol w:w="1287"/>
        <w:gridCol w:w="1653"/>
        <w:gridCol w:w="1271"/>
        <w:gridCol w:w="1335"/>
      </w:tblGrid>
      <w:tr w:rsidR="005141AE" w:rsidRPr="004431F4" w14:paraId="4279B8C6" w14:textId="77777777" w:rsidTr="0030225A">
        <w:trPr>
          <w:trHeight w:val="297"/>
          <w:jc w:val="center"/>
        </w:trPr>
        <w:tc>
          <w:tcPr>
            <w:tcW w:w="1245" w:type="dxa"/>
            <w:shd w:val="clear" w:color="auto" w:fill="D0CECE" w:themeFill="background2" w:themeFillShade="E6"/>
            <w:tcMar>
              <w:left w:w="105" w:type="dxa"/>
              <w:right w:w="105" w:type="dxa"/>
            </w:tcMar>
            <w:vAlign w:val="center"/>
          </w:tcPr>
          <w:p w14:paraId="35EE55A5" w14:textId="77777777" w:rsidR="005141AE" w:rsidRPr="0030225A" w:rsidRDefault="005141AE" w:rsidP="004B77AD">
            <w:pPr>
              <w:spacing w:line="276" w:lineRule="auto"/>
              <w:rPr>
                <w:rFonts w:eastAsia="Times New Roman"/>
                <w:sz w:val="24"/>
                <w:szCs w:val="24"/>
              </w:rPr>
            </w:pPr>
            <w:bookmarkStart w:id="2" w:name="_Hlk150895887"/>
            <w:r w:rsidRPr="0030225A">
              <w:rPr>
                <w:rFonts w:eastAsia="Times New Roman"/>
                <w:bCs/>
                <w:sz w:val="24"/>
                <w:szCs w:val="24"/>
              </w:rPr>
              <w:t>Material</w:t>
            </w:r>
          </w:p>
        </w:tc>
        <w:tc>
          <w:tcPr>
            <w:tcW w:w="1287" w:type="dxa"/>
            <w:shd w:val="clear" w:color="auto" w:fill="D0CECE" w:themeFill="background2" w:themeFillShade="E6"/>
            <w:tcMar>
              <w:left w:w="105" w:type="dxa"/>
              <w:right w:w="105" w:type="dxa"/>
            </w:tcMar>
            <w:vAlign w:val="center"/>
          </w:tcPr>
          <w:p w14:paraId="13587C0D" w14:textId="77777777" w:rsidR="005141AE" w:rsidRPr="0030225A" w:rsidRDefault="005141AE" w:rsidP="004B77AD">
            <w:pPr>
              <w:spacing w:line="276" w:lineRule="auto"/>
              <w:rPr>
                <w:rFonts w:eastAsia="Times New Roman"/>
                <w:sz w:val="24"/>
                <w:szCs w:val="24"/>
              </w:rPr>
            </w:pPr>
            <w:r w:rsidRPr="0030225A">
              <w:rPr>
                <w:rFonts w:eastAsia="Times New Roman"/>
                <w:bCs/>
                <w:sz w:val="24"/>
                <w:szCs w:val="24"/>
              </w:rPr>
              <w:t>Power (W)</w:t>
            </w:r>
          </w:p>
        </w:tc>
        <w:tc>
          <w:tcPr>
            <w:tcW w:w="1653" w:type="dxa"/>
            <w:shd w:val="clear" w:color="auto" w:fill="D0CECE" w:themeFill="background2" w:themeFillShade="E6"/>
            <w:tcMar>
              <w:left w:w="105" w:type="dxa"/>
              <w:right w:w="105" w:type="dxa"/>
            </w:tcMar>
            <w:vAlign w:val="center"/>
          </w:tcPr>
          <w:p w14:paraId="449BC1C9" w14:textId="77777777" w:rsidR="005141AE" w:rsidRPr="0030225A" w:rsidRDefault="005141AE" w:rsidP="004B77AD">
            <w:pPr>
              <w:spacing w:line="276" w:lineRule="auto"/>
              <w:rPr>
                <w:rFonts w:eastAsia="Times New Roman"/>
                <w:sz w:val="24"/>
                <w:szCs w:val="24"/>
              </w:rPr>
            </w:pPr>
            <w:r w:rsidRPr="0030225A">
              <w:rPr>
                <w:rFonts w:eastAsia="Times New Roman"/>
                <w:bCs/>
                <w:sz w:val="24"/>
                <w:szCs w:val="24"/>
              </w:rPr>
              <w:t>Scanning Speed (mm/s)</w:t>
            </w:r>
          </w:p>
        </w:tc>
        <w:tc>
          <w:tcPr>
            <w:tcW w:w="1271" w:type="dxa"/>
            <w:shd w:val="clear" w:color="auto" w:fill="D0CECE" w:themeFill="background2" w:themeFillShade="E6"/>
            <w:tcMar>
              <w:left w:w="105" w:type="dxa"/>
              <w:right w:w="105" w:type="dxa"/>
            </w:tcMar>
            <w:vAlign w:val="center"/>
          </w:tcPr>
          <w:p w14:paraId="2666054D" w14:textId="77777777" w:rsidR="005141AE" w:rsidRPr="0030225A" w:rsidRDefault="005141AE" w:rsidP="004B77AD">
            <w:pPr>
              <w:spacing w:line="276" w:lineRule="auto"/>
              <w:rPr>
                <w:rFonts w:eastAsia="Times New Roman"/>
                <w:sz w:val="24"/>
                <w:szCs w:val="24"/>
              </w:rPr>
            </w:pPr>
            <w:r w:rsidRPr="0030225A">
              <w:rPr>
                <w:rFonts w:eastAsia="Times New Roman"/>
                <w:bCs/>
                <w:sz w:val="24"/>
                <w:szCs w:val="24"/>
              </w:rPr>
              <w:t>Hatch Spacing (</w:t>
            </w:r>
            <w:r w:rsidRPr="0030225A">
              <w:rPr>
                <w:rFonts w:eastAsia="Times New Roman"/>
                <w:color w:val="000000" w:themeColor="text1"/>
                <w:sz w:val="24"/>
                <w:szCs w:val="24"/>
              </w:rPr>
              <w:t>µ</w:t>
            </w:r>
            <w:r w:rsidRPr="0030225A">
              <w:rPr>
                <w:rFonts w:eastAsia="Times New Roman"/>
                <w:bCs/>
                <w:sz w:val="24"/>
                <w:szCs w:val="24"/>
              </w:rPr>
              <w:t>m)</w:t>
            </w:r>
          </w:p>
        </w:tc>
        <w:tc>
          <w:tcPr>
            <w:tcW w:w="1335" w:type="dxa"/>
            <w:shd w:val="clear" w:color="auto" w:fill="D0CECE" w:themeFill="background2" w:themeFillShade="E6"/>
            <w:tcMar>
              <w:left w:w="105" w:type="dxa"/>
              <w:right w:w="105" w:type="dxa"/>
            </w:tcMar>
            <w:vAlign w:val="center"/>
          </w:tcPr>
          <w:p w14:paraId="32E6272D" w14:textId="77777777" w:rsidR="005141AE" w:rsidRPr="0030225A" w:rsidRDefault="005141AE" w:rsidP="004B77AD">
            <w:pPr>
              <w:spacing w:line="276" w:lineRule="auto"/>
              <w:rPr>
                <w:rFonts w:eastAsia="Times New Roman"/>
                <w:sz w:val="24"/>
                <w:szCs w:val="24"/>
              </w:rPr>
            </w:pPr>
            <w:r w:rsidRPr="0030225A">
              <w:rPr>
                <w:rFonts w:eastAsia="Times New Roman"/>
                <w:bCs/>
                <w:sz w:val="24"/>
                <w:szCs w:val="24"/>
              </w:rPr>
              <w:t>Layer Thickness (</w:t>
            </w:r>
            <w:r w:rsidRPr="0030225A">
              <w:rPr>
                <w:rFonts w:eastAsia="Times New Roman"/>
                <w:color w:val="000000" w:themeColor="text1"/>
                <w:sz w:val="24"/>
                <w:szCs w:val="24"/>
              </w:rPr>
              <w:t>µ</w:t>
            </w:r>
            <w:r w:rsidRPr="0030225A">
              <w:rPr>
                <w:rFonts w:eastAsia="Times New Roman"/>
                <w:bCs/>
                <w:sz w:val="24"/>
                <w:szCs w:val="24"/>
              </w:rPr>
              <w:t>m)</w:t>
            </w:r>
          </w:p>
        </w:tc>
      </w:tr>
      <w:tr w:rsidR="005141AE" w:rsidRPr="004431F4" w14:paraId="6BF9C276" w14:textId="77777777" w:rsidTr="0030225A">
        <w:trPr>
          <w:trHeight w:val="137"/>
          <w:jc w:val="center"/>
        </w:trPr>
        <w:tc>
          <w:tcPr>
            <w:tcW w:w="1245" w:type="dxa"/>
            <w:shd w:val="clear" w:color="auto" w:fill="D0CECE" w:themeFill="background2" w:themeFillShade="E6"/>
            <w:tcMar>
              <w:left w:w="105" w:type="dxa"/>
              <w:right w:w="105" w:type="dxa"/>
            </w:tcMar>
          </w:tcPr>
          <w:p w14:paraId="52B24C16" w14:textId="77777777" w:rsidR="005141AE" w:rsidRPr="0030225A" w:rsidRDefault="005141AE" w:rsidP="004B77AD">
            <w:pPr>
              <w:spacing w:line="276" w:lineRule="auto"/>
              <w:rPr>
                <w:rFonts w:eastAsia="Times New Roman"/>
                <w:sz w:val="24"/>
                <w:szCs w:val="24"/>
              </w:rPr>
            </w:pPr>
            <w:r w:rsidRPr="0030225A">
              <w:rPr>
                <w:rFonts w:eastAsia="Times New Roman"/>
                <w:color w:val="000000" w:themeColor="text1"/>
                <w:sz w:val="24"/>
                <w:szCs w:val="24"/>
              </w:rPr>
              <w:t>Bronze</w:t>
            </w:r>
          </w:p>
        </w:tc>
        <w:tc>
          <w:tcPr>
            <w:tcW w:w="1287" w:type="dxa"/>
            <w:tcMar>
              <w:left w:w="105" w:type="dxa"/>
              <w:right w:w="105" w:type="dxa"/>
            </w:tcMar>
          </w:tcPr>
          <w:p w14:paraId="1D1DBEC3" w14:textId="77777777" w:rsidR="005141AE" w:rsidRPr="004431F4" w:rsidRDefault="005141AE" w:rsidP="004B77AD">
            <w:pPr>
              <w:spacing w:line="276" w:lineRule="auto"/>
              <w:rPr>
                <w:rFonts w:eastAsia="Times New Roman"/>
                <w:sz w:val="24"/>
                <w:szCs w:val="24"/>
              </w:rPr>
            </w:pPr>
            <w:r w:rsidRPr="004431F4">
              <w:rPr>
                <w:rFonts w:eastAsia="Times New Roman"/>
                <w:sz w:val="24"/>
                <w:szCs w:val="24"/>
              </w:rPr>
              <w:t>200</w:t>
            </w:r>
          </w:p>
        </w:tc>
        <w:tc>
          <w:tcPr>
            <w:tcW w:w="1653" w:type="dxa"/>
            <w:tcMar>
              <w:left w:w="105" w:type="dxa"/>
              <w:right w:w="105" w:type="dxa"/>
            </w:tcMar>
          </w:tcPr>
          <w:p w14:paraId="192BFF5B" w14:textId="77777777" w:rsidR="005141AE" w:rsidRPr="004431F4" w:rsidRDefault="005141AE" w:rsidP="004B77AD">
            <w:pPr>
              <w:spacing w:line="276" w:lineRule="auto"/>
              <w:rPr>
                <w:rFonts w:eastAsia="Times New Roman"/>
                <w:sz w:val="24"/>
                <w:szCs w:val="24"/>
              </w:rPr>
            </w:pPr>
            <w:r w:rsidRPr="004431F4">
              <w:rPr>
                <w:rFonts w:eastAsia="Times New Roman"/>
                <w:sz w:val="24"/>
                <w:szCs w:val="24"/>
              </w:rPr>
              <w:t>500</w:t>
            </w:r>
          </w:p>
        </w:tc>
        <w:tc>
          <w:tcPr>
            <w:tcW w:w="1271" w:type="dxa"/>
            <w:tcMar>
              <w:left w:w="105" w:type="dxa"/>
              <w:right w:w="105" w:type="dxa"/>
            </w:tcMar>
          </w:tcPr>
          <w:p w14:paraId="47F00898" w14:textId="77777777" w:rsidR="005141AE" w:rsidRPr="004431F4" w:rsidRDefault="005141AE" w:rsidP="004B77AD">
            <w:pPr>
              <w:spacing w:line="276" w:lineRule="auto"/>
              <w:rPr>
                <w:rFonts w:eastAsia="Times New Roman"/>
                <w:sz w:val="24"/>
                <w:szCs w:val="24"/>
              </w:rPr>
            </w:pPr>
            <w:r w:rsidRPr="004431F4">
              <w:rPr>
                <w:rFonts w:eastAsia="Times New Roman"/>
                <w:sz w:val="24"/>
                <w:szCs w:val="24"/>
              </w:rPr>
              <w:t>120</w:t>
            </w:r>
          </w:p>
        </w:tc>
        <w:tc>
          <w:tcPr>
            <w:tcW w:w="1335" w:type="dxa"/>
            <w:tcMar>
              <w:left w:w="105" w:type="dxa"/>
              <w:right w:w="105" w:type="dxa"/>
            </w:tcMar>
          </w:tcPr>
          <w:p w14:paraId="5E869472" w14:textId="77777777" w:rsidR="005141AE" w:rsidRPr="004431F4" w:rsidRDefault="005141AE" w:rsidP="004B77AD">
            <w:pPr>
              <w:spacing w:line="276" w:lineRule="auto"/>
              <w:rPr>
                <w:rFonts w:eastAsia="Times New Roman"/>
                <w:sz w:val="24"/>
                <w:szCs w:val="24"/>
              </w:rPr>
            </w:pPr>
            <w:r w:rsidRPr="004431F4">
              <w:rPr>
                <w:rFonts w:eastAsia="Times New Roman"/>
                <w:sz w:val="24"/>
                <w:szCs w:val="24"/>
              </w:rPr>
              <w:t>40</w:t>
            </w:r>
          </w:p>
        </w:tc>
      </w:tr>
      <w:tr w:rsidR="005141AE" w:rsidRPr="004431F4" w14:paraId="25B77031" w14:textId="77777777" w:rsidTr="0030225A">
        <w:trPr>
          <w:trHeight w:val="130"/>
          <w:jc w:val="center"/>
        </w:trPr>
        <w:tc>
          <w:tcPr>
            <w:tcW w:w="1245" w:type="dxa"/>
            <w:shd w:val="clear" w:color="auto" w:fill="D0CECE" w:themeFill="background2" w:themeFillShade="E6"/>
            <w:tcMar>
              <w:left w:w="105" w:type="dxa"/>
              <w:right w:w="105" w:type="dxa"/>
            </w:tcMar>
          </w:tcPr>
          <w:p w14:paraId="67A61C08" w14:textId="77777777" w:rsidR="005141AE" w:rsidRPr="0030225A" w:rsidRDefault="005141AE" w:rsidP="004B77AD">
            <w:pPr>
              <w:spacing w:line="276" w:lineRule="auto"/>
              <w:rPr>
                <w:rFonts w:eastAsia="Times New Roman"/>
                <w:sz w:val="24"/>
                <w:szCs w:val="24"/>
              </w:rPr>
            </w:pPr>
            <w:r w:rsidRPr="0030225A">
              <w:rPr>
                <w:rFonts w:eastAsia="Times New Roman"/>
                <w:sz w:val="24"/>
                <w:szCs w:val="24"/>
              </w:rPr>
              <w:t>904L SS</w:t>
            </w:r>
          </w:p>
        </w:tc>
        <w:tc>
          <w:tcPr>
            <w:tcW w:w="1287" w:type="dxa"/>
            <w:tcMar>
              <w:left w:w="105" w:type="dxa"/>
              <w:right w:w="105" w:type="dxa"/>
            </w:tcMar>
          </w:tcPr>
          <w:p w14:paraId="6A8E3FC9" w14:textId="77777777" w:rsidR="005141AE" w:rsidRPr="004431F4" w:rsidRDefault="005141AE" w:rsidP="004B77AD">
            <w:pPr>
              <w:spacing w:line="276" w:lineRule="auto"/>
              <w:rPr>
                <w:rFonts w:eastAsia="Times New Roman"/>
                <w:sz w:val="24"/>
                <w:szCs w:val="24"/>
              </w:rPr>
            </w:pPr>
            <w:r w:rsidRPr="004431F4">
              <w:rPr>
                <w:rFonts w:eastAsia="Times New Roman"/>
                <w:sz w:val="24"/>
                <w:szCs w:val="24"/>
              </w:rPr>
              <w:t>250</w:t>
            </w:r>
          </w:p>
        </w:tc>
        <w:tc>
          <w:tcPr>
            <w:tcW w:w="1653" w:type="dxa"/>
            <w:tcMar>
              <w:left w:w="105" w:type="dxa"/>
              <w:right w:w="105" w:type="dxa"/>
            </w:tcMar>
          </w:tcPr>
          <w:p w14:paraId="6E31FCE6" w14:textId="77777777" w:rsidR="005141AE" w:rsidRPr="004431F4" w:rsidRDefault="005141AE" w:rsidP="004B77AD">
            <w:pPr>
              <w:spacing w:line="276" w:lineRule="auto"/>
              <w:rPr>
                <w:rFonts w:eastAsia="Times New Roman"/>
                <w:sz w:val="24"/>
                <w:szCs w:val="24"/>
              </w:rPr>
            </w:pPr>
            <w:r w:rsidRPr="004431F4">
              <w:rPr>
                <w:rFonts w:eastAsia="Times New Roman"/>
                <w:sz w:val="24"/>
                <w:szCs w:val="24"/>
              </w:rPr>
              <w:t>750</w:t>
            </w:r>
          </w:p>
        </w:tc>
        <w:tc>
          <w:tcPr>
            <w:tcW w:w="1271" w:type="dxa"/>
            <w:tcMar>
              <w:left w:w="105" w:type="dxa"/>
              <w:right w:w="105" w:type="dxa"/>
            </w:tcMar>
          </w:tcPr>
          <w:p w14:paraId="0EBFFF90" w14:textId="77777777" w:rsidR="005141AE" w:rsidRPr="004431F4" w:rsidRDefault="005141AE" w:rsidP="004B77AD">
            <w:pPr>
              <w:spacing w:line="276" w:lineRule="auto"/>
              <w:rPr>
                <w:rFonts w:eastAsia="Times New Roman"/>
                <w:sz w:val="24"/>
                <w:szCs w:val="24"/>
              </w:rPr>
            </w:pPr>
            <w:r w:rsidRPr="004431F4">
              <w:rPr>
                <w:rFonts w:eastAsia="Times New Roman"/>
                <w:sz w:val="24"/>
                <w:szCs w:val="24"/>
              </w:rPr>
              <w:t>80</w:t>
            </w:r>
          </w:p>
        </w:tc>
        <w:tc>
          <w:tcPr>
            <w:tcW w:w="1335" w:type="dxa"/>
            <w:tcMar>
              <w:left w:w="105" w:type="dxa"/>
              <w:right w:w="105" w:type="dxa"/>
            </w:tcMar>
          </w:tcPr>
          <w:p w14:paraId="76BC0276" w14:textId="77777777" w:rsidR="005141AE" w:rsidRPr="004431F4" w:rsidRDefault="005141AE" w:rsidP="004B77AD">
            <w:pPr>
              <w:spacing w:line="276" w:lineRule="auto"/>
              <w:rPr>
                <w:rFonts w:eastAsia="Times New Roman"/>
                <w:sz w:val="24"/>
                <w:szCs w:val="24"/>
              </w:rPr>
            </w:pPr>
            <w:r w:rsidRPr="004431F4">
              <w:rPr>
                <w:rFonts w:eastAsia="Times New Roman"/>
                <w:sz w:val="24"/>
                <w:szCs w:val="24"/>
              </w:rPr>
              <w:t>40</w:t>
            </w:r>
          </w:p>
        </w:tc>
      </w:tr>
      <w:bookmarkEnd w:id="2"/>
    </w:tbl>
    <w:p w14:paraId="0957BD14" w14:textId="77777777" w:rsidR="005141AE" w:rsidRPr="004431F4" w:rsidRDefault="005141AE" w:rsidP="004B77AD">
      <w:pPr>
        <w:spacing w:line="276" w:lineRule="auto"/>
        <w:jc w:val="both"/>
        <w:rPr>
          <w:sz w:val="24"/>
          <w:szCs w:val="24"/>
        </w:rPr>
      </w:pPr>
    </w:p>
    <w:p w14:paraId="05FD615D" w14:textId="48876877" w:rsidR="005141AE" w:rsidRPr="004431F4" w:rsidRDefault="0110BF78" w:rsidP="004B77AD">
      <w:pPr>
        <w:spacing w:line="276" w:lineRule="auto"/>
        <w:ind w:firstLine="720"/>
        <w:jc w:val="both"/>
        <w:rPr>
          <w:rFonts w:eastAsia="Times New Roman"/>
          <w:color w:val="000000" w:themeColor="text1"/>
          <w:sz w:val="24"/>
          <w:szCs w:val="24"/>
        </w:rPr>
      </w:pPr>
      <w:r w:rsidRPr="004431F4">
        <w:rPr>
          <w:rFonts w:eastAsia="Times New Roman"/>
          <w:color w:val="000000" w:themeColor="text1"/>
          <w:sz w:val="24"/>
          <w:szCs w:val="24"/>
        </w:rPr>
        <w:t xml:space="preserve">SEM characterization of both powders was performed at an operating voltage and current of 5kV and 0.10mA at a working distance of </w:t>
      </w:r>
      <w:bookmarkStart w:id="3" w:name="_Int_ki02N9Dc"/>
      <w:r w:rsidRPr="004431F4">
        <w:rPr>
          <w:rFonts w:eastAsia="Times New Roman"/>
          <w:color w:val="000000" w:themeColor="text1"/>
          <w:sz w:val="24"/>
          <w:szCs w:val="24"/>
        </w:rPr>
        <w:t>10.1 mm</w:t>
      </w:r>
      <w:bookmarkEnd w:id="3"/>
      <w:r w:rsidRPr="004431F4">
        <w:rPr>
          <w:rFonts w:eastAsia="Times New Roman"/>
          <w:color w:val="000000" w:themeColor="text1"/>
          <w:sz w:val="24"/>
          <w:szCs w:val="24"/>
        </w:rPr>
        <w:t>. Analysis of both particles showed a consistent spherical shape. Particle size distribution characterization on both powders (</w:t>
      </w:r>
      <w:proofErr w:type="spellStart"/>
      <w:r w:rsidRPr="004431F4">
        <w:rPr>
          <w:rFonts w:eastAsia="Times New Roman"/>
          <w:color w:val="000000" w:themeColor="text1"/>
          <w:sz w:val="24"/>
          <w:szCs w:val="24"/>
        </w:rPr>
        <w:t>Mastersizer</w:t>
      </w:r>
      <w:proofErr w:type="spellEnd"/>
      <w:r w:rsidRPr="004431F4">
        <w:rPr>
          <w:rFonts w:eastAsia="Times New Roman"/>
          <w:color w:val="000000" w:themeColor="text1"/>
          <w:sz w:val="24"/>
          <w:szCs w:val="24"/>
        </w:rPr>
        <w:t xml:space="preserve"> 3000, Malvern </w:t>
      </w:r>
      <w:proofErr w:type="spellStart"/>
      <w:r w:rsidRPr="004431F4">
        <w:rPr>
          <w:rFonts w:eastAsia="Times New Roman"/>
          <w:color w:val="000000" w:themeColor="text1"/>
          <w:sz w:val="24"/>
          <w:szCs w:val="24"/>
        </w:rPr>
        <w:t>Panalytical</w:t>
      </w:r>
      <w:proofErr w:type="spellEnd"/>
      <w:r w:rsidRPr="004431F4">
        <w:rPr>
          <w:rFonts w:eastAsia="Times New Roman"/>
          <w:color w:val="000000" w:themeColor="text1"/>
          <w:sz w:val="24"/>
          <w:szCs w:val="24"/>
        </w:rPr>
        <w:t xml:space="preserve">, UK) yielded a 10-90% percentile range of 18.7-46.1 µm for 904L stainless steel powder (Thyssenkrupp Materials Trading GmbH, Germany) and 6.01-33.4 µm for bronze (Eckart TLS GmbH, Germany), averaged across 6 measurements for each material. </w:t>
      </w:r>
    </w:p>
    <w:p w14:paraId="0DBF7EB7" w14:textId="77777777" w:rsidR="002E099C" w:rsidRPr="004431F4" w:rsidRDefault="002E099C" w:rsidP="004B77AD">
      <w:pPr>
        <w:spacing w:line="276" w:lineRule="auto"/>
        <w:ind w:firstLine="720"/>
        <w:jc w:val="both"/>
        <w:rPr>
          <w:rFonts w:eastAsia="Times New Roman"/>
          <w:color w:val="000000" w:themeColor="text1"/>
          <w:sz w:val="24"/>
          <w:szCs w:val="24"/>
        </w:rPr>
      </w:pPr>
    </w:p>
    <w:p w14:paraId="4836BD48" w14:textId="39DFD986" w:rsidR="006254C9" w:rsidRPr="004431F4" w:rsidRDefault="00D343BD" w:rsidP="004B77AD">
      <w:pPr>
        <w:spacing w:line="276" w:lineRule="auto"/>
        <w:jc w:val="both"/>
        <w:rPr>
          <w:rFonts w:eastAsia="Times New Roman"/>
          <w:color w:val="000000" w:themeColor="text1"/>
          <w:sz w:val="24"/>
          <w:szCs w:val="24"/>
        </w:rPr>
      </w:pPr>
      <w:r w:rsidRPr="004431F4">
        <w:rPr>
          <w:rFonts w:eastAsia="Times New Roman"/>
          <w:noProof/>
          <w:color w:val="000000" w:themeColor="text1"/>
          <w:sz w:val="24"/>
          <w:szCs w:val="24"/>
        </w:rPr>
        <w:drawing>
          <wp:inline distT="0" distB="0" distL="0" distR="0" wp14:anchorId="41DE773C" wp14:editId="410F0EE1">
            <wp:extent cx="5890161" cy="341502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08334" cy="3425561"/>
                    </a:xfrm>
                    <a:prstGeom prst="rect">
                      <a:avLst/>
                    </a:prstGeom>
                    <a:noFill/>
                  </pic:spPr>
                </pic:pic>
              </a:graphicData>
            </a:graphic>
          </wp:inline>
        </w:drawing>
      </w:r>
    </w:p>
    <w:p w14:paraId="691AC91F" w14:textId="37C23D02" w:rsidR="00D343BD" w:rsidRPr="004431F4" w:rsidRDefault="00D343BD" w:rsidP="004B77AD">
      <w:pPr>
        <w:spacing w:line="276" w:lineRule="auto"/>
        <w:jc w:val="both"/>
        <w:rPr>
          <w:i/>
          <w:iCs/>
          <w:sz w:val="24"/>
          <w:szCs w:val="24"/>
        </w:rPr>
      </w:pPr>
      <w:r w:rsidRPr="00A87550">
        <w:rPr>
          <w:rFonts w:eastAsia="Times New Roman"/>
          <w:b/>
          <w:color w:val="000000" w:themeColor="text1"/>
          <w:sz w:val="24"/>
          <w:szCs w:val="24"/>
        </w:rPr>
        <w:t>Figure S2</w:t>
      </w:r>
      <w:r w:rsidRPr="004431F4">
        <w:rPr>
          <w:rFonts w:eastAsia="Times New Roman"/>
          <w:color w:val="000000" w:themeColor="text1"/>
          <w:sz w:val="24"/>
          <w:szCs w:val="24"/>
        </w:rPr>
        <w:t xml:space="preserve">: </w:t>
      </w:r>
      <w:r w:rsidRPr="00A87550">
        <w:rPr>
          <w:rFonts w:eastAsia="Times New Roman"/>
          <w:i/>
          <w:color w:val="000000" w:themeColor="text1"/>
          <w:sz w:val="24"/>
          <w:szCs w:val="24"/>
        </w:rPr>
        <w:t>A) PSD of 904L SS powder B) PSD of CuSn10 powder C) S</w:t>
      </w:r>
      <w:r w:rsidRPr="00A87550">
        <w:rPr>
          <w:i/>
          <w:iCs/>
          <w:sz w:val="24"/>
          <w:szCs w:val="24"/>
        </w:rPr>
        <w:t>EM image of 904L stainless steel feedstock powder D) SEM image of bronze, CuSn10 feedstock powder.</w:t>
      </w:r>
      <w:r w:rsidRPr="004431F4">
        <w:rPr>
          <w:i/>
          <w:iCs/>
          <w:sz w:val="24"/>
          <w:szCs w:val="24"/>
        </w:rPr>
        <w:t xml:space="preserve"> </w:t>
      </w:r>
    </w:p>
    <w:p w14:paraId="648CEFFE" w14:textId="110E9F36" w:rsidR="005141AE" w:rsidRPr="004431F4" w:rsidRDefault="005141AE" w:rsidP="004B77AD">
      <w:pPr>
        <w:spacing w:line="276" w:lineRule="auto"/>
        <w:jc w:val="both"/>
        <w:rPr>
          <w:rFonts w:eastAsia="Times New Roman"/>
          <w:color w:val="000000" w:themeColor="text1"/>
          <w:sz w:val="24"/>
          <w:szCs w:val="24"/>
          <w:highlight w:val="yellow"/>
        </w:rPr>
      </w:pPr>
    </w:p>
    <w:p w14:paraId="6B38E86A" w14:textId="17E97015" w:rsidR="009334D5" w:rsidRPr="004431F4" w:rsidRDefault="009334D5"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Table II: 904L stainless steel powder composition sourced from Thyssenkrupp Materials Trading GmbH, Germany</w:t>
      </w:r>
      <w:r w:rsidR="00225CAF" w:rsidRPr="004431F4">
        <w:rPr>
          <w:rFonts w:eastAsia="Times New Roman"/>
          <w:color w:val="000000" w:themeColor="text1"/>
          <w:sz w:val="24"/>
          <w:szCs w:val="24"/>
        </w:rPr>
        <w:fldChar w:fldCharType="begin"/>
      </w:r>
      <w:r w:rsidR="008A44B5">
        <w:rPr>
          <w:rFonts w:eastAsia="Times New Roman"/>
          <w:color w:val="000000" w:themeColor="text1"/>
          <w:sz w:val="24"/>
          <w:szCs w:val="24"/>
        </w:rPr>
        <w:instrText xml:space="preserve"> ADDIN ZOTERO_ITEM CSL_CITATION {"citationID":"TFZsDIwR","properties":{"formattedCitation":"\\super 3\\nosupersub{}","plainCitation":"3","noteIndex":0},"citationItems":[{"id":5852,"uris":["http://zotero.org/users/13440149/items/EPURPVIV"],"itemData":{"id":5852,"type":"webpage","abstract":"Stainless steel 904L - 1.4539 is one of the many grades that thyssenkrupp Materials (UK) supply. We supply a vast range in various forms of stainless, aluminium and mild steel. This data sheet gives you more detailed information about the chemical and mechanical properties and is available as a pdf download.","container-title":"Materials UK","language":"en","title":"Stainless Steel 904L - Data Sheet - thyssenkrupp Materials (UK)","URL":"https://www.thyssenkrupp-materials.co.uk/stainless-steel-904l-14539.html","accessed":{"date-parts":[["2024",4,21]]}}}],"schema":"https://github.com/citation-style-language/schema/raw/master/csl-citation.json"} </w:instrText>
      </w:r>
      <w:r w:rsidR="00225CAF" w:rsidRPr="004431F4">
        <w:rPr>
          <w:rFonts w:eastAsia="Times New Roman"/>
          <w:color w:val="000000" w:themeColor="text1"/>
          <w:sz w:val="24"/>
          <w:szCs w:val="24"/>
        </w:rPr>
        <w:fldChar w:fldCharType="separate"/>
      </w:r>
      <w:r w:rsidR="00FD76C4" w:rsidRPr="00FD76C4">
        <w:rPr>
          <w:sz w:val="24"/>
          <w:szCs w:val="24"/>
          <w:vertAlign w:val="superscript"/>
        </w:rPr>
        <w:t>3</w:t>
      </w:r>
      <w:r w:rsidR="00225CAF" w:rsidRPr="004431F4">
        <w:rPr>
          <w:rFonts w:eastAsia="Times New Roman"/>
          <w:color w:val="000000" w:themeColor="text1"/>
          <w:sz w:val="24"/>
          <w:szCs w:val="24"/>
        </w:rPr>
        <w:fldChar w:fldCharType="end"/>
      </w:r>
      <w:r w:rsidRPr="004431F4">
        <w:rPr>
          <w:rFonts w:eastAsia="Times New Roman"/>
          <w:color w:val="000000" w:themeColor="text1"/>
          <w:sz w:val="24"/>
          <w:szCs w:val="24"/>
        </w:rPr>
        <w:t>.</w:t>
      </w:r>
    </w:p>
    <w:tbl>
      <w:tblPr>
        <w:tblStyle w:val="TableGrid"/>
        <w:tblW w:w="0" w:type="auto"/>
        <w:tblLook w:val="04A0" w:firstRow="1" w:lastRow="0" w:firstColumn="1" w:lastColumn="0" w:noHBand="0" w:noVBand="1"/>
      </w:tblPr>
      <w:tblGrid>
        <w:gridCol w:w="767"/>
        <w:gridCol w:w="766"/>
        <w:gridCol w:w="777"/>
        <w:gridCol w:w="813"/>
        <w:gridCol w:w="759"/>
        <w:gridCol w:w="759"/>
        <w:gridCol w:w="836"/>
        <w:gridCol w:w="836"/>
        <w:gridCol w:w="769"/>
        <w:gridCol w:w="817"/>
        <w:gridCol w:w="728"/>
        <w:gridCol w:w="723"/>
      </w:tblGrid>
      <w:tr w:rsidR="009334D5" w:rsidRPr="004431F4" w14:paraId="34DDC528" w14:textId="5EDDEEDC" w:rsidTr="0030225A">
        <w:tc>
          <w:tcPr>
            <w:tcW w:w="767" w:type="dxa"/>
            <w:shd w:val="clear" w:color="auto" w:fill="D0CECE" w:themeFill="background2" w:themeFillShade="E6"/>
          </w:tcPr>
          <w:p w14:paraId="03BF2AAC" w14:textId="77777777" w:rsidR="00B30B44" w:rsidRPr="004431F4" w:rsidRDefault="00B30B44" w:rsidP="004B77AD">
            <w:pPr>
              <w:spacing w:line="276" w:lineRule="auto"/>
              <w:jc w:val="both"/>
              <w:rPr>
                <w:rFonts w:eastAsia="Times New Roman"/>
                <w:color w:val="000000" w:themeColor="text1"/>
                <w:sz w:val="24"/>
                <w:szCs w:val="24"/>
              </w:rPr>
            </w:pPr>
          </w:p>
        </w:tc>
        <w:tc>
          <w:tcPr>
            <w:tcW w:w="766" w:type="dxa"/>
            <w:shd w:val="clear" w:color="auto" w:fill="D0CECE" w:themeFill="background2" w:themeFillShade="E6"/>
          </w:tcPr>
          <w:p w14:paraId="57D4B032" w14:textId="4F02143B"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C</w:t>
            </w:r>
          </w:p>
        </w:tc>
        <w:tc>
          <w:tcPr>
            <w:tcW w:w="777" w:type="dxa"/>
            <w:shd w:val="clear" w:color="auto" w:fill="D0CECE" w:themeFill="background2" w:themeFillShade="E6"/>
          </w:tcPr>
          <w:p w14:paraId="15785259" w14:textId="279E905D"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Si</w:t>
            </w:r>
          </w:p>
        </w:tc>
        <w:tc>
          <w:tcPr>
            <w:tcW w:w="813" w:type="dxa"/>
            <w:shd w:val="clear" w:color="auto" w:fill="D0CECE" w:themeFill="background2" w:themeFillShade="E6"/>
          </w:tcPr>
          <w:p w14:paraId="43FBCE30" w14:textId="04F01591"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Mn</w:t>
            </w:r>
          </w:p>
        </w:tc>
        <w:tc>
          <w:tcPr>
            <w:tcW w:w="759" w:type="dxa"/>
            <w:shd w:val="clear" w:color="auto" w:fill="D0CECE" w:themeFill="background2" w:themeFillShade="E6"/>
          </w:tcPr>
          <w:p w14:paraId="2E21E792" w14:textId="0978081D"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P</w:t>
            </w:r>
          </w:p>
        </w:tc>
        <w:tc>
          <w:tcPr>
            <w:tcW w:w="759" w:type="dxa"/>
            <w:shd w:val="clear" w:color="auto" w:fill="D0CECE" w:themeFill="background2" w:themeFillShade="E6"/>
          </w:tcPr>
          <w:p w14:paraId="65BDA799" w14:textId="5CDBE8FF"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S</w:t>
            </w:r>
          </w:p>
        </w:tc>
        <w:tc>
          <w:tcPr>
            <w:tcW w:w="836" w:type="dxa"/>
            <w:shd w:val="clear" w:color="auto" w:fill="D0CECE" w:themeFill="background2" w:themeFillShade="E6"/>
          </w:tcPr>
          <w:p w14:paraId="37D39770" w14:textId="6C7B8C4D"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Cr</w:t>
            </w:r>
          </w:p>
        </w:tc>
        <w:tc>
          <w:tcPr>
            <w:tcW w:w="836" w:type="dxa"/>
            <w:shd w:val="clear" w:color="auto" w:fill="D0CECE" w:themeFill="background2" w:themeFillShade="E6"/>
          </w:tcPr>
          <w:p w14:paraId="4B656B05" w14:textId="6A9DCEB8"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Ni</w:t>
            </w:r>
          </w:p>
        </w:tc>
        <w:tc>
          <w:tcPr>
            <w:tcW w:w="769" w:type="dxa"/>
            <w:shd w:val="clear" w:color="auto" w:fill="D0CECE" w:themeFill="background2" w:themeFillShade="E6"/>
          </w:tcPr>
          <w:p w14:paraId="0CC775A9" w14:textId="43105830"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N</w:t>
            </w:r>
          </w:p>
        </w:tc>
        <w:tc>
          <w:tcPr>
            <w:tcW w:w="817" w:type="dxa"/>
            <w:shd w:val="clear" w:color="auto" w:fill="D0CECE" w:themeFill="background2" w:themeFillShade="E6"/>
          </w:tcPr>
          <w:p w14:paraId="5AF99BE0" w14:textId="4B55D1E5"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Mo</w:t>
            </w:r>
          </w:p>
        </w:tc>
        <w:tc>
          <w:tcPr>
            <w:tcW w:w="728" w:type="dxa"/>
            <w:shd w:val="clear" w:color="auto" w:fill="D0CECE" w:themeFill="background2" w:themeFillShade="E6"/>
          </w:tcPr>
          <w:p w14:paraId="71CB6659" w14:textId="23695E2B"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Cu</w:t>
            </w:r>
          </w:p>
        </w:tc>
        <w:tc>
          <w:tcPr>
            <w:tcW w:w="723" w:type="dxa"/>
            <w:shd w:val="clear" w:color="auto" w:fill="D0CECE" w:themeFill="background2" w:themeFillShade="E6"/>
          </w:tcPr>
          <w:p w14:paraId="032154F4" w14:textId="0386E58B"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Fe</w:t>
            </w:r>
          </w:p>
        </w:tc>
      </w:tr>
      <w:tr w:rsidR="009334D5" w:rsidRPr="004431F4" w14:paraId="341073FD" w14:textId="74143519" w:rsidTr="0030225A">
        <w:tc>
          <w:tcPr>
            <w:tcW w:w="767" w:type="dxa"/>
            <w:shd w:val="clear" w:color="auto" w:fill="D0CECE" w:themeFill="background2" w:themeFillShade="E6"/>
          </w:tcPr>
          <w:p w14:paraId="3AE14EC5" w14:textId="42164FC2"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w:t>
            </w:r>
          </w:p>
        </w:tc>
        <w:tc>
          <w:tcPr>
            <w:tcW w:w="766" w:type="dxa"/>
          </w:tcPr>
          <w:p w14:paraId="7097C117" w14:textId="01CC0C05"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0.02</w:t>
            </w:r>
          </w:p>
        </w:tc>
        <w:tc>
          <w:tcPr>
            <w:tcW w:w="777" w:type="dxa"/>
          </w:tcPr>
          <w:p w14:paraId="08D79448" w14:textId="5807E28B"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0.70</w:t>
            </w:r>
          </w:p>
        </w:tc>
        <w:tc>
          <w:tcPr>
            <w:tcW w:w="813" w:type="dxa"/>
          </w:tcPr>
          <w:p w14:paraId="51604A9F" w14:textId="6516AF4A"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2.00</w:t>
            </w:r>
          </w:p>
        </w:tc>
        <w:tc>
          <w:tcPr>
            <w:tcW w:w="759" w:type="dxa"/>
          </w:tcPr>
          <w:p w14:paraId="761BA600" w14:textId="047EB366"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0.03</w:t>
            </w:r>
          </w:p>
        </w:tc>
        <w:tc>
          <w:tcPr>
            <w:tcW w:w="759" w:type="dxa"/>
          </w:tcPr>
          <w:p w14:paraId="1DBC51F3" w14:textId="13E34ACA"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0.01</w:t>
            </w:r>
          </w:p>
        </w:tc>
        <w:tc>
          <w:tcPr>
            <w:tcW w:w="836" w:type="dxa"/>
          </w:tcPr>
          <w:p w14:paraId="5CA0AC2B" w14:textId="495BFABE"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19.00-21.00</w:t>
            </w:r>
          </w:p>
        </w:tc>
        <w:tc>
          <w:tcPr>
            <w:tcW w:w="836" w:type="dxa"/>
          </w:tcPr>
          <w:p w14:paraId="1AF9E61C" w14:textId="7791415D"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24.00-26.99</w:t>
            </w:r>
          </w:p>
        </w:tc>
        <w:tc>
          <w:tcPr>
            <w:tcW w:w="769" w:type="dxa"/>
          </w:tcPr>
          <w:p w14:paraId="7FFD76A4" w14:textId="341C045D" w:rsidR="00B30B44" w:rsidRPr="004431F4" w:rsidRDefault="00D17D7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0.15</w:t>
            </w:r>
          </w:p>
        </w:tc>
        <w:tc>
          <w:tcPr>
            <w:tcW w:w="817" w:type="dxa"/>
          </w:tcPr>
          <w:p w14:paraId="39BD73CE" w14:textId="3D32C27C" w:rsidR="00B30B44" w:rsidRPr="004431F4" w:rsidRDefault="00D17D7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4.00-5.00</w:t>
            </w:r>
          </w:p>
        </w:tc>
        <w:tc>
          <w:tcPr>
            <w:tcW w:w="728" w:type="dxa"/>
          </w:tcPr>
          <w:p w14:paraId="040EDE60" w14:textId="0956A34A" w:rsidR="00B30B44" w:rsidRPr="004431F4" w:rsidRDefault="00D17D7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1.20-2.00</w:t>
            </w:r>
          </w:p>
        </w:tc>
        <w:tc>
          <w:tcPr>
            <w:tcW w:w="723" w:type="dxa"/>
          </w:tcPr>
          <w:p w14:paraId="4645E323" w14:textId="0886A4F3" w:rsidR="00B30B44" w:rsidRPr="004431F4" w:rsidRDefault="00B30B44"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Bal.</w:t>
            </w:r>
          </w:p>
        </w:tc>
      </w:tr>
    </w:tbl>
    <w:p w14:paraId="4BA2A12F" w14:textId="77777777" w:rsidR="009334D5" w:rsidRPr="004431F4" w:rsidRDefault="009334D5" w:rsidP="004B77AD">
      <w:pPr>
        <w:spacing w:line="276" w:lineRule="auto"/>
        <w:jc w:val="both"/>
        <w:rPr>
          <w:rFonts w:eastAsia="Times New Roman"/>
          <w:color w:val="000000" w:themeColor="text1"/>
          <w:sz w:val="24"/>
          <w:szCs w:val="24"/>
          <w:highlight w:val="yellow"/>
        </w:rPr>
      </w:pPr>
    </w:p>
    <w:p w14:paraId="2901F928" w14:textId="6AE61611" w:rsidR="00FF001B" w:rsidRPr="004431F4" w:rsidRDefault="009334D5"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lastRenderedPageBreak/>
        <w:t>Table I</w:t>
      </w:r>
      <w:r w:rsidR="004925BC" w:rsidRPr="004431F4">
        <w:rPr>
          <w:rFonts w:eastAsia="Times New Roman"/>
          <w:color w:val="000000" w:themeColor="text1"/>
          <w:sz w:val="24"/>
          <w:szCs w:val="24"/>
        </w:rPr>
        <w:t>I</w:t>
      </w:r>
      <w:r w:rsidRPr="004431F4">
        <w:rPr>
          <w:rFonts w:eastAsia="Times New Roman"/>
          <w:color w:val="000000" w:themeColor="text1"/>
          <w:sz w:val="24"/>
          <w:szCs w:val="24"/>
        </w:rPr>
        <w:t>I: CuSn10 powder composition sourced from Eckart TLS GmbH, Germany</w:t>
      </w:r>
      <w:r w:rsidR="005D20E8" w:rsidRPr="004431F4">
        <w:rPr>
          <w:rFonts w:eastAsia="Times New Roman"/>
          <w:color w:val="000000" w:themeColor="text1"/>
          <w:sz w:val="24"/>
          <w:szCs w:val="24"/>
        </w:rPr>
        <w:fldChar w:fldCharType="begin"/>
      </w:r>
      <w:r w:rsidR="00FD76C4">
        <w:rPr>
          <w:rFonts w:eastAsia="Times New Roman"/>
          <w:color w:val="000000" w:themeColor="text1"/>
          <w:sz w:val="24"/>
          <w:szCs w:val="24"/>
        </w:rPr>
        <w:instrText xml:space="preserve"> ADDIN ZOTERO_ITEM CSL_CITATION {"citationID":"aVPA1Lk8","properties":{"formattedCitation":"\\super 4\\nosupersub{}","plainCitation":"4","noteIndex":0},"citationItems":[{"id":5854,"uris":["http://zotero.org/users/13440149/items/UR7PSUIB"],"itemData":{"id":5854,"type":"webpage","title":"ECKART TLS POWDER ALLOYS | Eckart NAFTA","URL":"https://www.eckart.net/us/en/am/tls","accessed":{"date-parts":[["2024",4,21]]}}}],"schema":"https://github.com/citation-style-language/schema/raw/master/csl-citation.json"} </w:instrText>
      </w:r>
      <w:r w:rsidR="005D20E8" w:rsidRPr="004431F4">
        <w:rPr>
          <w:rFonts w:eastAsia="Times New Roman"/>
          <w:color w:val="000000" w:themeColor="text1"/>
          <w:sz w:val="24"/>
          <w:szCs w:val="24"/>
        </w:rPr>
        <w:fldChar w:fldCharType="separate"/>
      </w:r>
      <w:r w:rsidR="00FD76C4" w:rsidRPr="00FD76C4">
        <w:rPr>
          <w:sz w:val="24"/>
          <w:szCs w:val="24"/>
          <w:vertAlign w:val="superscript"/>
        </w:rPr>
        <w:t>4</w:t>
      </w:r>
      <w:r w:rsidR="005D20E8" w:rsidRPr="004431F4">
        <w:rPr>
          <w:rFonts w:eastAsia="Times New Roman"/>
          <w:color w:val="000000" w:themeColor="text1"/>
          <w:sz w:val="24"/>
          <w:szCs w:val="24"/>
        </w:rPr>
        <w:fldChar w:fldCharType="end"/>
      </w:r>
      <w:r w:rsidRPr="004431F4">
        <w:rPr>
          <w:rFonts w:eastAsia="Times New Roman"/>
          <w:color w:val="000000" w:themeColor="text1"/>
          <w:sz w:val="24"/>
          <w:szCs w:val="24"/>
        </w:rPr>
        <w:t>.</w:t>
      </w:r>
    </w:p>
    <w:tbl>
      <w:tblPr>
        <w:tblStyle w:val="TableGrid"/>
        <w:tblW w:w="0" w:type="auto"/>
        <w:jc w:val="center"/>
        <w:tblLook w:val="04A0" w:firstRow="1" w:lastRow="0" w:firstColumn="1" w:lastColumn="0" w:noHBand="0" w:noVBand="1"/>
      </w:tblPr>
      <w:tblGrid>
        <w:gridCol w:w="767"/>
        <w:gridCol w:w="766"/>
        <w:gridCol w:w="777"/>
      </w:tblGrid>
      <w:tr w:rsidR="004C02ED" w:rsidRPr="004431F4" w14:paraId="086A0833" w14:textId="77777777" w:rsidTr="0030225A">
        <w:trPr>
          <w:jc w:val="center"/>
        </w:trPr>
        <w:tc>
          <w:tcPr>
            <w:tcW w:w="767" w:type="dxa"/>
            <w:shd w:val="clear" w:color="auto" w:fill="D0CECE" w:themeFill="background2" w:themeFillShade="E6"/>
          </w:tcPr>
          <w:p w14:paraId="235CF9DF" w14:textId="77777777" w:rsidR="004C02ED" w:rsidRPr="004431F4" w:rsidRDefault="004C02ED" w:rsidP="004B77AD">
            <w:pPr>
              <w:spacing w:line="276" w:lineRule="auto"/>
              <w:jc w:val="both"/>
              <w:rPr>
                <w:rFonts w:eastAsia="Times New Roman"/>
                <w:color w:val="000000" w:themeColor="text1"/>
                <w:sz w:val="24"/>
                <w:szCs w:val="24"/>
              </w:rPr>
            </w:pPr>
          </w:p>
        </w:tc>
        <w:tc>
          <w:tcPr>
            <w:tcW w:w="766" w:type="dxa"/>
            <w:shd w:val="clear" w:color="auto" w:fill="D0CECE" w:themeFill="background2" w:themeFillShade="E6"/>
          </w:tcPr>
          <w:p w14:paraId="40EAB402" w14:textId="11EC0561" w:rsidR="004C02ED" w:rsidRPr="004431F4" w:rsidRDefault="004925BC"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Sn</w:t>
            </w:r>
          </w:p>
        </w:tc>
        <w:tc>
          <w:tcPr>
            <w:tcW w:w="777" w:type="dxa"/>
            <w:shd w:val="clear" w:color="auto" w:fill="D0CECE" w:themeFill="background2" w:themeFillShade="E6"/>
          </w:tcPr>
          <w:p w14:paraId="07087BF5" w14:textId="6DBD0092" w:rsidR="004925BC" w:rsidRPr="004431F4" w:rsidRDefault="004925BC"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Cu</w:t>
            </w:r>
          </w:p>
        </w:tc>
      </w:tr>
      <w:tr w:rsidR="004C02ED" w:rsidRPr="004431F4" w14:paraId="45C2678C" w14:textId="77777777" w:rsidTr="0030225A">
        <w:trPr>
          <w:jc w:val="center"/>
        </w:trPr>
        <w:tc>
          <w:tcPr>
            <w:tcW w:w="767" w:type="dxa"/>
            <w:shd w:val="clear" w:color="auto" w:fill="D0CECE" w:themeFill="background2" w:themeFillShade="E6"/>
          </w:tcPr>
          <w:p w14:paraId="66C954D5" w14:textId="77777777" w:rsidR="004C02ED" w:rsidRPr="004431F4" w:rsidRDefault="004C02ED"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w:t>
            </w:r>
          </w:p>
        </w:tc>
        <w:tc>
          <w:tcPr>
            <w:tcW w:w="766" w:type="dxa"/>
          </w:tcPr>
          <w:p w14:paraId="54C86B13" w14:textId="0B33C704" w:rsidR="004C02ED" w:rsidRPr="004431F4" w:rsidRDefault="004C02ED"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0.</w:t>
            </w:r>
            <w:r w:rsidR="004925BC" w:rsidRPr="004431F4">
              <w:rPr>
                <w:rFonts w:eastAsia="Times New Roman"/>
                <w:color w:val="000000" w:themeColor="text1"/>
                <w:sz w:val="24"/>
                <w:szCs w:val="24"/>
              </w:rPr>
              <w:t>10</w:t>
            </w:r>
          </w:p>
        </w:tc>
        <w:tc>
          <w:tcPr>
            <w:tcW w:w="777" w:type="dxa"/>
          </w:tcPr>
          <w:p w14:paraId="27C0A48D" w14:textId="1F98E258" w:rsidR="004C02ED" w:rsidRPr="004431F4" w:rsidRDefault="004925BC" w:rsidP="004B77AD">
            <w:pPr>
              <w:spacing w:line="276" w:lineRule="auto"/>
              <w:jc w:val="both"/>
              <w:rPr>
                <w:rFonts w:eastAsia="Times New Roman"/>
                <w:color w:val="000000" w:themeColor="text1"/>
                <w:sz w:val="24"/>
                <w:szCs w:val="24"/>
              </w:rPr>
            </w:pPr>
            <w:r w:rsidRPr="004431F4">
              <w:rPr>
                <w:rFonts w:eastAsia="Times New Roman"/>
                <w:color w:val="000000" w:themeColor="text1"/>
                <w:sz w:val="24"/>
                <w:szCs w:val="24"/>
              </w:rPr>
              <w:t>Bal.</w:t>
            </w:r>
          </w:p>
        </w:tc>
      </w:tr>
    </w:tbl>
    <w:p w14:paraId="78FE9775" w14:textId="77777777" w:rsidR="00D343BD" w:rsidRPr="004431F4" w:rsidRDefault="00D343BD" w:rsidP="004B77AD">
      <w:pPr>
        <w:spacing w:line="276" w:lineRule="auto"/>
        <w:jc w:val="both"/>
        <w:rPr>
          <w:rFonts w:eastAsia="Times New Roman"/>
          <w:color w:val="000000" w:themeColor="text1"/>
          <w:sz w:val="24"/>
          <w:szCs w:val="24"/>
        </w:rPr>
      </w:pPr>
    </w:p>
    <w:p w14:paraId="0DDFE0DB" w14:textId="77777777" w:rsidR="005141AE" w:rsidRPr="004431F4" w:rsidRDefault="005141AE" w:rsidP="004B77AD">
      <w:pPr>
        <w:pStyle w:val="Heading2"/>
        <w:spacing w:line="276" w:lineRule="auto"/>
        <w:rPr>
          <w:sz w:val="24"/>
          <w:szCs w:val="24"/>
        </w:rPr>
      </w:pPr>
      <w:r w:rsidRPr="004431F4">
        <w:rPr>
          <w:sz w:val="24"/>
          <w:szCs w:val="24"/>
        </w:rPr>
        <w:t xml:space="preserve">Microstructure and Surface Characterization </w:t>
      </w:r>
    </w:p>
    <w:p w14:paraId="60C1F584" w14:textId="77777777" w:rsidR="005141AE" w:rsidRPr="004431F4" w:rsidRDefault="005141AE" w:rsidP="004B77AD">
      <w:pPr>
        <w:pStyle w:val="Heading3"/>
        <w:spacing w:line="276" w:lineRule="auto"/>
        <w:rPr>
          <w:sz w:val="24"/>
          <w:szCs w:val="24"/>
        </w:rPr>
      </w:pPr>
      <w:r w:rsidRPr="004431F4">
        <w:rPr>
          <w:sz w:val="24"/>
          <w:szCs w:val="24"/>
        </w:rPr>
        <w:t>SEM &amp; EDS &amp; EBSD</w:t>
      </w:r>
    </w:p>
    <w:p w14:paraId="0BF4BF7E" w14:textId="77777777" w:rsidR="005141AE" w:rsidRPr="004431F4" w:rsidRDefault="005141AE" w:rsidP="004B77AD">
      <w:pPr>
        <w:spacing w:line="276" w:lineRule="auto"/>
        <w:ind w:firstLine="288"/>
        <w:jc w:val="both"/>
        <w:rPr>
          <w:rFonts w:eastAsia="Times New Roman"/>
          <w:color w:val="000000" w:themeColor="text1"/>
          <w:sz w:val="24"/>
          <w:szCs w:val="24"/>
        </w:rPr>
      </w:pPr>
      <w:r w:rsidRPr="004431F4">
        <w:rPr>
          <w:rFonts w:eastAsia="Times New Roman"/>
          <w:color w:val="000000" w:themeColor="text1"/>
          <w:sz w:val="24"/>
          <w:szCs w:val="24"/>
        </w:rPr>
        <w:t xml:space="preserve">One witness coupon of each orientation was randomly selected and mounted in </w:t>
      </w:r>
      <w:proofErr w:type="spellStart"/>
      <w:r w:rsidRPr="004431F4">
        <w:rPr>
          <w:rFonts w:eastAsia="Times New Roman"/>
          <w:color w:val="000000" w:themeColor="text1"/>
          <w:sz w:val="24"/>
          <w:szCs w:val="24"/>
        </w:rPr>
        <w:t>EpoxySet</w:t>
      </w:r>
      <w:proofErr w:type="spellEnd"/>
      <w:r w:rsidRPr="004431F4">
        <w:rPr>
          <w:rFonts w:eastAsia="Times New Roman"/>
          <w:color w:val="000000" w:themeColor="text1"/>
          <w:sz w:val="24"/>
          <w:szCs w:val="24"/>
        </w:rPr>
        <w:t xml:space="preserve"> (Allied High-Tech Products, Inc., USA, #145-20010 Hardener &amp; #145-20005 Resin) for ease of handling and prepared through grinding and mechanical polishing using a </w:t>
      </w:r>
      <w:proofErr w:type="spellStart"/>
      <w:r w:rsidRPr="004431F4">
        <w:rPr>
          <w:rFonts w:eastAsia="Times New Roman"/>
          <w:color w:val="000000" w:themeColor="text1"/>
          <w:sz w:val="24"/>
          <w:szCs w:val="24"/>
        </w:rPr>
        <w:t>MetPrep</w:t>
      </w:r>
      <w:proofErr w:type="spellEnd"/>
      <w:r w:rsidRPr="004431F4">
        <w:rPr>
          <w:rFonts w:eastAsia="Times New Roman"/>
          <w:color w:val="000000" w:themeColor="text1"/>
          <w:sz w:val="24"/>
          <w:szCs w:val="24"/>
        </w:rPr>
        <w:t xml:space="preserve"> 3 (Allied High-Tech Products, Inc., USA). A series of silicon carbine discs of grit sizes 320, 600, and 800 were used for 3 minutes each at 80 RPM, followed by wool </w:t>
      </w:r>
      <w:proofErr w:type="spellStart"/>
      <w:r w:rsidRPr="004431F4">
        <w:rPr>
          <w:rFonts w:eastAsia="Times New Roman"/>
          <w:color w:val="000000" w:themeColor="text1"/>
          <w:sz w:val="24"/>
          <w:szCs w:val="24"/>
        </w:rPr>
        <w:t>Diamat</w:t>
      </w:r>
      <w:proofErr w:type="spellEnd"/>
      <w:r w:rsidRPr="004431F4">
        <w:rPr>
          <w:rFonts w:eastAsia="Times New Roman"/>
          <w:color w:val="000000" w:themeColor="text1"/>
          <w:sz w:val="24"/>
          <w:szCs w:val="24"/>
        </w:rPr>
        <w:t xml:space="preserve"> with 6 µm glycol for 4 minutes at 150 RPM, 1-, and 0.05-µm felt polishing pad with diamond slurries for 3 minutes each at 150 RPM. Between the wool and felt polishing sequences, the coupons were placed in an ultrasonic bath of isopropyl alcohol for 1-3 minutes to remove residual diamond slurry and blown dry with nitrogen. </w:t>
      </w:r>
    </w:p>
    <w:p w14:paraId="476305E3" w14:textId="07163179" w:rsidR="005141AE" w:rsidRPr="004431F4" w:rsidRDefault="0110BF78" w:rsidP="004B77AD">
      <w:pPr>
        <w:spacing w:line="276" w:lineRule="auto"/>
        <w:ind w:firstLine="288"/>
        <w:jc w:val="both"/>
        <w:rPr>
          <w:rFonts w:eastAsia="Times New Roman"/>
          <w:color w:val="000000" w:themeColor="text1"/>
          <w:sz w:val="24"/>
          <w:szCs w:val="24"/>
        </w:rPr>
      </w:pPr>
      <w:r w:rsidRPr="004431F4">
        <w:rPr>
          <w:rFonts w:eastAsia="Times New Roman"/>
          <w:color w:val="000000" w:themeColor="text1"/>
          <w:sz w:val="24"/>
          <w:szCs w:val="24"/>
        </w:rPr>
        <w:t>To characterize surface microstructure and alloy distribution at the fusion plane, the four orientations underwent scanning electron microscopy (SEM), electron dispersive spectroscopy (EDS) and electron backscatter diffraction (EBSD) analysis. EDSM imaging determined the shape and location of continent material grain boundaries, and EDS analysis provided additional chemical characterization near the fusion area of the witness coupons. Scanning electron microscopy (</w:t>
      </w:r>
      <w:proofErr w:type="spellStart"/>
      <w:r w:rsidRPr="004431F4">
        <w:rPr>
          <w:rFonts w:eastAsia="Times New Roman"/>
          <w:color w:val="000000" w:themeColor="text1"/>
          <w:sz w:val="24"/>
          <w:szCs w:val="24"/>
        </w:rPr>
        <w:t>Apreo</w:t>
      </w:r>
      <w:proofErr w:type="spellEnd"/>
      <w:r w:rsidRPr="004431F4">
        <w:rPr>
          <w:rFonts w:eastAsia="Times New Roman"/>
          <w:color w:val="000000" w:themeColor="text1"/>
          <w:sz w:val="24"/>
          <w:szCs w:val="24"/>
        </w:rPr>
        <w:t xml:space="preserve"> 5) was performed at an operating voltage of 5 kV and 0.1 mA and working distance of </w:t>
      </w:r>
      <w:bookmarkStart w:id="4" w:name="_Int_Gdydqjmc"/>
      <w:r w:rsidRPr="004431F4">
        <w:rPr>
          <w:rFonts w:eastAsia="Times New Roman"/>
          <w:color w:val="000000" w:themeColor="text1"/>
          <w:sz w:val="24"/>
          <w:szCs w:val="24"/>
        </w:rPr>
        <w:t>10 mm</w:t>
      </w:r>
      <w:bookmarkEnd w:id="4"/>
      <w:r w:rsidRPr="004431F4">
        <w:rPr>
          <w:rFonts w:eastAsia="Times New Roman"/>
          <w:color w:val="000000" w:themeColor="text1"/>
          <w:sz w:val="24"/>
          <w:szCs w:val="24"/>
        </w:rPr>
        <w:t>. EBSD was performed with a constant working distance, and operating voltage of 20kV and 3.2 mA.</w:t>
      </w:r>
    </w:p>
    <w:p w14:paraId="3CE5A963" w14:textId="77777777" w:rsidR="005141AE" w:rsidRPr="004431F4" w:rsidRDefault="005141AE" w:rsidP="004B77AD">
      <w:pPr>
        <w:spacing w:line="276" w:lineRule="auto"/>
        <w:ind w:firstLine="288"/>
        <w:jc w:val="both"/>
        <w:rPr>
          <w:rFonts w:eastAsia="Times New Roman"/>
          <w:color w:val="000000" w:themeColor="text1"/>
          <w:sz w:val="24"/>
          <w:szCs w:val="24"/>
        </w:rPr>
      </w:pPr>
    </w:p>
    <w:p w14:paraId="519FFF39" w14:textId="77777777" w:rsidR="005141AE" w:rsidRPr="004431F4" w:rsidRDefault="005141AE" w:rsidP="004B77AD">
      <w:pPr>
        <w:pStyle w:val="Heading3"/>
        <w:spacing w:line="276" w:lineRule="auto"/>
        <w:rPr>
          <w:sz w:val="24"/>
          <w:szCs w:val="24"/>
        </w:rPr>
      </w:pPr>
      <w:r w:rsidRPr="004431F4">
        <w:rPr>
          <w:sz w:val="24"/>
          <w:szCs w:val="24"/>
        </w:rPr>
        <w:t>Morphological Analysis</w:t>
      </w:r>
    </w:p>
    <w:p w14:paraId="020F19C2" w14:textId="0A7954A4" w:rsidR="005141AE" w:rsidRPr="004431F4" w:rsidRDefault="0110BF78" w:rsidP="004B77AD">
      <w:pPr>
        <w:spacing w:line="276" w:lineRule="auto"/>
        <w:ind w:firstLine="288"/>
        <w:jc w:val="both"/>
        <w:rPr>
          <w:rFonts w:eastAsia="Times New Roman"/>
          <w:sz w:val="24"/>
          <w:szCs w:val="24"/>
        </w:rPr>
      </w:pPr>
      <w:r w:rsidRPr="004431F4">
        <w:rPr>
          <w:rFonts w:eastAsia="Times New Roman"/>
          <w:sz w:val="24"/>
          <w:szCs w:val="24"/>
        </w:rPr>
        <w:t>Micro-computed tomography (micro-CT) was performed on all three specimens prior to testing to evaluate the quality of morphological characteristics of the as-built parts. All three specimens were micro-CT scanned (</w:t>
      </w:r>
      <w:proofErr w:type="spellStart"/>
      <w:r w:rsidRPr="004431F4">
        <w:rPr>
          <w:rFonts w:eastAsia="Times New Roman"/>
          <w:sz w:val="24"/>
          <w:szCs w:val="24"/>
        </w:rPr>
        <w:t>pheonix</w:t>
      </w:r>
      <w:proofErr w:type="spellEnd"/>
      <w:r w:rsidRPr="004431F4">
        <w:rPr>
          <w:rFonts w:eastAsia="Times New Roman"/>
          <w:sz w:val="24"/>
          <w:szCs w:val="24"/>
        </w:rPr>
        <w:t xml:space="preserve"> </w:t>
      </w:r>
      <w:proofErr w:type="spellStart"/>
      <w:r w:rsidRPr="004431F4">
        <w:rPr>
          <w:rFonts w:eastAsia="Times New Roman"/>
          <w:sz w:val="24"/>
          <w:szCs w:val="24"/>
        </w:rPr>
        <w:t>v|tome|xL</w:t>
      </w:r>
      <w:proofErr w:type="spellEnd"/>
      <w:r w:rsidRPr="004431F4">
        <w:rPr>
          <w:rFonts w:eastAsia="Times New Roman"/>
          <w:sz w:val="24"/>
          <w:szCs w:val="24"/>
        </w:rPr>
        <w:t xml:space="preserve">, </w:t>
      </w:r>
      <w:proofErr w:type="spellStart"/>
      <w:r w:rsidRPr="004431F4">
        <w:rPr>
          <w:rFonts w:eastAsia="Times New Roman"/>
          <w:sz w:val="24"/>
          <w:szCs w:val="24"/>
        </w:rPr>
        <w:t>Waygate</w:t>
      </w:r>
      <w:proofErr w:type="spellEnd"/>
      <w:r w:rsidRPr="004431F4">
        <w:rPr>
          <w:rFonts w:eastAsia="Times New Roman"/>
          <w:sz w:val="24"/>
          <w:szCs w:val="24"/>
        </w:rPr>
        <w:t xml:space="preserve"> Technologies, NY, USA) at 210 kV and </w:t>
      </w:r>
      <w:bookmarkStart w:id="5" w:name="_Int_RSIn7Zib"/>
      <w:r w:rsidRPr="004431F4">
        <w:rPr>
          <w:rFonts w:eastAsia="Times New Roman"/>
          <w:sz w:val="24"/>
          <w:szCs w:val="24"/>
        </w:rPr>
        <w:t>160 m</w:t>
      </w:r>
      <w:bookmarkEnd w:id="5"/>
      <w:r w:rsidRPr="004431F4">
        <w:rPr>
          <w:rFonts w:eastAsia="Times New Roman"/>
          <w:sz w:val="24"/>
          <w:szCs w:val="24"/>
        </w:rPr>
        <w:t xml:space="preserve">A with a voxel size of 25 </w:t>
      </w:r>
      <w:r w:rsidRPr="004431F4">
        <w:rPr>
          <w:rFonts w:eastAsia="Times New Roman"/>
          <w:color w:val="000000" w:themeColor="text1"/>
          <w:sz w:val="24"/>
          <w:szCs w:val="24"/>
        </w:rPr>
        <w:t>µm</w:t>
      </w:r>
      <w:r w:rsidRPr="004431F4">
        <w:rPr>
          <w:rFonts w:eastAsia="Times New Roman"/>
          <w:sz w:val="24"/>
          <w:szCs w:val="24"/>
        </w:rPr>
        <w:t>. CT volume data was converted into 8-bit images through ImageJ, and imported into the Avizo (version 2022.1, Amira-Avizo, FEI, Thermo Fisher Scientific, USA) software for analysis and imaging. Avizo was employed for various morphological analyses, including porosity computation, pore size distribution, pore connectivity, tortuosity, and specific surface area. To ensure consistency across specimens, the same volume was used for all samples. A thresholding method was employed to segment material space and void space, enabling the calculation of volume fraction and part porosity. The void space volume encompassed both gyroid channels and porosity. Unconnected pores were embedded within the printed part and treated as defects. The percentage of unconnected pores was determined by comparing the void space with the gyroid channels. The gyroid channels served as a connected pore network, and a network modeling tool in Avizo was utilized to assess pore size distribution.</w:t>
      </w:r>
    </w:p>
    <w:p w14:paraId="5340B6BE" w14:textId="77777777" w:rsidR="002945A4" w:rsidRPr="004431F4" w:rsidRDefault="002945A4" w:rsidP="004B77AD">
      <w:pPr>
        <w:pStyle w:val="Heading4"/>
        <w:spacing w:line="276" w:lineRule="auto"/>
        <w:rPr>
          <w:sz w:val="24"/>
          <w:szCs w:val="24"/>
        </w:rPr>
      </w:pPr>
      <w:r w:rsidRPr="004431F4">
        <w:rPr>
          <w:sz w:val="24"/>
          <w:szCs w:val="24"/>
        </w:rPr>
        <w:t>As-Build TPMS Porosity</w:t>
      </w:r>
    </w:p>
    <w:p w14:paraId="74AF7C53" w14:textId="717D8A4D" w:rsidR="002945A4" w:rsidRPr="004431F4" w:rsidRDefault="0110BF78" w:rsidP="004B77AD">
      <w:pPr>
        <w:spacing w:line="276" w:lineRule="auto"/>
        <w:ind w:firstLine="288"/>
        <w:jc w:val="both"/>
        <w:rPr>
          <w:rFonts w:eastAsia="Times New Roman"/>
          <w:color w:val="000000" w:themeColor="text1"/>
          <w:sz w:val="24"/>
          <w:szCs w:val="24"/>
        </w:rPr>
      </w:pPr>
      <w:r w:rsidRPr="004431F4">
        <w:rPr>
          <w:rFonts w:eastAsia="Times New Roman"/>
          <w:sz w:val="24"/>
          <w:szCs w:val="24"/>
        </w:rPr>
        <w:lastRenderedPageBreak/>
        <w:t xml:space="preserve">At a scanning voxel resolution of 25 microns, as-built density was found to be 99.98%, and 99.99% for the steel and bronze section, respectively. It is important to note that this density only reflects voids caused by lack of fusion or keyhole porosity, while void space due to cracking is not considered within this defect porosity. </w:t>
      </w:r>
      <w:r w:rsidRPr="004431F4">
        <w:rPr>
          <w:rFonts w:eastAsia="Times New Roman"/>
          <w:color w:val="000000" w:themeColor="text1"/>
          <w:sz w:val="24"/>
          <w:szCs w:val="24"/>
        </w:rPr>
        <w:t>The pore size of the specimens ranged from 50 μm to 1000 μm which is expected for this type of manufacturing process</w:t>
      </w:r>
      <w:r w:rsidR="005F2651" w:rsidRPr="004431F4">
        <w:rPr>
          <w:sz w:val="24"/>
          <w:szCs w:val="24"/>
        </w:rPr>
        <w:fldChar w:fldCharType="begin"/>
      </w:r>
      <w:r w:rsidR="00FD76C4">
        <w:rPr>
          <w:sz w:val="24"/>
          <w:szCs w:val="24"/>
        </w:rPr>
        <w:instrText xml:space="preserve"> ADDIN ZOTERO_ITEM CSL_CITATION {"citationID":"6jeLwjcg","properties":{"formattedCitation":"\\super 5\\uc0\\u8211{}7\\nosupersub{}","plainCitation":"5–7","noteIndex":0},"citationItems":[{"id":6,"uris":["http://zotero.org/users/13440149/items/8RURM2GE"],"itemData":{"id":6,"type":"article-journal","abstract":"Despite the recent progress in additive manufacturing (AM) process and technology, challenges in the repeatability and reproducibility of AM parts still hinders the adoption of this technique in many industries. This is particularly difficult when a part is qualified on a particular part on a certain machine using optimised parameters. If a manufacturer wishes to expand production to multiple machines, the ability to translate these optimised parameters to different machines much be understood. In this study, four different metal L-PBF printers were used to produce 316L tensile testing samples using the same processing parameters and metal powder supplied from a single batch from the same supplier. In addition to the analysis of the correlation between the input parameters and the output measures, this study reports that despite the same set process parameters, there is significant variations were found in the mechanical performance and properties of the AM samples produced on the different L-PBF metal additive manufacturing machines. For the range of the input processing parameters and the resulting input volumetric energy density applied of 21–37 J/mm3, values of (4–42)%, (200–716) MPa, and (52–214) GPa were obtained for the elongation, ultimate tensile strength and elastic modulus on additively manufactured 316L samples respectively.","container-title":"Journal of Materials Research and Technology","DOI":"10.1016/j.jmrt.2021.06.027","ISSN":"22387854","page":"2361–2374","title":"Comparison of the porosity and mechanical performance of 316L stainless steel manufactured on different laser powder bed fusion metal additive manufacturing machines","volume":"13","author":[{"family":"Ahmed Obeidi","given":"Muhannad"},{"family":"Uí Mhurchadha","given":"Sinéad M."},{"family":"Raghavendra","given":"Ramesh"},{"family":"Conway","given":"Alex"},{"family":"Souto","given":"Carlos"},{"family":"Tormey","given":"David"},{"family":"Ahad","given":"Inam Ul"},{"family":"Brabazon","given":"Dermot"}],"issued":{"date-parts":[["2021"]]}}},{"id":70,"uris":["http://zotero.org/users/13440149/items/JXT2H828"],"itemData":{"id":70,"type":"article-journal","abstract":"Additive manufacturing (AM), or 3D printing, is an emerging technology that “adds” materials up and constructs products through a layer-by-layer procedure. Laser powder bed fusion (LPBF) is a powder-bed-based AM technology that can fabricate a large variety of metallic materials with excellent quality and accuracy. However, various defects such as porosity, cracks, and incursions can be generated during the printing process. As the most universal and a near-inevitable defect, porosity plays a substantial role in determining the mechanical performance of as-printed products. This work presents a comprehensive review of literatures that focused on the porosity in LPBF printed metals. The formation mechanisms, evaluation methods, effects on mechanical performance with corresponding models, and controlling methods of porosity have been illustrated and discussed in-depth. Achievements in four representative metals, namely Ti−6Al−4V, 316L, Inconel 718, and AlSi10Mg, have been critically reviewed with a statistical analysis on the correlation between porosity fraction and tensile properties. Ductility has been determined as the most sensitive property to porosity among several key tensile properties. This review also provides potential directions and opportunities to address the current porosity-related challenges.","container-title":"Opto-Electronic Advances","DOI":"10.29026/oea.2022.210058","ISSN":"20964579","issue":"10","page":"1–34","title":"A review and a statistical analysis of porosity in metals additively manufactured by laser powder bed fusion","volume":"5","author":[{"family":"Wang","given":"Dawei"},{"family":"Han","given":"Huili"},{"family":"Sa","given":"Bo"},{"family":"Li","given":"Kelin"},{"family":"Yan","given":"Jujie"},{"family":"Zhang","given":"Jiazhen"},{"family":"Liu","given":"Jianguang"},{"family":"He","given":"Zhengdi"},{"family":"Wang","given":"Ning"},{"family":"Yan","given":"Ming"}],"issued":{"date-parts":[["2022"]]}}},{"id":80,"uris":["http://zotero.org/users/13440149/items/LU5QWMI7"],"itemData":{"id":80,"type":"article-journal","abstract":"This work reports on employing X-ray computed tomography (XCT) and optical microscopy to investigate the causal relationships between printing parameters, pore properties, and porosity in 316L stainless steel samples additively manufactured by Laser Powder Bed Fusion (LPBF). The porosity is very similar for both investigation methods. XCT provides more accurate results for large lack of fusion pores, while optical results are more accurate for small keyhole pores. These results were employed to develop mathematical models to determine how printing parameters influence pore properties and overall porosity. The developed optical and XCT mathematical models reveal that power is the most significant factor affecting pore properties and overall porosity. Pore number and mean diameter decrease and sphericity increases with increasing power. Overall porosity is negatively correlated with power, indicating that the higher the power, the lower the overall porosity. Attention should also be paid to the quadratic effects of power, velocity and hatch spacing on porosity, revealing an inverse change in porosity after a certain threshold. Power interacts with velocity and hatch spacing, suggesting that changes in power affect the influence of velocity and hatch spacing on porosity, and vice versa. The interaction of velocity and hatch spacing is not significant. Both models successfully predicted optimal printing parameter sets as validated by experimental measurements.","container-title":"Metals","DOI":"10.3390/met13020330","ISSN":"20754701","issue":"2","title":"Investigation of Causal Relationships between Printing Parameters, Pore Properties and Porosity in Laser Powder Bed Fusion","volume":"13","author":[{"family":"Zhao","given":"Rong"},{"family":"Shmatok","given":"Andrii"},{"family":"Fischer","given":"Ralf"},{"family":"Prorok","given":"Barton C."}],"issued":{"date-parts":[["2023"]]}}}],"schema":"https://github.com/citation-style-language/schema/raw/master/csl-citation.json"} </w:instrText>
      </w:r>
      <w:r w:rsidR="005F2651" w:rsidRPr="004431F4">
        <w:rPr>
          <w:sz w:val="24"/>
          <w:szCs w:val="24"/>
        </w:rPr>
        <w:fldChar w:fldCharType="separate"/>
      </w:r>
      <w:r w:rsidR="00FD76C4" w:rsidRPr="00FD76C4">
        <w:rPr>
          <w:sz w:val="24"/>
          <w:szCs w:val="24"/>
          <w:vertAlign w:val="superscript"/>
        </w:rPr>
        <w:t>5–7</w:t>
      </w:r>
      <w:r w:rsidR="005F2651" w:rsidRPr="004431F4">
        <w:rPr>
          <w:sz w:val="24"/>
          <w:szCs w:val="24"/>
        </w:rPr>
        <w:fldChar w:fldCharType="end"/>
      </w:r>
      <w:r w:rsidRPr="004431F4">
        <w:rPr>
          <w:rFonts w:eastAsia="Times New Roman"/>
          <w:color w:val="000000" w:themeColor="text1"/>
          <w:sz w:val="24"/>
          <w:szCs w:val="24"/>
        </w:rPr>
        <w:t xml:space="preserve">. </w:t>
      </w:r>
    </w:p>
    <w:p w14:paraId="0B416C2C" w14:textId="5CE29E61" w:rsidR="002945A4" w:rsidRPr="004431F4" w:rsidRDefault="002945A4" w:rsidP="004B77AD">
      <w:pPr>
        <w:spacing w:line="276" w:lineRule="auto"/>
        <w:rPr>
          <w:rFonts w:eastAsia="Times New Roman"/>
          <w:color w:val="000000" w:themeColor="text1"/>
          <w:sz w:val="24"/>
          <w:szCs w:val="24"/>
        </w:rPr>
      </w:pPr>
      <w:r w:rsidRPr="004431F4">
        <w:rPr>
          <w:sz w:val="24"/>
          <w:szCs w:val="24"/>
        </w:rPr>
        <w:t xml:space="preserve">Table </w:t>
      </w:r>
      <w:r w:rsidR="004925BC" w:rsidRPr="004431F4">
        <w:rPr>
          <w:sz w:val="24"/>
          <w:szCs w:val="24"/>
        </w:rPr>
        <w:t>IV</w:t>
      </w:r>
      <w:r w:rsidRPr="004431F4">
        <w:rPr>
          <w:sz w:val="24"/>
          <w:szCs w:val="24"/>
        </w:rPr>
        <w:t>: Morphological parameters of multi-material gyroid specimen</w:t>
      </w:r>
    </w:p>
    <w:tbl>
      <w:tblPr>
        <w:tblStyle w:val="TableGrid"/>
        <w:tblpPr w:leftFromText="187" w:rightFromText="187" w:vertAnchor="text" w:horzAnchor="margin" w:tblpY="-24"/>
        <w:tblOverlap w:val="never"/>
        <w:tblW w:w="5000" w:type="pct"/>
        <w:tblLook w:val="04A0" w:firstRow="1" w:lastRow="0" w:firstColumn="1" w:lastColumn="0" w:noHBand="0" w:noVBand="1"/>
      </w:tblPr>
      <w:tblGrid>
        <w:gridCol w:w="1808"/>
        <w:gridCol w:w="2120"/>
        <w:gridCol w:w="1816"/>
        <w:gridCol w:w="1087"/>
        <w:gridCol w:w="1306"/>
        <w:gridCol w:w="1203"/>
      </w:tblGrid>
      <w:tr w:rsidR="002945A4" w:rsidRPr="004431F4" w14:paraId="6C058552" w14:textId="77777777" w:rsidTr="0030225A">
        <w:trPr>
          <w:trHeight w:val="5"/>
        </w:trPr>
        <w:tc>
          <w:tcPr>
            <w:tcW w:w="968" w:type="pct"/>
            <w:tcBorders>
              <w:top w:val="single" w:sz="8" w:space="0" w:color="auto"/>
              <w:left w:val="single" w:sz="8" w:space="0" w:color="auto"/>
              <w:bottom w:val="single" w:sz="8" w:space="0" w:color="auto"/>
              <w:right w:val="single" w:sz="8" w:space="0" w:color="auto"/>
            </w:tcBorders>
            <w:shd w:val="clear" w:color="auto" w:fill="D0CECE" w:themeFill="background2" w:themeFillShade="E6"/>
            <w:tcMar>
              <w:left w:w="108" w:type="dxa"/>
              <w:right w:w="108" w:type="dxa"/>
            </w:tcMar>
          </w:tcPr>
          <w:p w14:paraId="67DF9CBD" w14:textId="77777777" w:rsidR="002945A4" w:rsidRPr="004431F4" w:rsidRDefault="002945A4" w:rsidP="004B77AD">
            <w:pPr>
              <w:spacing w:line="276" w:lineRule="auto"/>
              <w:rPr>
                <w:rFonts w:eastAsia="Times New Roman"/>
                <w:sz w:val="24"/>
                <w:szCs w:val="24"/>
              </w:rPr>
            </w:pPr>
          </w:p>
        </w:tc>
        <w:tc>
          <w:tcPr>
            <w:tcW w:w="1135" w:type="pct"/>
            <w:tcBorders>
              <w:top w:val="single" w:sz="8" w:space="0" w:color="auto"/>
              <w:left w:val="single" w:sz="8" w:space="0" w:color="auto"/>
              <w:bottom w:val="single" w:sz="8" w:space="0" w:color="auto"/>
              <w:right w:val="single" w:sz="8" w:space="0" w:color="auto"/>
            </w:tcBorders>
            <w:shd w:val="clear" w:color="auto" w:fill="D0CECE" w:themeFill="background2" w:themeFillShade="E6"/>
            <w:tcMar>
              <w:left w:w="108" w:type="dxa"/>
              <w:right w:w="108" w:type="dxa"/>
            </w:tcMar>
          </w:tcPr>
          <w:p w14:paraId="088CE6D0" w14:textId="715958F9" w:rsidR="002945A4" w:rsidRPr="004431F4" w:rsidRDefault="00A772BE" w:rsidP="004B77AD">
            <w:pPr>
              <w:spacing w:line="276" w:lineRule="auto"/>
              <w:rPr>
                <w:rFonts w:eastAsia="Times New Roman"/>
                <w:sz w:val="24"/>
                <w:szCs w:val="24"/>
              </w:rPr>
            </w:pPr>
            <w:r>
              <w:rPr>
                <w:rFonts w:eastAsia="Times New Roman"/>
                <w:color w:val="000000" w:themeColor="text1"/>
                <w:sz w:val="24"/>
                <w:szCs w:val="24"/>
              </w:rPr>
              <w:t>Micro</w:t>
            </w:r>
            <w:r w:rsidR="002945A4" w:rsidRPr="004431F4">
              <w:rPr>
                <w:rFonts w:eastAsia="Times New Roman"/>
                <w:color w:val="000000" w:themeColor="text1"/>
                <w:sz w:val="24"/>
                <w:szCs w:val="24"/>
              </w:rPr>
              <w:t>-CT</w:t>
            </w:r>
            <w:r w:rsidR="002945A4" w:rsidRPr="004431F4">
              <w:rPr>
                <w:rFonts w:eastAsia="Times New Roman"/>
                <w:sz w:val="24"/>
                <w:szCs w:val="24"/>
              </w:rPr>
              <w:t xml:space="preserve"> Metal volume fraction</w:t>
            </w:r>
          </w:p>
          <w:p w14:paraId="207F7F79"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Designed = 45%</w:t>
            </w:r>
          </w:p>
        </w:tc>
        <w:tc>
          <w:tcPr>
            <w:tcW w:w="972" w:type="pct"/>
            <w:tcBorders>
              <w:top w:val="single" w:sz="8" w:space="0" w:color="auto"/>
              <w:left w:val="single" w:sz="8" w:space="0" w:color="auto"/>
              <w:bottom w:val="single" w:sz="8" w:space="0" w:color="auto"/>
              <w:right w:val="single" w:sz="8" w:space="0" w:color="auto"/>
            </w:tcBorders>
            <w:shd w:val="clear" w:color="auto" w:fill="D0CECE" w:themeFill="background2" w:themeFillShade="E6"/>
            <w:tcMar>
              <w:left w:w="108" w:type="dxa"/>
              <w:right w:w="108" w:type="dxa"/>
            </w:tcMar>
          </w:tcPr>
          <w:p w14:paraId="564A0A7D"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Void</w:t>
            </w:r>
          </w:p>
          <w:p w14:paraId="71814CD3"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 xml:space="preserve">Space </w:t>
            </w:r>
          </w:p>
          <w:p w14:paraId="086D3EAE"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Designed = 55%</w:t>
            </w:r>
          </w:p>
        </w:tc>
        <w:tc>
          <w:tcPr>
            <w:tcW w:w="582" w:type="pct"/>
            <w:tcBorders>
              <w:top w:val="single" w:sz="8" w:space="0" w:color="auto"/>
              <w:left w:val="single" w:sz="8" w:space="0" w:color="auto"/>
              <w:bottom w:val="single" w:sz="8" w:space="0" w:color="auto"/>
              <w:right w:val="single" w:sz="8" w:space="0" w:color="auto"/>
            </w:tcBorders>
            <w:shd w:val="clear" w:color="auto" w:fill="D0CECE" w:themeFill="background2" w:themeFillShade="E6"/>
            <w:tcMar>
              <w:left w:w="108" w:type="dxa"/>
              <w:right w:w="108" w:type="dxa"/>
            </w:tcMar>
          </w:tcPr>
          <w:p w14:paraId="620A4EC8"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Gyroid channel</w:t>
            </w:r>
          </w:p>
        </w:tc>
        <w:tc>
          <w:tcPr>
            <w:tcW w:w="699" w:type="pct"/>
            <w:tcBorders>
              <w:top w:val="single" w:sz="8" w:space="0" w:color="auto"/>
              <w:left w:val="single" w:sz="8" w:space="0" w:color="auto"/>
              <w:bottom w:val="single" w:sz="8" w:space="0" w:color="auto"/>
              <w:right w:val="single" w:sz="8" w:space="0" w:color="auto"/>
            </w:tcBorders>
            <w:shd w:val="clear" w:color="auto" w:fill="D0CECE" w:themeFill="background2" w:themeFillShade="E6"/>
            <w:tcMar>
              <w:left w:w="108" w:type="dxa"/>
              <w:right w:w="108" w:type="dxa"/>
            </w:tcMar>
          </w:tcPr>
          <w:p w14:paraId="407D49FD"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Defect</w:t>
            </w:r>
          </w:p>
          <w:p w14:paraId="218C4801"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 xml:space="preserve">Porosity </w:t>
            </w:r>
          </w:p>
          <w:p w14:paraId="1DB300B8"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 vol)</w:t>
            </w:r>
          </w:p>
        </w:tc>
        <w:tc>
          <w:tcPr>
            <w:tcW w:w="644" w:type="pct"/>
            <w:tcBorders>
              <w:top w:val="single" w:sz="8" w:space="0" w:color="auto"/>
              <w:left w:val="single" w:sz="8" w:space="0" w:color="auto"/>
              <w:bottom w:val="single" w:sz="8" w:space="0" w:color="auto"/>
              <w:right w:val="single" w:sz="8" w:space="0" w:color="auto"/>
            </w:tcBorders>
            <w:shd w:val="clear" w:color="auto" w:fill="D0CECE" w:themeFill="background2" w:themeFillShade="E6"/>
            <w:tcMar>
              <w:left w:w="108" w:type="dxa"/>
              <w:right w:w="108" w:type="dxa"/>
            </w:tcMar>
          </w:tcPr>
          <w:p w14:paraId="772F48B7"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Avg pore size (</w:t>
            </w:r>
            <w:r w:rsidRPr="004431F4">
              <w:rPr>
                <w:rFonts w:eastAsia="Times New Roman"/>
                <w:color w:val="000000" w:themeColor="text1"/>
                <w:sz w:val="24"/>
                <w:szCs w:val="24"/>
              </w:rPr>
              <w:t>μm</w:t>
            </w:r>
            <w:r w:rsidRPr="004431F4">
              <w:rPr>
                <w:rFonts w:eastAsia="Times New Roman"/>
                <w:sz w:val="24"/>
                <w:szCs w:val="24"/>
              </w:rPr>
              <w:t>)</w:t>
            </w:r>
          </w:p>
        </w:tc>
      </w:tr>
      <w:tr w:rsidR="002945A4" w:rsidRPr="004431F4" w14:paraId="70C9AABD" w14:textId="77777777" w:rsidTr="0030225A">
        <w:trPr>
          <w:trHeight w:val="492"/>
        </w:trPr>
        <w:tc>
          <w:tcPr>
            <w:tcW w:w="968" w:type="pct"/>
            <w:tcBorders>
              <w:top w:val="single" w:sz="8" w:space="0" w:color="auto"/>
              <w:left w:val="single" w:sz="8" w:space="0" w:color="auto"/>
              <w:bottom w:val="single" w:sz="8" w:space="0" w:color="auto"/>
              <w:right w:val="single" w:sz="8" w:space="0" w:color="auto"/>
            </w:tcBorders>
            <w:shd w:val="clear" w:color="auto" w:fill="D0CECE" w:themeFill="background2" w:themeFillShade="E6"/>
            <w:tcMar>
              <w:left w:w="108" w:type="dxa"/>
              <w:right w:w="108" w:type="dxa"/>
            </w:tcMar>
          </w:tcPr>
          <w:p w14:paraId="2AD889E9" w14:textId="5E402FF4" w:rsidR="002945A4" w:rsidRPr="004431F4" w:rsidRDefault="0110BF78" w:rsidP="004B77AD">
            <w:pPr>
              <w:spacing w:line="276" w:lineRule="auto"/>
              <w:rPr>
                <w:rFonts w:eastAsia="Times New Roman"/>
                <w:sz w:val="24"/>
                <w:szCs w:val="24"/>
              </w:rPr>
            </w:pPr>
            <w:r w:rsidRPr="004431F4">
              <w:rPr>
                <w:rFonts w:eastAsia="Times New Roman"/>
                <w:sz w:val="24"/>
                <w:szCs w:val="24"/>
              </w:rPr>
              <w:t xml:space="preserve">Steel </w:t>
            </w:r>
          </w:p>
        </w:tc>
        <w:tc>
          <w:tcPr>
            <w:tcW w:w="1135" w:type="pct"/>
            <w:tcBorders>
              <w:top w:val="single" w:sz="8" w:space="0" w:color="auto"/>
              <w:left w:val="single" w:sz="8" w:space="0" w:color="auto"/>
              <w:bottom w:val="single" w:sz="8" w:space="0" w:color="auto"/>
              <w:right w:val="single" w:sz="8" w:space="0" w:color="auto"/>
            </w:tcBorders>
            <w:tcMar>
              <w:left w:w="108" w:type="dxa"/>
              <w:right w:w="108" w:type="dxa"/>
            </w:tcMar>
          </w:tcPr>
          <w:p w14:paraId="502F7181"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20.62%</w:t>
            </w:r>
          </w:p>
        </w:tc>
        <w:tc>
          <w:tcPr>
            <w:tcW w:w="972" w:type="pct"/>
            <w:tcBorders>
              <w:top w:val="single" w:sz="8" w:space="0" w:color="auto"/>
              <w:left w:val="single" w:sz="8" w:space="0" w:color="auto"/>
              <w:bottom w:val="single" w:sz="8" w:space="0" w:color="auto"/>
              <w:right w:val="single" w:sz="8" w:space="0" w:color="auto"/>
            </w:tcBorders>
            <w:tcMar>
              <w:left w:w="108" w:type="dxa"/>
              <w:right w:w="108" w:type="dxa"/>
            </w:tcMar>
          </w:tcPr>
          <w:p w14:paraId="4722551A"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24.83%</w:t>
            </w:r>
          </w:p>
        </w:tc>
        <w:tc>
          <w:tcPr>
            <w:tcW w:w="582" w:type="pct"/>
            <w:tcBorders>
              <w:top w:val="single" w:sz="8" w:space="0" w:color="auto"/>
              <w:left w:val="single" w:sz="8" w:space="0" w:color="auto"/>
              <w:bottom w:val="single" w:sz="8" w:space="0" w:color="auto"/>
              <w:right w:val="single" w:sz="8" w:space="0" w:color="auto"/>
            </w:tcBorders>
            <w:tcMar>
              <w:left w:w="108" w:type="dxa"/>
              <w:right w:w="108" w:type="dxa"/>
            </w:tcMar>
          </w:tcPr>
          <w:p w14:paraId="0B27AE39"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24.81%</w:t>
            </w:r>
          </w:p>
        </w:tc>
        <w:tc>
          <w:tcPr>
            <w:tcW w:w="699" w:type="pct"/>
            <w:tcBorders>
              <w:top w:val="single" w:sz="8" w:space="0" w:color="auto"/>
              <w:left w:val="single" w:sz="8" w:space="0" w:color="auto"/>
              <w:bottom w:val="single" w:sz="8" w:space="0" w:color="auto"/>
              <w:right w:val="single" w:sz="8" w:space="0" w:color="auto"/>
            </w:tcBorders>
            <w:tcMar>
              <w:left w:w="108" w:type="dxa"/>
              <w:right w:w="108" w:type="dxa"/>
            </w:tcMar>
          </w:tcPr>
          <w:p w14:paraId="0C538A24"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0.02%</w:t>
            </w:r>
          </w:p>
        </w:tc>
        <w:tc>
          <w:tcPr>
            <w:tcW w:w="644" w:type="pct"/>
            <w:tcBorders>
              <w:top w:val="single" w:sz="8" w:space="0" w:color="auto"/>
              <w:left w:val="single" w:sz="8" w:space="0" w:color="auto"/>
              <w:bottom w:val="single" w:sz="8" w:space="0" w:color="auto"/>
              <w:right w:val="single" w:sz="8" w:space="0" w:color="auto"/>
            </w:tcBorders>
            <w:tcMar>
              <w:left w:w="108" w:type="dxa"/>
              <w:right w:w="108" w:type="dxa"/>
            </w:tcMar>
          </w:tcPr>
          <w:p w14:paraId="7BE73ADA"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798.35</w:t>
            </w:r>
          </w:p>
        </w:tc>
      </w:tr>
      <w:tr w:rsidR="002945A4" w:rsidRPr="004431F4" w14:paraId="213FC223" w14:textId="77777777" w:rsidTr="0030225A">
        <w:trPr>
          <w:trHeight w:val="472"/>
        </w:trPr>
        <w:tc>
          <w:tcPr>
            <w:tcW w:w="968" w:type="pct"/>
            <w:tcBorders>
              <w:top w:val="single" w:sz="8" w:space="0" w:color="auto"/>
              <w:left w:val="single" w:sz="8" w:space="0" w:color="auto"/>
              <w:bottom w:val="single" w:sz="8" w:space="0" w:color="auto"/>
              <w:right w:val="single" w:sz="8" w:space="0" w:color="auto"/>
            </w:tcBorders>
            <w:shd w:val="clear" w:color="auto" w:fill="D0CECE" w:themeFill="background2" w:themeFillShade="E6"/>
            <w:tcMar>
              <w:left w:w="108" w:type="dxa"/>
              <w:right w:w="108" w:type="dxa"/>
            </w:tcMar>
          </w:tcPr>
          <w:p w14:paraId="03A80415" w14:textId="02AE322E" w:rsidR="002945A4" w:rsidRPr="004431F4" w:rsidRDefault="0110BF78" w:rsidP="004B77AD">
            <w:pPr>
              <w:spacing w:line="276" w:lineRule="auto"/>
              <w:rPr>
                <w:rFonts w:eastAsia="Times New Roman"/>
                <w:sz w:val="24"/>
                <w:szCs w:val="24"/>
              </w:rPr>
            </w:pPr>
            <w:r w:rsidRPr="004431F4">
              <w:rPr>
                <w:rFonts w:eastAsia="Times New Roman"/>
                <w:sz w:val="24"/>
                <w:szCs w:val="24"/>
              </w:rPr>
              <w:t xml:space="preserve">Bronze </w:t>
            </w:r>
          </w:p>
        </w:tc>
        <w:tc>
          <w:tcPr>
            <w:tcW w:w="1135" w:type="pct"/>
            <w:tcBorders>
              <w:top w:val="single" w:sz="8" w:space="0" w:color="auto"/>
              <w:left w:val="single" w:sz="8" w:space="0" w:color="auto"/>
              <w:bottom w:val="single" w:sz="8" w:space="0" w:color="auto"/>
              <w:right w:val="single" w:sz="8" w:space="0" w:color="auto"/>
            </w:tcBorders>
            <w:tcMar>
              <w:left w:w="108" w:type="dxa"/>
              <w:right w:w="108" w:type="dxa"/>
            </w:tcMar>
          </w:tcPr>
          <w:p w14:paraId="5FB15100"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24.11%</w:t>
            </w:r>
          </w:p>
        </w:tc>
        <w:tc>
          <w:tcPr>
            <w:tcW w:w="972" w:type="pct"/>
            <w:tcBorders>
              <w:top w:val="single" w:sz="8" w:space="0" w:color="auto"/>
              <w:left w:val="single" w:sz="8" w:space="0" w:color="auto"/>
              <w:bottom w:val="single" w:sz="8" w:space="0" w:color="auto"/>
              <w:right w:val="single" w:sz="8" w:space="0" w:color="auto"/>
            </w:tcBorders>
            <w:tcMar>
              <w:left w:w="108" w:type="dxa"/>
              <w:right w:w="108" w:type="dxa"/>
            </w:tcMar>
          </w:tcPr>
          <w:p w14:paraId="307D4FC2"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30.43%</w:t>
            </w:r>
          </w:p>
        </w:tc>
        <w:tc>
          <w:tcPr>
            <w:tcW w:w="582" w:type="pct"/>
            <w:tcBorders>
              <w:top w:val="single" w:sz="8" w:space="0" w:color="auto"/>
              <w:left w:val="single" w:sz="8" w:space="0" w:color="auto"/>
              <w:bottom w:val="single" w:sz="8" w:space="0" w:color="auto"/>
              <w:right w:val="single" w:sz="8" w:space="0" w:color="auto"/>
            </w:tcBorders>
            <w:tcMar>
              <w:left w:w="108" w:type="dxa"/>
              <w:right w:w="108" w:type="dxa"/>
            </w:tcMar>
          </w:tcPr>
          <w:p w14:paraId="52698863"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30.42%</w:t>
            </w:r>
          </w:p>
        </w:tc>
        <w:tc>
          <w:tcPr>
            <w:tcW w:w="699" w:type="pct"/>
            <w:tcBorders>
              <w:top w:val="single" w:sz="8" w:space="0" w:color="auto"/>
              <w:left w:val="single" w:sz="8" w:space="0" w:color="auto"/>
              <w:bottom w:val="single" w:sz="8" w:space="0" w:color="auto"/>
              <w:right w:val="single" w:sz="8" w:space="0" w:color="auto"/>
            </w:tcBorders>
            <w:tcMar>
              <w:left w:w="108" w:type="dxa"/>
              <w:right w:w="108" w:type="dxa"/>
            </w:tcMar>
          </w:tcPr>
          <w:p w14:paraId="35A21FAC"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0.01%</w:t>
            </w:r>
          </w:p>
        </w:tc>
        <w:tc>
          <w:tcPr>
            <w:tcW w:w="644" w:type="pct"/>
            <w:tcBorders>
              <w:top w:val="single" w:sz="8" w:space="0" w:color="auto"/>
              <w:left w:val="single" w:sz="8" w:space="0" w:color="auto"/>
              <w:bottom w:val="single" w:sz="8" w:space="0" w:color="auto"/>
              <w:right w:val="single" w:sz="8" w:space="0" w:color="auto"/>
            </w:tcBorders>
            <w:tcMar>
              <w:left w:w="108" w:type="dxa"/>
              <w:right w:w="108" w:type="dxa"/>
            </w:tcMar>
          </w:tcPr>
          <w:p w14:paraId="27A5DDEE" w14:textId="77777777" w:rsidR="002945A4" w:rsidRPr="004431F4" w:rsidRDefault="002945A4" w:rsidP="004B77AD">
            <w:pPr>
              <w:spacing w:line="276" w:lineRule="auto"/>
              <w:rPr>
                <w:rFonts w:eastAsia="Times New Roman"/>
                <w:sz w:val="24"/>
                <w:szCs w:val="24"/>
              </w:rPr>
            </w:pPr>
            <w:r w:rsidRPr="004431F4">
              <w:rPr>
                <w:rFonts w:eastAsia="Times New Roman"/>
                <w:sz w:val="24"/>
                <w:szCs w:val="24"/>
              </w:rPr>
              <w:t>560.36</w:t>
            </w:r>
          </w:p>
        </w:tc>
      </w:tr>
      <w:tr w:rsidR="002945A4" w:rsidRPr="004431F4" w14:paraId="0FE7222F" w14:textId="77777777" w:rsidTr="0030225A">
        <w:trPr>
          <w:trHeight w:val="321"/>
        </w:trPr>
        <w:tc>
          <w:tcPr>
            <w:tcW w:w="968" w:type="pct"/>
            <w:tcBorders>
              <w:top w:val="single" w:sz="8" w:space="0" w:color="auto"/>
              <w:left w:val="single" w:sz="8" w:space="0" w:color="auto"/>
              <w:bottom w:val="single" w:sz="8" w:space="0" w:color="auto"/>
              <w:right w:val="single" w:sz="8" w:space="0" w:color="auto"/>
            </w:tcBorders>
            <w:shd w:val="clear" w:color="auto" w:fill="D0CECE" w:themeFill="background2" w:themeFillShade="E6"/>
            <w:tcMar>
              <w:left w:w="108" w:type="dxa"/>
              <w:right w:w="108" w:type="dxa"/>
            </w:tcMar>
          </w:tcPr>
          <w:p w14:paraId="260787EA" w14:textId="77777777" w:rsidR="002945A4" w:rsidRPr="004431F4" w:rsidRDefault="002945A4" w:rsidP="004B77AD">
            <w:pPr>
              <w:spacing w:line="276" w:lineRule="auto"/>
              <w:rPr>
                <w:rFonts w:eastAsia="Times New Roman"/>
                <w:sz w:val="24"/>
                <w:szCs w:val="24"/>
              </w:rPr>
            </w:pPr>
          </w:p>
        </w:tc>
        <w:tc>
          <w:tcPr>
            <w:tcW w:w="1135" w:type="pct"/>
            <w:tcBorders>
              <w:top w:val="single" w:sz="8" w:space="0" w:color="auto"/>
              <w:left w:val="single" w:sz="8" w:space="0" w:color="auto"/>
              <w:bottom w:val="single" w:sz="8" w:space="0" w:color="auto"/>
              <w:right w:val="single" w:sz="8" w:space="0" w:color="auto"/>
            </w:tcBorders>
            <w:tcMar>
              <w:left w:w="108" w:type="dxa"/>
              <w:right w:w="108" w:type="dxa"/>
            </w:tcMar>
          </w:tcPr>
          <w:p w14:paraId="09F5F5A0" w14:textId="77777777" w:rsidR="002945A4" w:rsidRPr="004431F4" w:rsidRDefault="002945A4" w:rsidP="004B77AD">
            <w:pPr>
              <w:spacing w:line="276" w:lineRule="auto"/>
              <w:rPr>
                <w:sz w:val="24"/>
                <w:szCs w:val="24"/>
              </w:rPr>
            </w:pPr>
            <w:r w:rsidRPr="004431F4">
              <w:rPr>
                <w:sz w:val="24"/>
                <w:szCs w:val="24"/>
              </w:rPr>
              <w:t>∑44.73%</w:t>
            </w:r>
          </w:p>
        </w:tc>
        <w:tc>
          <w:tcPr>
            <w:tcW w:w="972" w:type="pct"/>
            <w:tcBorders>
              <w:top w:val="single" w:sz="8" w:space="0" w:color="auto"/>
              <w:left w:val="single" w:sz="8" w:space="0" w:color="auto"/>
              <w:bottom w:val="single" w:sz="8" w:space="0" w:color="auto"/>
              <w:right w:val="single" w:sz="8" w:space="0" w:color="auto"/>
            </w:tcBorders>
            <w:tcMar>
              <w:left w:w="108" w:type="dxa"/>
              <w:right w:w="108" w:type="dxa"/>
            </w:tcMar>
          </w:tcPr>
          <w:p w14:paraId="3BDCB7E4" w14:textId="77777777" w:rsidR="002945A4" w:rsidRPr="004431F4" w:rsidRDefault="002945A4" w:rsidP="004B77AD">
            <w:pPr>
              <w:spacing w:line="276" w:lineRule="auto"/>
              <w:rPr>
                <w:sz w:val="24"/>
                <w:szCs w:val="24"/>
              </w:rPr>
            </w:pPr>
            <w:r w:rsidRPr="004431F4">
              <w:rPr>
                <w:sz w:val="24"/>
                <w:szCs w:val="24"/>
              </w:rPr>
              <w:t>∑55.27%</w:t>
            </w:r>
          </w:p>
        </w:tc>
        <w:tc>
          <w:tcPr>
            <w:tcW w:w="582" w:type="pct"/>
            <w:tcBorders>
              <w:top w:val="single" w:sz="8" w:space="0" w:color="auto"/>
              <w:left w:val="single" w:sz="8" w:space="0" w:color="auto"/>
              <w:bottom w:val="single" w:sz="8" w:space="0" w:color="auto"/>
              <w:right w:val="single" w:sz="8" w:space="0" w:color="auto"/>
            </w:tcBorders>
            <w:tcMar>
              <w:left w:w="108" w:type="dxa"/>
              <w:right w:w="108" w:type="dxa"/>
            </w:tcMar>
          </w:tcPr>
          <w:p w14:paraId="1D878B95" w14:textId="77777777" w:rsidR="002945A4" w:rsidRPr="004431F4" w:rsidRDefault="002945A4" w:rsidP="004B77AD">
            <w:pPr>
              <w:spacing w:line="276" w:lineRule="auto"/>
              <w:rPr>
                <w:rFonts w:eastAsia="Times New Roman"/>
                <w:sz w:val="24"/>
                <w:szCs w:val="24"/>
              </w:rPr>
            </w:pPr>
          </w:p>
        </w:tc>
        <w:tc>
          <w:tcPr>
            <w:tcW w:w="699" w:type="pct"/>
            <w:tcBorders>
              <w:top w:val="single" w:sz="8" w:space="0" w:color="auto"/>
              <w:left w:val="single" w:sz="8" w:space="0" w:color="auto"/>
              <w:bottom w:val="single" w:sz="8" w:space="0" w:color="auto"/>
              <w:right w:val="single" w:sz="8" w:space="0" w:color="auto"/>
            </w:tcBorders>
            <w:tcMar>
              <w:left w:w="108" w:type="dxa"/>
              <w:right w:w="108" w:type="dxa"/>
            </w:tcMar>
          </w:tcPr>
          <w:p w14:paraId="7402A03A" w14:textId="77777777" w:rsidR="002945A4" w:rsidRPr="004431F4" w:rsidRDefault="002945A4" w:rsidP="004B77AD">
            <w:pPr>
              <w:spacing w:line="276" w:lineRule="auto"/>
              <w:rPr>
                <w:rFonts w:eastAsia="Times New Roman"/>
                <w:sz w:val="24"/>
                <w:szCs w:val="24"/>
              </w:rPr>
            </w:pPr>
          </w:p>
        </w:tc>
        <w:tc>
          <w:tcPr>
            <w:tcW w:w="644" w:type="pct"/>
            <w:tcBorders>
              <w:top w:val="single" w:sz="8" w:space="0" w:color="auto"/>
              <w:left w:val="single" w:sz="8" w:space="0" w:color="auto"/>
              <w:bottom w:val="single" w:sz="8" w:space="0" w:color="auto"/>
              <w:right w:val="single" w:sz="8" w:space="0" w:color="auto"/>
            </w:tcBorders>
            <w:tcMar>
              <w:left w:w="108" w:type="dxa"/>
              <w:right w:w="108" w:type="dxa"/>
            </w:tcMar>
          </w:tcPr>
          <w:p w14:paraId="23C9CDC1" w14:textId="77777777" w:rsidR="002945A4" w:rsidRPr="004431F4" w:rsidRDefault="002945A4" w:rsidP="004B77AD">
            <w:pPr>
              <w:spacing w:line="276" w:lineRule="auto"/>
              <w:rPr>
                <w:rFonts w:eastAsia="Times New Roman"/>
                <w:sz w:val="24"/>
                <w:szCs w:val="24"/>
              </w:rPr>
            </w:pPr>
          </w:p>
        </w:tc>
      </w:tr>
    </w:tbl>
    <w:p w14:paraId="290AA42F" w14:textId="7EAE1FAB" w:rsidR="002945A4" w:rsidRPr="004431F4" w:rsidRDefault="002945A4" w:rsidP="004B77AD">
      <w:pPr>
        <w:spacing w:line="276" w:lineRule="auto"/>
        <w:jc w:val="both"/>
        <w:rPr>
          <w:rFonts w:eastAsia="Times New Roman"/>
          <w:sz w:val="24"/>
          <w:szCs w:val="24"/>
        </w:rPr>
      </w:pPr>
    </w:p>
    <w:p w14:paraId="185BD81C" w14:textId="77777777" w:rsidR="005141AE" w:rsidRPr="004431F4" w:rsidRDefault="005141AE" w:rsidP="004B77AD">
      <w:pPr>
        <w:spacing w:line="276" w:lineRule="auto"/>
        <w:jc w:val="both"/>
        <w:rPr>
          <w:sz w:val="24"/>
          <w:szCs w:val="24"/>
        </w:rPr>
      </w:pPr>
    </w:p>
    <w:p w14:paraId="167E593B" w14:textId="77777777" w:rsidR="005141AE" w:rsidRPr="004431F4" w:rsidRDefault="005141AE" w:rsidP="004B77AD">
      <w:pPr>
        <w:pStyle w:val="Heading2"/>
        <w:spacing w:before="0" w:line="276" w:lineRule="auto"/>
        <w:rPr>
          <w:sz w:val="24"/>
          <w:szCs w:val="24"/>
        </w:rPr>
      </w:pPr>
      <w:r w:rsidRPr="004431F4">
        <w:rPr>
          <w:sz w:val="24"/>
          <w:szCs w:val="24"/>
        </w:rPr>
        <w:t xml:space="preserve">Mechanical Characterization </w:t>
      </w:r>
    </w:p>
    <w:p w14:paraId="0831F99D" w14:textId="77777777" w:rsidR="005141AE" w:rsidRPr="004431F4" w:rsidRDefault="005141AE" w:rsidP="004B77AD">
      <w:pPr>
        <w:pStyle w:val="Heading3"/>
        <w:spacing w:line="276" w:lineRule="auto"/>
        <w:rPr>
          <w:sz w:val="24"/>
          <w:szCs w:val="24"/>
        </w:rPr>
      </w:pPr>
      <w:r w:rsidRPr="004431F4">
        <w:rPr>
          <w:sz w:val="24"/>
          <w:szCs w:val="24"/>
        </w:rPr>
        <w:t>Digital Image Correlation (DIC)</w:t>
      </w:r>
    </w:p>
    <w:p w14:paraId="0041B2F6" w14:textId="5F4C6F74" w:rsidR="005141AE" w:rsidRPr="004431F4" w:rsidRDefault="0110BF78" w:rsidP="004B77AD">
      <w:pPr>
        <w:spacing w:line="276" w:lineRule="auto"/>
        <w:ind w:firstLine="288"/>
        <w:jc w:val="both"/>
        <w:rPr>
          <w:rFonts w:eastAsia="Times New Roman"/>
          <w:color w:val="000000" w:themeColor="text1"/>
          <w:sz w:val="24"/>
          <w:szCs w:val="24"/>
        </w:rPr>
      </w:pPr>
      <w:r w:rsidRPr="004431F4">
        <w:rPr>
          <w:rFonts w:eastAsia="Times New Roman"/>
          <w:color w:val="000000" w:themeColor="text1"/>
          <w:sz w:val="24"/>
          <w:szCs w:val="24"/>
        </w:rPr>
        <w:t xml:space="preserve">Two gyroid bending specimens were randomly selected to undergo mechanical testing with DIC. To prepare the specimens for DIC imaging, the front surface was painted white for a high-contrast background to image. A micro-sized black speckling pattern was applied using an IWATA Micron-CMB airbrush. Strain was measured using the digital image correlation (DIC) technique for experimental full-field strain on the surface of the test specimens at a step size of 55 pixels. DIC images were collected using Flea3 digital cameras (FLIR Systems, Inc., USA) at a frequency of 1 Hz. Image post-processing was performed in Vic-2D (version 6, Correlated Solutions, Inc., USA). </w:t>
      </w:r>
    </w:p>
    <w:p w14:paraId="737B404F" w14:textId="3C8DD7A5" w:rsidR="005141AE" w:rsidRPr="004431F4" w:rsidRDefault="005141AE" w:rsidP="004B77AD">
      <w:pPr>
        <w:pStyle w:val="Heading3"/>
        <w:spacing w:line="276" w:lineRule="auto"/>
        <w:rPr>
          <w:sz w:val="24"/>
          <w:szCs w:val="24"/>
        </w:rPr>
      </w:pPr>
      <w:r w:rsidRPr="004431F4">
        <w:rPr>
          <w:sz w:val="24"/>
          <w:szCs w:val="24"/>
        </w:rPr>
        <w:t xml:space="preserve">Quasi-Static </w:t>
      </w:r>
      <w:r w:rsidR="006F2402">
        <w:rPr>
          <w:sz w:val="24"/>
          <w:szCs w:val="24"/>
        </w:rPr>
        <w:t xml:space="preserve">Three-point Flextural </w:t>
      </w:r>
      <w:r w:rsidRPr="004431F4">
        <w:rPr>
          <w:sz w:val="24"/>
          <w:szCs w:val="24"/>
        </w:rPr>
        <w:t>with Intermittent micro-CT</w:t>
      </w:r>
    </w:p>
    <w:p w14:paraId="5A5F18B3" w14:textId="61132A0F" w:rsidR="005141AE" w:rsidRPr="004431F4" w:rsidRDefault="0110BF78" w:rsidP="004B77AD">
      <w:pPr>
        <w:spacing w:line="276" w:lineRule="auto"/>
        <w:ind w:firstLine="288"/>
        <w:jc w:val="both"/>
        <w:rPr>
          <w:rFonts w:eastAsia="Times New Roman"/>
          <w:color w:val="000000" w:themeColor="text1"/>
          <w:sz w:val="24"/>
          <w:szCs w:val="24"/>
        </w:rPr>
      </w:pPr>
      <w:r w:rsidRPr="004431F4">
        <w:rPr>
          <w:rFonts w:eastAsia="Times New Roman"/>
          <w:color w:val="000000" w:themeColor="text1"/>
          <w:sz w:val="24"/>
          <w:szCs w:val="24"/>
        </w:rPr>
        <w:t xml:space="preserve">All three specimens were tested under three-point flexural loading conditions on MTS load frames equipped with a 50kN load cell. In accordance with ASTM D7250/D7250M, testing was conducted at a constant quasi-static displacement rate of </w:t>
      </w:r>
      <w:bookmarkStart w:id="6" w:name="_Int_nAcKNV0w"/>
      <w:r w:rsidRPr="004431F4">
        <w:rPr>
          <w:rFonts w:eastAsia="Times New Roman"/>
          <w:color w:val="000000" w:themeColor="text1"/>
          <w:sz w:val="24"/>
          <w:szCs w:val="24"/>
        </w:rPr>
        <w:t>0.008 mm</w:t>
      </w:r>
      <w:bookmarkEnd w:id="6"/>
      <w:r w:rsidRPr="004431F4">
        <w:rPr>
          <w:rFonts w:eastAsia="Times New Roman"/>
          <w:color w:val="000000" w:themeColor="text1"/>
          <w:sz w:val="24"/>
          <w:szCs w:val="24"/>
        </w:rPr>
        <w:t xml:space="preserve">/s. Testing was terminated after either a 90% drop in max stress, or complete delamination of adjacent material sections. One of the three specimens also underwent intermittent micro-CT analysis during loading. </w:t>
      </w:r>
    </w:p>
    <w:p w14:paraId="0D4378F3" w14:textId="5C71A558" w:rsidR="005141AE" w:rsidRPr="004431F4" w:rsidRDefault="0110BF78" w:rsidP="004B77AD">
      <w:pPr>
        <w:spacing w:line="276" w:lineRule="auto"/>
        <w:ind w:firstLine="288"/>
        <w:jc w:val="both"/>
        <w:rPr>
          <w:rFonts w:eastAsia="Times New Roman"/>
          <w:sz w:val="24"/>
          <w:szCs w:val="24"/>
        </w:rPr>
      </w:pPr>
      <w:r w:rsidRPr="004431F4">
        <w:rPr>
          <w:rFonts w:eastAsia="Times New Roman"/>
          <w:color w:val="000000" w:themeColor="text1"/>
          <w:sz w:val="24"/>
          <w:szCs w:val="24"/>
        </w:rPr>
        <w:t xml:space="preserve">Intermittent micro-CT analysis consisted of three intervals of plastic deformation and micro-CT imaging to visualize the progression of failure as material sections delaminated. The intervals were selected based on observed plastic deformation and force-displacement trends. At each interval, the specimen was removed from the load frame and micro-CT scanned in its deformed state. To maintain a high voxel resolution, only one half of the specimen was scanned. </w:t>
      </w:r>
      <w:r w:rsidRPr="004431F4">
        <w:rPr>
          <w:rFonts w:eastAsia="Times New Roman"/>
          <w:sz w:val="24"/>
          <w:szCs w:val="24"/>
        </w:rPr>
        <w:t xml:space="preserve">Micro-CT data volume was processed using </w:t>
      </w:r>
      <w:proofErr w:type="spellStart"/>
      <w:r w:rsidRPr="004431F4">
        <w:rPr>
          <w:rFonts w:eastAsia="Times New Roman"/>
          <w:sz w:val="24"/>
          <w:szCs w:val="24"/>
        </w:rPr>
        <w:t>VGStudio</w:t>
      </w:r>
      <w:proofErr w:type="spellEnd"/>
      <w:r w:rsidRPr="004431F4">
        <w:rPr>
          <w:rFonts w:eastAsia="Times New Roman"/>
          <w:sz w:val="24"/>
          <w:szCs w:val="24"/>
        </w:rPr>
        <w:t xml:space="preserve"> Max 2023.3. Datasets for the undeformed specimen were incorporated with the three incremental scans performed during</w:t>
      </w:r>
      <w:r w:rsidR="006F2402">
        <w:rPr>
          <w:rFonts w:eastAsia="Times New Roman"/>
          <w:sz w:val="24"/>
          <w:szCs w:val="24"/>
        </w:rPr>
        <w:t xml:space="preserve"> three-point flexural testing</w:t>
      </w:r>
      <w:r w:rsidR="006F2402">
        <w:rPr>
          <w:rStyle w:val="CommentReference"/>
          <w:sz w:val="24"/>
          <w:szCs w:val="24"/>
        </w:rPr>
        <w:t xml:space="preserve"> </w:t>
      </w:r>
      <w:r w:rsidRPr="004431F4">
        <w:rPr>
          <w:rFonts w:eastAsia="Times New Roman"/>
          <w:sz w:val="24"/>
          <w:szCs w:val="24"/>
        </w:rPr>
        <w:t xml:space="preserve">above. </w:t>
      </w:r>
    </w:p>
    <w:p w14:paraId="7083C7A9" w14:textId="77777777" w:rsidR="005141AE" w:rsidRPr="004431F4" w:rsidRDefault="005141AE" w:rsidP="004B77AD">
      <w:pPr>
        <w:pStyle w:val="Heading2"/>
        <w:spacing w:line="276" w:lineRule="auto"/>
        <w:rPr>
          <w:rFonts w:eastAsia="Times New Roman"/>
          <w:color w:val="000000" w:themeColor="text1"/>
          <w:sz w:val="24"/>
          <w:szCs w:val="24"/>
        </w:rPr>
      </w:pPr>
      <w:r w:rsidRPr="004431F4">
        <w:rPr>
          <w:sz w:val="24"/>
          <w:szCs w:val="24"/>
        </w:rPr>
        <w:lastRenderedPageBreak/>
        <w:t xml:space="preserve">Finite Element Analysis </w:t>
      </w:r>
    </w:p>
    <w:p w14:paraId="03F7F2F8" w14:textId="448AEF73" w:rsidR="005D20E8" w:rsidRPr="007E5B5C" w:rsidRDefault="0110BF78" w:rsidP="004B77AD">
      <w:pPr>
        <w:spacing w:line="276" w:lineRule="auto"/>
        <w:ind w:firstLine="288"/>
        <w:jc w:val="both"/>
        <w:rPr>
          <w:rFonts w:eastAsia="Times New Roman"/>
          <w:color w:val="000000" w:themeColor="text1"/>
          <w:sz w:val="24"/>
          <w:szCs w:val="24"/>
        </w:rPr>
      </w:pPr>
      <w:r w:rsidRPr="004431F4">
        <w:rPr>
          <w:rFonts w:eastAsia="Times New Roman"/>
          <w:color w:val="000000" w:themeColor="text1"/>
          <w:sz w:val="24"/>
          <w:szCs w:val="24"/>
        </w:rPr>
        <w:t xml:space="preserve">Numerical analysis was performed using Abaqus. The gyroid was imported from </w:t>
      </w:r>
      <w:proofErr w:type="spellStart"/>
      <w:r w:rsidRPr="004431F4">
        <w:rPr>
          <w:rFonts w:eastAsia="Times New Roman"/>
          <w:color w:val="000000" w:themeColor="text1"/>
          <w:sz w:val="24"/>
          <w:szCs w:val="24"/>
        </w:rPr>
        <w:t>nTopology</w:t>
      </w:r>
      <w:proofErr w:type="spellEnd"/>
      <w:r w:rsidRPr="004431F4">
        <w:rPr>
          <w:rFonts w:eastAsia="Times New Roman"/>
          <w:color w:val="000000" w:themeColor="text1"/>
          <w:sz w:val="24"/>
          <w:szCs w:val="24"/>
        </w:rPr>
        <w:t xml:space="preserve"> and discretized using shell elements (C3D8). The top and bottom plates were treated as 3D solids using hexahedra (C3D20) and connected to the gyroid via shell-to-solid constraints. The three loading points were explicitly modeled as cylindrical rigid bodies. One of the bottom surfaces was tied to the assembled beam to restrain motion parallel to the beam axis. The remaining two (top and bottom) were connected to the beam through surface contact. In accordance with experimental results, a displacement of </w:t>
      </w:r>
      <w:bookmarkStart w:id="7" w:name="_Int_vph9QQyo"/>
      <w:r w:rsidRPr="004431F4">
        <w:rPr>
          <w:rFonts w:eastAsia="Times New Roman"/>
          <w:color w:val="000000" w:themeColor="text1"/>
          <w:sz w:val="24"/>
          <w:szCs w:val="24"/>
        </w:rPr>
        <w:t>3 mm</w:t>
      </w:r>
      <w:bookmarkEnd w:id="7"/>
      <w:r w:rsidRPr="004431F4">
        <w:rPr>
          <w:rFonts w:eastAsia="Times New Roman"/>
          <w:color w:val="000000" w:themeColor="text1"/>
          <w:sz w:val="24"/>
          <w:szCs w:val="24"/>
        </w:rPr>
        <w:t xml:space="preserve"> was applied to the top cylinder, while the bottom two cylinders were fixed in all directions.</w:t>
      </w:r>
    </w:p>
    <w:p w14:paraId="76B43E0D" w14:textId="666422BF" w:rsidR="00631935" w:rsidRPr="007B40CF" w:rsidRDefault="00631935" w:rsidP="004B77AD">
      <w:pPr>
        <w:pStyle w:val="Heading1"/>
        <w:spacing w:line="276" w:lineRule="auto"/>
        <w:rPr>
          <w:sz w:val="24"/>
          <w:szCs w:val="24"/>
        </w:rPr>
      </w:pPr>
      <w:r w:rsidRPr="004431F4">
        <w:rPr>
          <w:sz w:val="24"/>
          <w:szCs w:val="24"/>
        </w:rPr>
        <w:t>References</w:t>
      </w:r>
    </w:p>
    <w:p w14:paraId="034D9E3A" w14:textId="77777777" w:rsidR="00FD76C4" w:rsidRPr="00FD76C4" w:rsidRDefault="002E31CE" w:rsidP="00356E57">
      <w:pPr>
        <w:pStyle w:val="Bibliography"/>
        <w:jc w:val="both"/>
        <w:rPr>
          <w:sz w:val="24"/>
        </w:rPr>
      </w:pPr>
      <w:r w:rsidRPr="004431F4">
        <w:fldChar w:fldCharType="begin"/>
      </w:r>
      <w:r w:rsidR="00FD76C4" w:rsidRPr="004431F4">
        <w:rPr>
          <w:sz w:val="24"/>
          <w:szCs w:val="24"/>
        </w:rPr>
        <w:instrText xml:space="preserve"> ADDIN ZOTERO_BIBL {"uncited":[],"omitted":[],"custom":[]} CSL_BIBLIOGRAPHY </w:instrText>
      </w:r>
      <w:r w:rsidRPr="004431F4">
        <w:fldChar w:fldCharType="separate"/>
      </w:r>
      <w:r w:rsidR="00FD76C4" w:rsidRPr="00FD76C4">
        <w:rPr>
          <w:sz w:val="24"/>
        </w:rPr>
        <w:t>1.</w:t>
      </w:r>
      <w:r w:rsidR="00FD76C4" w:rsidRPr="00FD76C4">
        <w:rPr>
          <w:sz w:val="24"/>
        </w:rPr>
        <w:tab/>
        <w:t xml:space="preserve">Maconachie, T. </w:t>
      </w:r>
      <w:r w:rsidR="00FD76C4" w:rsidRPr="00FD76C4">
        <w:rPr>
          <w:i/>
          <w:iCs/>
          <w:sz w:val="24"/>
        </w:rPr>
        <w:t>et al.</w:t>
      </w:r>
      <w:r w:rsidR="00FD76C4" w:rsidRPr="00FD76C4">
        <w:rPr>
          <w:sz w:val="24"/>
        </w:rPr>
        <w:t xml:space="preserve"> SLM lattice structures: Properties, performance, applications and challenges. </w:t>
      </w:r>
      <w:r w:rsidR="00FD76C4" w:rsidRPr="00FD76C4">
        <w:rPr>
          <w:i/>
          <w:iCs/>
          <w:sz w:val="24"/>
        </w:rPr>
        <w:t>Mater. Des.</w:t>
      </w:r>
      <w:r w:rsidR="00FD76C4" w:rsidRPr="00FD76C4">
        <w:rPr>
          <w:sz w:val="24"/>
        </w:rPr>
        <w:t xml:space="preserve"> </w:t>
      </w:r>
      <w:r w:rsidR="00FD76C4" w:rsidRPr="00FD76C4">
        <w:rPr>
          <w:b/>
          <w:bCs/>
          <w:sz w:val="24"/>
        </w:rPr>
        <w:t>183</w:t>
      </w:r>
      <w:r w:rsidR="00FD76C4" w:rsidRPr="00FD76C4">
        <w:rPr>
          <w:sz w:val="24"/>
        </w:rPr>
        <w:t>, 108137 (2019).</w:t>
      </w:r>
    </w:p>
    <w:p w14:paraId="53BBB74A" w14:textId="77777777" w:rsidR="00FD76C4" w:rsidRPr="00FD76C4" w:rsidRDefault="00FD76C4" w:rsidP="00356E57">
      <w:pPr>
        <w:pStyle w:val="Bibliography"/>
        <w:jc w:val="both"/>
        <w:rPr>
          <w:sz w:val="24"/>
        </w:rPr>
      </w:pPr>
      <w:r w:rsidRPr="00FD76C4">
        <w:rPr>
          <w:sz w:val="24"/>
        </w:rPr>
        <w:t>2.</w:t>
      </w:r>
      <w:r w:rsidRPr="00FD76C4">
        <w:rPr>
          <w:sz w:val="24"/>
        </w:rPr>
        <w:tab/>
        <w:t xml:space="preserve">Shen, Y., Cantwell, W. &amp; Li, Y. Skin-core adhesion in high performance sandwich structures. </w:t>
      </w:r>
      <w:r w:rsidRPr="00FD76C4">
        <w:rPr>
          <w:i/>
          <w:iCs/>
          <w:sz w:val="24"/>
        </w:rPr>
        <w:t>J. Zhejiang Univ. Sci. A</w:t>
      </w:r>
      <w:r w:rsidRPr="00FD76C4">
        <w:rPr>
          <w:sz w:val="24"/>
        </w:rPr>
        <w:t xml:space="preserve"> </w:t>
      </w:r>
      <w:r w:rsidRPr="00FD76C4">
        <w:rPr>
          <w:b/>
          <w:bCs/>
          <w:sz w:val="24"/>
        </w:rPr>
        <w:t>15</w:t>
      </w:r>
      <w:r w:rsidRPr="00FD76C4">
        <w:rPr>
          <w:sz w:val="24"/>
        </w:rPr>
        <w:t>, 61–67 (2014).</w:t>
      </w:r>
    </w:p>
    <w:p w14:paraId="63736FC5" w14:textId="77777777" w:rsidR="00FD76C4" w:rsidRPr="00FD76C4" w:rsidRDefault="00FD76C4" w:rsidP="00356E57">
      <w:pPr>
        <w:pStyle w:val="Bibliography"/>
        <w:jc w:val="both"/>
        <w:rPr>
          <w:sz w:val="24"/>
        </w:rPr>
      </w:pPr>
      <w:r w:rsidRPr="00FD76C4">
        <w:rPr>
          <w:sz w:val="24"/>
        </w:rPr>
        <w:t>3.</w:t>
      </w:r>
      <w:r w:rsidRPr="00FD76C4">
        <w:rPr>
          <w:sz w:val="24"/>
        </w:rPr>
        <w:tab/>
        <w:t xml:space="preserve">Stainless Steel 904L - Data Sheet - thyssenkrupp Materials (UK). </w:t>
      </w:r>
      <w:r w:rsidRPr="00FD76C4">
        <w:rPr>
          <w:i/>
          <w:iCs/>
          <w:sz w:val="24"/>
        </w:rPr>
        <w:t>Materials UK</w:t>
      </w:r>
      <w:r w:rsidRPr="00FD76C4">
        <w:rPr>
          <w:sz w:val="24"/>
        </w:rPr>
        <w:t xml:space="preserve"> https://www.thyssenkrupp-materials.co.uk/stainless-steel-904l-14539.html.</w:t>
      </w:r>
    </w:p>
    <w:p w14:paraId="5E93B9E6" w14:textId="77777777" w:rsidR="00FD76C4" w:rsidRPr="00FD76C4" w:rsidRDefault="00FD76C4" w:rsidP="00356E57">
      <w:pPr>
        <w:pStyle w:val="Bibliography"/>
        <w:jc w:val="both"/>
        <w:rPr>
          <w:sz w:val="24"/>
        </w:rPr>
      </w:pPr>
      <w:r w:rsidRPr="00FD76C4">
        <w:rPr>
          <w:sz w:val="24"/>
        </w:rPr>
        <w:t>4.</w:t>
      </w:r>
      <w:r w:rsidRPr="00FD76C4">
        <w:rPr>
          <w:sz w:val="24"/>
        </w:rPr>
        <w:tab/>
        <w:t>ECKART TLS POWDER ALLOYS | Eckart NAFTA. https://www.eckart.net/us/en/am/tls.</w:t>
      </w:r>
    </w:p>
    <w:p w14:paraId="644F8485" w14:textId="77777777" w:rsidR="00FD76C4" w:rsidRPr="00FD76C4" w:rsidRDefault="00FD76C4" w:rsidP="00356E57">
      <w:pPr>
        <w:pStyle w:val="Bibliography"/>
        <w:jc w:val="both"/>
        <w:rPr>
          <w:sz w:val="24"/>
        </w:rPr>
      </w:pPr>
      <w:r w:rsidRPr="00FD76C4">
        <w:rPr>
          <w:sz w:val="24"/>
        </w:rPr>
        <w:t>5.</w:t>
      </w:r>
      <w:r w:rsidRPr="00FD76C4">
        <w:rPr>
          <w:sz w:val="24"/>
        </w:rPr>
        <w:tab/>
        <w:t xml:space="preserve">Ahmed Obeidi, M. </w:t>
      </w:r>
      <w:r w:rsidRPr="00FD76C4">
        <w:rPr>
          <w:i/>
          <w:iCs/>
          <w:sz w:val="24"/>
        </w:rPr>
        <w:t>et al.</w:t>
      </w:r>
      <w:r w:rsidRPr="00FD76C4">
        <w:rPr>
          <w:sz w:val="24"/>
        </w:rPr>
        <w:t xml:space="preserve"> Comparison of the porosity and mechanical performance of 316L stainless steel manufactured on different laser powder bed fusion metal additive manufacturing machines. </w:t>
      </w:r>
      <w:r w:rsidRPr="00FD76C4">
        <w:rPr>
          <w:i/>
          <w:iCs/>
          <w:sz w:val="24"/>
        </w:rPr>
        <w:t>J. Mater. Res. Technol.</w:t>
      </w:r>
      <w:r w:rsidRPr="00FD76C4">
        <w:rPr>
          <w:sz w:val="24"/>
        </w:rPr>
        <w:t xml:space="preserve"> </w:t>
      </w:r>
      <w:r w:rsidRPr="00FD76C4">
        <w:rPr>
          <w:b/>
          <w:bCs/>
          <w:sz w:val="24"/>
        </w:rPr>
        <w:t>13</w:t>
      </w:r>
      <w:r w:rsidRPr="00FD76C4">
        <w:rPr>
          <w:sz w:val="24"/>
        </w:rPr>
        <w:t>, 2361–2374 (2021).</w:t>
      </w:r>
    </w:p>
    <w:p w14:paraId="599BC598" w14:textId="77777777" w:rsidR="00FD76C4" w:rsidRPr="00FD76C4" w:rsidRDefault="00FD76C4" w:rsidP="00356E57">
      <w:pPr>
        <w:pStyle w:val="Bibliography"/>
        <w:jc w:val="both"/>
        <w:rPr>
          <w:sz w:val="24"/>
        </w:rPr>
      </w:pPr>
      <w:r w:rsidRPr="00FD76C4">
        <w:rPr>
          <w:sz w:val="24"/>
        </w:rPr>
        <w:t>6.</w:t>
      </w:r>
      <w:r w:rsidRPr="00FD76C4">
        <w:rPr>
          <w:sz w:val="24"/>
        </w:rPr>
        <w:tab/>
        <w:t xml:space="preserve">Wang, D. </w:t>
      </w:r>
      <w:r w:rsidRPr="00FD76C4">
        <w:rPr>
          <w:i/>
          <w:iCs/>
          <w:sz w:val="24"/>
        </w:rPr>
        <w:t>et al.</w:t>
      </w:r>
      <w:r w:rsidRPr="00FD76C4">
        <w:rPr>
          <w:sz w:val="24"/>
        </w:rPr>
        <w:t xml:space="preserve"> A review and a statistical analysis of porosity in metals additively manufactured by laser powder bed fusion. </w:t>
      </w:r>
      <w:r w:rsidRPr="00FD76C4">
        <w:rPr>
          <w:i/>
          <w:iCs/>
          <w:sz w:val="24"/>
        </w:rPr>
        <w:t>Opto-Electron. Adv.</w:t>
      </w:r>
      <w:r w:rsidRPr="00FD76C4">
        <w:rPr>
          <w:sz w:val="24"/>
        </w:rPr>
        <w:t xml:space="preserve"> </w:t>
      </w:r>
      <w:r w:rsidRPr="00FD76C4">
        <w:rPr>
          <w:b/>
          <w:bCs/>
          <w:sz w:val="24"/>
        </w:rPr>
        <w:t>5</w:t>
      </w:r>
      <w:r w:rsidRPr="00FD76C4">
        <w:rPr>
          <w:sz w:val="24"/>
        </w:rPr>
        <w:t>, 1–34 (2022).</w:t>
      </w:r>
    </w:p>
    <w:p w14:paraId="47F84BE8" w14:textId="77777777" w:rsidR="00FD76C4" w:rsidRPr="00FD76C4" w:rsidRDefault="00FD76C4" w:rsidP="00356E57">
      <w:pPr>
        <w:pStyle w:val="Bibliography"/>
        <w:jc w:val="both"/>
        <w:rPr>
          <w:sz w:val="24"/>
        </w:rPr>
      </w:pPr>
      <w:r w:rsidRPr="00FD76C4">
        <w:rPr>
          <w:sz w:val="24"/>
        </w:rPr>
        <w:t>7.</w:t>
      </w:r>
      <w:r w:rsidRPr="00FD76C4">
        <w:rPr>
          <w:sz w:val="24"/>
        </w:rPr>
        <w:tab/>
        <w:t xml:space="preserve">Zhao, R., Shmatok, A., Fischer, R. &amp; Prorok, B. C. Investigation of Causal Relationships between Printing Parameters, Pore Properties and Porosity in Laser Powder Bed Fusion. </w:t>
      </w:r>
      <w:r w:rsidRPr="00FD76C4">
        <w:rPr>
          <w:i/>
          <w:iCs/>
          <w:sz w:val="24"/>
        </w:rPr>
        <w:t>Metals</w:t>
      </w:r>
      <w:r w:rsidRPr="00FD76C4">
        <w:rPr>
          <w:sz w:val="24"/>
        </w:rPr>
        <w:t xml:space="preserve"> </w:t>
      </w:r>
      <w:r w:rsidRPr="00FD76C4">
        <w:rPr>
          <w:b/>
          <w:bCs/>
          <w:sz w:val="24"/>
        </w:rPr>
        <w:t>13</w:t>
      </w:r>
      <w:r w:rsidRPr="00FD76C4">
        <w:rPr>
          <w:sz w:val="24"/>
        </w:rPr>
        <w:t>, (2023).</w:t>
      </w:r>
    </w:p>
    <w:p w14:paraId="369A1422" w14:textId="1B84EE82" w:rsidR="002E31CE" w:rsidRPr="004431F4" w:rsidRDefault="002E31CE" w:rsidP="004B77AD">
      <w:pPr>
        <w:spacing w:line="276" w:lineRule="auto"/>
        <w:jc w:val="both"/>
        <w:rPr>
          <w:sz w:val="24"/>
          <w:szCs w:val="24"/>
        </w:rPr>
      </w:pPr>
      <w:r w:rsidRPr="004431F4">
        <w:rPr>
          <w:sz w:val="24"/>
          <w:szCs w:val="24"/>
        </w:rPr>
        <w:fldChar w:fldCharType="end"/>
      </w:r>
    </w:p>
    <w:sectPr w:rsidR="002E31CE" w:rsidRPr="004431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intelligence2.xml><?xml version="1.0" encoding="utf-8"?>
<int2:intelligence xmlns:int2="http://schemas.microsoft.com/office/intelligence/2020/intelligence" xmlns:oel="http://schemas.microsoft.com/office/2019/extlst">
  <int2:observations>
    <int2:textHash int2:hashCode="Rlf4vu817PQjDG" int2:id="33N1dovt">
      <int2:state int2:value="Rejected" int2:type="AugLoop_Text_Critique"/>
    </int2:textHash>
    <int2:textHash int2:hashCode="J1gi67dzUOAGDm" int2:id="AKnjYWQ3">
      <int2:state int2:value="Rejected" int2:type="AugLoop_Text_Critique"/>
    </int2:textHash>
    <int2:textHash int2:hashCode="xaGCWQ3zzRM7eQ" int2:id="GFwvPs4r">
      <int2:state int2:value="Rejected" int2:type="AugLoop_Text_Critique"/>
    </int2:textHash>
    <int2:textHash int2:hashCode="dLCuDazJowySTx" int2:id="c57FjhJ5">
      <int2:state int2:value="Rejected" int2:type="AugLoop_Text_Critique"/>
    </int2:textHash>
    <int2:textHash int2:hashCode="XUyqNZi4q249cr" int2:id="jwhBq9e8">
      <int2:state int2:value="Rejected" int2:type="AugLoop_Text_Critique"/>
    </int2:textHash>
    <int2:textHash int2:hashCode="SIit34EeZaIdHE" int2:id="rdQ4PThw">
      <int2:state int2:value="Rejected" int2:type="AugLoop_Text_Critique"/>
    </int2:textHash>
    <int2:textHash int2:hashCode="XCQywQTpqctwdx" int2:id="zRNlxR22">
      <int2:state int2:value="Rejected" int2:type="AugLoop_Text_Critique"/>
    </int2:textHash>
    <int2:bookmark int2:bookmarkName="_Int_tPRFtgfz" int2:invalidationBookmarkName="" int2:hashCode="S4uvsenM39qWzT" int2:id="1IpSA3hF">
      <int2:state int2:value="Rejected" int2:type="AugLoop_Text_Critique"/>
    </int2:bookmark>
    <int2:bookmark int2:bookmarkName="_Int_RSIn7Zib" int2:invalidationBookmarkName="" int2:hashCode="fbiMumbFhkpq7/" int2:id="2TNUKShD">
      <int2:state int2:value="Rejected" int2:type="AugLoop_Text_Critique"/>
    </int2:bookmark>
    <int2:bookmark int2:bookmarkName="_Int_Gdydqjmc" int2:invalidationBookmarkName="" int2:hashCode="YkG6wzbLN/9xLO" int2:id="8UJAxIEa">
      <int2:state int2:value="Rejected" int2:type="AugLoop_Text_Critique"/>
    </int2:bookmark>
    <int2:bookmark int2:bookmarkName="_Int_ki02N9Dc" int2:invalidationBookmarkName="" int2:hashCode="oV1ZOWfgg3n8Su" int2:id="LoBH2H7V">
      <int2:state int2:value="Rejected" int2:type="AugLoop_Text_Critique"/>
    </int2:bookmark>
    <int2:bookmark int2:bookmarkName="_Int_nAcKNV0w" int2:invalidationBookmarkName="" int2:hashCode="vmnVL1SRR5Dk4i" int2:id="XYMQi0X6">
      <int2:state int2:value="Rejected" int2:type="AugLoop_Text_Critique"/>
    </int2:bookmark>
    <int2:bookmark int2:bookmarkName="_Int_vph9QQyo" int2:invalidationBookmarkName="" int2:hashCode="p8gtb/WxUf0p39" int2:id="ZqtZOYUK">
      <int2:state int2:value="Rejected" int2:type="AugLoop_Text_Critique"/>
    </int2:bookmark>
    <int2:bookmark int2:bookmarkName="_Int_BaN3gId9" int2:invalidationBookmarkName="" int2:hashCode="R1JEscxpBMFxpy" int2:id="w3yAmO6z">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189603E"/>
    <w:multiLevelType w:val="multilevel"/>
    <w:tmpl w:val="0AB06E12"/>
    <w:lvl w:ilvl="0">
      <w:start w:val="1"/>
      <w:numFmt w:val="upperRoman"/>
      <w:pStyle w:val="Heading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num w:numId="1" w16cid:durableId="398525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TC0NDIxszQ2NTE2MbFQ0lEKTi0uzszPAykwqgUAx3E0OCwAAAA="/>
  </w:docVars>
  <w:rsids>
    <w:rsidRoot w:val="002C7E16"/>
    <w:rsid w:val="00063035"/>
    <w:rsid w:val="00093195"/>
    <w:rsid w:val="001223BA"/>
    <w:rsid w:val="00135E2F"/>
    <w:rsid w:val="0014695E"/>
    <w:rsid w:val="001E1997"/>
    <w:rsid w:val="00225CAF"/>
    <w:rsid w:val="00281244"/>
    <w:rsid w:val="002945A4"/>
    <w:rsid w:val="002C7E16"/>
    <w:rsid w:val="002E099C"/>
    <w:rsid w:val="002E31CE"/>
    <w:rsid w:val="002E3812"/>
    <w:rsid w:val="0030225A"/>
    <w:rsid w:val="003460B8"/>
    <w:rsid w:val="00356E57"/>
    <w:rsid w:val="0043745A"/>
    <w:rsid w:val="004431F4"/>
    <w:rsid w:val="004925BC"/>
    <w:rsid w:val="004B77AD"/>
    <w:rsid w:val="004C02ED"/>
    <w:rsid w:val="004F318D"/>
    <w:rsid w:val="005011A9"/>
    <w:rsid w:val="005141AE"/>
    <w:rsid w:val="005174BF"/>
    <w:rsid w:val="005D20E8"/>
    <w:rsid w:val="005F2651"/>
    <w:rsid w:val="005F7E00"/>
    <w:rsid w:val="006254C9"/>
    <w:rsid w:val="00631935"/>
    <w:rsid w:val="00684D4D"/>
    <w:rsid w:val="006A5CDC"/>
    <w:rsid w:val="006C2702"/>
    <w:rsid w:val="006D28F1"/>
    <w:rsid w:val="006F2402"/>
    <w:rsid w:val="00700923"/>
    <w:rsid w:val="00722626"/>
    <w:rsid w:val="0074189C"/>
    <w:rsid w:val="00747C7F"/>
    <w:rsid w:val="007A0A93"/>
    <w:rsid w:val="007B40CF"/>
    <w:rsid w:val="007E5B5C"/>
    <w:rsid w:val="008101E5"/>
    <w:rsid w:val="00812299"/>
    <w:rsid w:val="008A44B5"/>
    <w:rsid w:val="008D25BA"/>
    <w:rsid w:val="009334D5"/>
    <w:rsid w:val="00A772BE"/>
    <w:rsid w:val="00A87550"/>
    <w:rsid w:val="00AA6249"/>
    <w:rsid w:val="00AD75BE"/>
    <w:rsid w:val="00B30B44"/>
    <w:rsid w:val="00B37065"/>
    <w:rsid w:val="00B80833"/>
    <w:rsid w:val="00BB6D8A"/>
    <w:rsid w:val="00CB0AE0"/>
    <w:rsid w:val="00CB320A"/>
    <w:rsid w:val="00CE725B"/>
    <w:rsid w:val="00D17D74"/>
    <w:rsid w:val="00D20E57"/>
    <w:rsid w:val="00D343BD"/>
    <w:rsid w:val="00D359ED"/>
    <w:rsid w:val="00D40973"/>
    <w:rsid w:val="00D423DF"/>
    <w:rsid w:val="00D61241"/>
    <w:rsid w:val="00DA435B"/>
    <w:rsid w:val="00E72FD6"/>
    <w:rsid w:val="00E8418A"/>
    <w:rsid w:val="00EB2F66"/>
    <w:rsid w:val="00EB6607"/>
    <w:rsid w:val="00EE36A6"/>
    <w:rsid w:val="00EF1AF3"/>
    <w:rsid w:val="00F46D0B"/>
    <w:rsid w:val="00F966FE"/>
    <w:rsid w:val="00FB19AA"/>
    <w:rsid w:val="00FD76C4"/>
    <w:rsid w:val="00FF001B"/>
    <w:rsid w:val="0110BF78"/>
    <w:rsid w:val="08ADB05B"/>
    <w:rsid w:val="0979F769"/>
    <w:rsid w:val="0D9D19D1"/>
    <w:rsid w:val="0E177212"/>
    <w:rsid w:val="1BB62E6B"/>
    <w:rsid w:val="295B3DC2"/>
    <w:rsid w:val="2B103F79"/>
    <w:rsid w:val="2C1839EB"/>
    <w:rsid w:val="46F71671"/>
    <w:rsid w:val="4B7E8B24"/>
    <w:rsid w:val="5114C9E6"/>
    <w:rsid w:val="5A840126"/>
    <w:rsid w:val="5AECA180"/>
    <w:rsid w:val="61C5EFBA"/>
    <w:rsid w:val="61DA0B13"/>
    <w:rsid w:val="6361C01B"/>
    <w:rsid w:val="6411BB0F"/>
    <w:rsid w:val="64FD907C"/>
    <w:rsid w:val="66F6EF64"/>
    <w:rsid w:val="6726A86B"/>
    <w:rsid w:val="680022F3"/>
    <w:rsid w:val="6840A177"/>
    <w:rsid w:val="7FC6B79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C3C95"/>
  <w15:chartTrackingRefBased/>
  <w15:docId w15:val="{D4D2BE96-CEC7-4CAC-B17A-C2FC7A722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1AE"/>
    <w:pPr>
      <w:spacing w:after="0" w:line="240" w:lineRule="auto"/>
      <w:jc w:val="center"/>
    </w:pPr>
    <w:rPr>
      <w:rFonts w:ascii="Times New Roman" w:eastAsia="SimSun" w:hAnsi="Times New Roman" w:cs="Times New Roman"/>
      <w:sz w:val="20"/>
      <w:szCs w:val="20"/>
    </w:rPr>
  </w:style>
  <w:style w:type="paragraph" w:styleId="Heading1">
    <w:name w:val="heading 1"/>
    <w:basedOn w:val="Normal"/>
    <w:next w:val="Normal"/>
    <w:link w:val="Heading1Char"/>
    <w:qFormat/>
    <w:rsid w:val="005141AE"/>
    <w:pPr>
      <w:keepNext/>
      <w:keepLines/>
      <w:numPr>
        <w:numId w:val="1"/>
      </w:numPr>
      <w:tabs>
        <w:tab w:val="left" w:pos="216"/>
      </w:tabs>
      <w:spacing w:before="160" w:after="80"/>
      <w:ind w:firstLine="0"/>
      <w:outlineLvl w:val="0"/>
    </w:pPr>
    <w:rPr>
      <w:smallCaps/>
      <w:noProof/>
    </w:rPr>
  </w:style>
  <w:style w:type="paragraph" w:styleId="Heading2">
    <w:name w:val="heading 2"/>
    <w:basedOn w:val="Normal"/>
    <w:next w:val="Normal"/>
    <w:link w:val="Heading2Char"/>
    <w:qFormat/>
    <w:rsid w:val="005141AE"/>
    <w:pPr>
      <w:keepNext/>
      <w:keepLines/>
      <w:numPr>
        <w:ilvl w:val="1"/>
        <w:numId w:val="1"/>
      </w:numPr>
      <w:tabs>
        <w:tab w:val="clear" w:pos="360"/>
        <w:tab w:val="num" w:pos="288"/>
      </w:tabs>
      <w:spacing w:before="120" w:after="60"/>
      <w:jc w:val="left"/>
      <w:outlineLvl w:val="1"/>
    </w:pPr>
    <w:rPr>
      <w:i/>
      <w:iCs/>
      <w:noProof/>
    </w:rPr>
  </w:style>
  <w:style w:type="paragraph" w:styleId="Heading3">
    <w:name w:val="heading 3"/>
    <w:basedOn w:val="Normal"/>
    <w:next w:val="Normal"/>
    <w:link w:val="Heading3Char"/>
    <w:qFormat/>
    <w:rsid w:val="005141AE"/>
    <w:pPr>
      <w:numPr>
        <w:ilvl w:val="2"/>
        <w:numId w:val="1"/>
      </w:numPr>
      <w:spacing w:line="240" w:lineRule="exact"/>
      <w:ind w:firstLine="288"/>
      <w:jc w:val="both"/>
      <w:outlineLvl w:val="2"/>
    </w:pPr>
    <w:rPr>
      <w:i/>
      <w:iCs/>
      <w:noProof/>
    </w:rPr>
  </w:style>
  <w:style w:type="paragraph" w:styleId="Heading4">
    <w:name w:val="heading 4"/>
    <w:basedOn w:val="Normal"/>
    <w:next w:val="Normal"/>
    <w:link w:val="Heading4Char"/>
    <w:qFormat/>
    <w:rsid w:val="005141AE"/>
    <w:pPr>
      <w:numPr>
        <w:ilvl w:val="3"/>
        <w:numId w:val="1"/>
      </w:numPr>
      <w:tabs>
        <w:tab w:val="clear" w:pos="630"/>
        <w:tab w:val="left" w:pos="720"/>
      </w:tabs>
      <w:spacing w:before="40" w:after="40"/>
      <w:ind w:firstLine="504"/>
      <w:jc w:val="both"/>
      <w:outlineLvl w:val="3"/>
    </w:pPr>
    <w:rPr>
      <w:i/>
      <w:iCs/>
      <w:noProof/>
    </w:rPr>
  </w:style>
  <w:style w:type="paragraph" w:styleId="Heading5">
    <w:name w:val="heading 5"/>
    <w:basedOn w:val="Normal"/>
    <w:next w:val="Normal"/>
    <w:link w:val="Heading5Char"/>
    <w:uiPriority w:val="9"/>
    <w:unhideWhenUsed/>
    <w:qFormat/>
    <w:rsid w:val="005141AE"/>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141AE"/>
    <w:rPr>
      <w:rFonts w:ascii="Times New Roman" w:eastAsia="SimSun" w:hAnsi="Times New Roman" w:cs="Times New Roman"/>
      <w:smallCaps/>
      <w:noProof/>
      <w:sz w:val="20"/>
      <w:szCs w:val="20"/>
    </w:rPr>
  </w:style>
  <w:style w:type="character" w:customStyle="1" w:styleId="Heading2Char">
    <w:name w:val="Heading 2 Char"/>
    <w:basedOn w:val="DefaultParagraphFont"/>
    <w:link w:val="Heading2"/>
    <w:rsid w:val="005141AE"/>
    <w:rPr>
      <w:rFonts w:ascii="Times New Roman" w:eastAsia="SimSun" w:hAnsi="Times New Roman" w:cs="Times New Roman"/>
      <w:i/>
      <w:iCs/>
      <w:noProof/>
      <w:sz w:val="20"/>
      <w:szCs w:val="20"/>
    </w:rPr>
  </w:style>
  <w:style w:type="character" w:customStyle="1" w:styleId="Heading3Char">
    <w:name w:val="Heading 3 Char"/>
    <w:basedOn w:val="DefaultParagraphFont"/>
    <w:link w:val="Heading3"/>
    <w:rsid w:val="005141AE"/>
    <w:rPr>
      <w:rFonts w:ascii="Times New Roman" w:eastAsia="SimSun" w:hAnsi="Times New Roman" w:cs="Times New Roman"/>
      <w:i/>
      <w:iCs/>
      <w:noProof/>
      <w:sz w:val="20"/>
      <w:szCs w:val="20"/>
    </w:rPr>
  </w:style>
  <w:style w:type="character" w:customStyle="1" w:styleId="Heading4Char">
    <w:name w:val="Heading 4 Char"/>
    <w:basedOn w:val="DefaultParagraphFont"/>
    <w:link w:val="Heading4"/>
    <w:rsid w:val="005141AE"/>
    <w:rPr>
      <w:rFonts w:ascii="Times New Roman" w:eastAsia="SimSun" w:hAnsi="Times New Roman" w:cs="Times New Roman"/>
      <w:i/>
      <w:iCs/>
      <w:noProof/>
      <w:sz w:val="20"/>
      <w:szCs w:val="20"/>
    </w:rPr>
  </w:style>
  <w:style w:type="character" w:customStyle="1" w:styleId="Heading5Char">
    <w:name w:val="Heading 5 Char"/>
    <w:basedOn w:val="DefaultParagraphFont"/>
    <w:link w:val="Heading5"/>
    <w:uiPriority w:val="9"/>
    <w:rsid w:val="005141AE"/>
    <w:rPr>
      <w:rFonts w:asciiTheme="majorHAnsi" w:eastAsiaTheme="majorEastAsia" w:hAnsiTheme="majorHAnsi" w:cstheme="majorBidi"/>
      <w:color w:val="2F5496" w:themeColor="accent1" w:themeShade="BF"/>
      <w:sz w:val="20"/>
      <w:szCs w:val="20"/>
    </w:rPr>
  </w:style>
  <w:style w:type="character" w:styleId="CommentReference">
    <w:name w:val="annotation reference"/>
    <w:basedOn w:val="DefaultParagraphFont"/>
    <w:uiPriority w:val="99"/>
    <w:unhideWhenUsed/>
    <w:rsid w:val="005141AE"/>
    <w:rPr>
      <w:sz w:val="16"/>
      <w:szCs w:val="16"/>
    </w:rPr>
  </w:style>
  <w:style w:type="paragraph" w:styleId="CommentText">
    <w:name w:val="annotation text"/>
    <w:basedOn w:val="Normal"/>
    <w:link w:val="CommentTextChar"/>
    <w:uiPriority w:val="99"/>
    <w:unhideWhenUsed/>
    <w:rsid w:val="005141AE"/>
    <w:pPr>
      <w:spacing w:after="160"/>
      <w:jc w:val="left"/>
    </w:pPr>
    <w:rPr>
      <w:rFonts w:asciiTheme="minorHAnsi" w:eastAsiaTheme="minorHAnsi" w:hAnsiTheme="minorHAnsi" w:cstheme="minorBidi"/>
    </w:rPr>
  </w:style>
  <w:style w:type="character" w:customStyle="1" w:styleId="CommentTextChar">
    <w:name w:val="Comment Text Char"/>
    <w:basedOn w:val="DefaultParagraphFont"/>
    <w:link w:val="CommentText"/>
    <w:uiPriority w:val="99"/>
    <w:rsid w:val="005141AE"/>
    <w:rPr>
      <w:sz w:val="20"/>
      <w:szCs w:val="20"/>
    </w:rPr>
  </w:style>
  <w:style w:type="table" w:styleId="TableGrid">
    <w:name w:val="Table Grid"/>
    <w:basedOn w:val="TableNormal"/>
    <w:uiPriority w:val="39"/>
    <w:rsid w:val="005141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141A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41AE"/>
    <w:rPr>
      <w:rFonts w:ascii="Segoe UI" w:eastAsia="SimSun" w:hAnsi="Segoe UI" w:cs="Segoe UI"/>
      <w:sz w:val="18"/>
      <w:szCs w:val="18"/>
    </w:rPr>
  </w:style>
  <w:style w:type="character" w:styleId="PlaceholderText">
    <w:name w:val="Placeholder Text"/>
    <w:basedOn w:val="DefaultParagraphFont"/>
    <w:uiPriority w:val="99"/>
    <w:semiHidden/>
    <w:rsid w:val="00631935"/>
    <w:rPr>
      <w:color w:val="808080"/>
    </w:rPr>
  </w:style>
  <w:style w:type="paragraph" w:styleId="Bibliography">
    <w:name w:val="Bibliography"/>
    <w:basedOn w:val="Normal"/>
    <w:next w:val="Normal"/>
    <w:uiPriority w:val="37"/>
    <w:unhideWhenUsed/>
    <w:rsid w:val="002E31CE"/>
    <w:pPr>
      <w:tabs>
        <w:tab w:val="left" w:pos="264"/>
      </w:tabs>
      <w:spacing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7595367">
      <w:bodyDiv w:val="1"/>
      <w:marLeft w:val="0"/>
      <w:marRight w:val="0"/>
      <w:marTop w:val="0"/>
      <w:marBottom w:val="0"/>
      <w:divBdr>
        <w:top w:val="none" w:sz="0" w:space="0" w:color="auto"/>
        <w:left w:val="none" w:sz="0" w:space="0" w:color="auto"/>
        <w:bottom w:val="none" w:sz="0" w:space="0" w:color="auto"/>
        <w:right w:val="none" w:sz="0" w:space="0" w:color="auto"/>
      </w:divBdr>
      <w:divsChild>
        <w:div w:id="513034322">
          <w:marLeft w:val="480"/>
          <w:marRight w:val="0"/>
          <w:marTop w:val="0"/>
          <w:marBottom w:val="0"/>
          <w:divBdr>
            <w:top w:val="none" w:sz="0" w:space="0" w:color="auto"/>
            <w:left w:val="none" w:sz="0" w:space="0" w:color="auto"/>
            <w:bottom w:val="none" w:sz="0" w:space="0" w:color="auto"/>
            <w:right w:val="none" w:sz="0" w:space="0" w:color="auto"/>
          </w:divBdr>
        </w:div>
        <w:div w:id="782572273">
          <w:marLeft w:val="480"/>
          <w:marRight w:val="0"/>
          <w:marTop w:val="0"/>
          <w:marBottom w:val="0"/>
          <w:divBdr>
            <w:top w:val="none" w:sz="0" w:space="0" w:color="auto"/>
            <w:left w:val="none" w:sz="0" w:space="0" w:color="auto"/>
            <w:bottom w:val="none" w:sz="0" w:space="0" w:color="auto"/>
            <w:right w:val="none" w:sz="0" w:space="0" w:color="auto"/>
          </w:divBdr>
        </w:div>
        <w:div w:id="899513280">
          <w:marLeft w:val="480"/>
          <w:marRight w:val="0"/>
          <w:marTop w:val="0"/>
          <w:marBottom w:val="0"/>
          <w:divBdr>
            <w:top w:val="none" w:sz="0" w:space="0" w:color="auto"/>
            <w:left w:val="none" w:sz="0" w:space="0" w:color="auto"/>
            <w:bottom w:val="none" w:sz="0" w:space="0" w:color="auto"/>
            <w:right w:val="none" w:sz="0" w:space="0" w:color="auto"/>
          </w:divBdr>
        </w:div>
        <w:div w:id="1281184777">
          <w:marLeft w:val="480"/>
          <w:marRight w:val="0"/>
          <w:marTop w:val="0"/>
          <w:marBottom w:val="0"/>
          <w:divBdr>
            <w:top w:val="none" w:sz="0" w:space="0" w:color="auto"/>
            <w:left w:val="none" w:sz="0" w:space="0" w:color="auto"/>
            <w:bottom w:val="none" w:sz="0" w:space="0" w:color="auto"/>
            <w:right w:val="none" w:sz="0" w:space="0" w:color="auto"/>
          </w:divBdr>
        </w:div>
        <w:div w:id="2057387557">
          <w:marLeft w:val="480"/>
          <w:marRight w:val="0"/>
          <w:marTop w:val="0"/>
          <w:marBottom w:val="0"/>
          <w:divBdr>
            <w:top w:val="none" w:sz="0" w:space="0" w:color="auto"/>
            <w:left w:val="none" w:sz="0" w:space="0" w:color="auto"/>
            <w:bottom w:val="none" w:sz="0" w:space="0" w:color="auto"/>
            <w:right w:val="none" w:sz="0" w:space="0" w:color="auto"/>
          </w:divBdr>
        </w:div>
      </w:divsChild>
    </w:div>
    <w:div w:id="604046530">
      <w:bodyDiv w:val="1"/>
      <w:marLeft w:val="0"/>
      <w:marRight w:val="0"/>
      <w:marTop w:val="0"/>
      <w:marBottom w:val="0"/>
      <w:divBdr>
        <w:top w:val="none" w:sz="0" w:space="0" w:color="auto"/>
        <w:left w:val="none" w:sz="0" w:space="0" w:color="auto"/>
        <w:bottom w:val="none" w:sz="0" w:space="0" w:color="auto"/>
        <w:right w:val="none" w:sz="0" w:space="0" w:color="auto"/>
      </w:divBdr>
      <w:divsChild>
        <w:div w:id="228661067">
          <w:marLeft w:val="480"/>
          <w:marRight w:val="0"/>
          <w:marTop w:val="0"/>
          <w:marBottom w:val="0"/>
          <w:divBdr>
            <w:top w:val="none" w:sz="0" w:space="0" w:color="auto"/>
            <w:left w:val="none" w:sz="0" w:space="0" w:color="auto"/>
            <w:bottom w:val="none" w:sz="0" w:space="0" w:color="auto"/>
            <w:right w:val="none" w:sz="0" w:space="0" w:color="auto"/>
          </w:divBdr>
        </w:div>
        <w:div w:id="541938902">
          <w:marLeft w:val="480"/>
          <w:marRight w:val="0"/>
          <w:marTop w:val="0"/>
          <w:marBottom w:val="0"/>
          <w:divBdr>
            <w:top w:val="none" w:sz="0" w:space="0" w:color="auto"/>
            <w:left w:val="none" w:sz="0" w:space="0" w:color="auto"/>
            <w:bottom w:val="none" w:sz="0" w:space="0" w:color="auto"/>
            <w:right w:val="none" w:sz="0" w:space="0" w:color="auto"/>
          </w:divBdr>
        </w:div>
        <w:div w:id="1645893724">
          <w:marLeft w:val="480"/>
          <w:marRight w:val="0"/>
          <w:marTop w:val="0"/>
          <w:marBottom w:val="0"/>
          <w:divBdr>
            <w:top w:val="none" w:sz="0" w:space="0" w:color="auto"/>
            <w:left w:val="none" w:sz="0" w:space="0" w:color="auto"/>
            <w:bottom w:val="none" w:sz="0" w:space="0" w:color="auto"/>
            <w:right w:val="none" w:sz="0" w:space="0" w:color="auto"/>
          </w:divBdr>
        </w:div>
        <w:div w:id="1782334052">
          <w:marLeft w:val="480"/>
          <w:marRight w:val="0"/>
          <w:marTop w:val="0"/>
          <w:marBottom w:val="0"/>
          <w:divBdr>
            <w:top w:val="none" w:sz="0" w:space="0" w:color="auto"/>
            <w:left w:val="none" w:sz="0" w:space="0" w:color="auto"/>
            <w:bottom w:val="none" w:sz="0" w:space="0" w:color="auto"/>
            <w:right w:val="none" w:sz="0" w:space="0" w:color="auto"/>
          </w:divBdr>
        </w:div>
        <w:div w:id="2141146590">
          <w:marLeft w:val="480"/>
          <w:marRight w:val="0"/>
          <w:marTop w:val="0"/>
          <w:marBottom w:val="0"/>
          <w:divBdr>
            <w:top w:val="none" w:sz="0" w:space="0" w:color="auto"/>
            <w:left w:val="none" w:sz="0" w:space="0" w:color="auto"/>
            <w:bottom w:val="none" w:sz="0" w:space="0" w:color="auto"/>
            <w:right w:val="none" w:sz="0" w:space="0" w:color="auto"/>
          </w:divBdr>
        </w:div>
      </w:divsChild>
    </w:div>
    <w:div w:id="680813481">
      <w:bodyDiv w:val="1"/>
      <w:marLeft w:val="0"/>
      <w:marRight w:val="0"/>
      <w:marTop w:val="0"/>
      <w:marBottom w:val="0"/>
      <w:divBdr>
        <w:top w:val="none" w:sz="0" w:space="0" w:color="auto"/>
        <w:left w:val="none" w:sz="0" w:space="0" w:color="auto"/>
        <w:bottom w:val="none" w:sz="0" w:space="0" w:color="auto"/>
        <w:right w:val="none" w:sz="0" w:space="0" w:color="auto"/>
      </w:divBdr>
      <w:divsChild>
        <w:div w:id="21516249">
          <w:marLeft w:val="480"/>
          <w:marRight w:val="0"/>
          <w:marTop w:val="0"/>
          <w:marBottom w:val="0"/>
          <w:divBdr>
            <w:top w:val="none" w:sz="0" w:space="0" w:color="auto"/>
            <w:left w:val="none" w:sz="0" w:space="0" w:color="auto"/>
            <w:bottom w:val="none" w:sz="0" w:space="0" w:color="auto"/>
            <w:right w:val="none" w:sz="0" w:space="0" w:color="auto"/>
          </w:divBdr>
        </w:div>
        <w:div w:id="137959092">
          <w:marLeft w:val="480"/>
          <w:marRight w:val="0"/>
          <w:marTop w:val="0"/>
          <w:marBottom w:val="0"/>
          <w:divBdr>
            <w:top w:val="none" w:sz="0" w:space="0" w:color="auto"/>
            <w:left w:val="none" w:sz="0" w:space="0" w:color="auto"/>
            <w:bottom w:val="none" w:sz="0" w:space="0" w:color="auto"/>
            <w:right w:val="none" w:sz="0" w:space="0" w:color="auto"/>
          </w:divBdr>
        </w:div>
        <w:div w:id="540214904">
          <w:marLeft w:val="480"/>
          <w:marRight w:val="0"/>
          <w:marTop w:val="0"/>
          <w:marBottom w:val="0"/>
          <w:divBdr>
            <w:top w:val="none" w:sz="0" w:space="0" w:color="auto"/>
            <w:left w:val="none" w:sz="0" w:space="0" w:color="auto"/>
            <w:bottom w:val="none" w:sz="0" w:space="0" w:color="auto"/>
            <w:right w:val="none" w:sz="0" w:space="0" w:color="auto"/>
          </w:divBdr>
        </w:div>
        <w:div w:id="1661806999">
          <w:marLeft w:val="480"/>
          <w:marRight w:val="0"/>
          <w:marTop w:val="0"/>
          <w:marBottom w:val="0"/>
          <w:divBdr>
            <w:top w:val="none" w:sz="0" w:space="0" w:color="auto"/>
            <w:left w:val="none" w:sz="0" w:space="0" w:color="auto"/>
            <w:bottom w:val="none" w:sz="0" w:space="0" w:color="auto"/>
            <w:right w:val="none" w:sz="0" w:space="0" w:color="auto"/>
          </w:divBdr>
        </w:div>
        <w:div w:id="1862892730">
          <w:marLeft w:val="480"/>
          <w:marRight w:val="0"/>
          <w:marTop w:val="0"/>
          <w:marBottom w:val="0"/>
          <w:divBdr>
            <w:top w:val="none" w:sz="0" w:space="0" w:color="auto"/>
            <w:left w:val="none" w:sz="0" w:space="0" w:color="auto"/>
            <w:bottom w:val="none" w:sz="0" w:space="0" w:color="auto"/>
            <w:right w:val="none" w:sz="0" w:space="0" w:color="auto"/>
          </w:divBdr>
        </w:div>
      </w:divsChild>
    </w:div>
    <w:div w:id="1089305550">
      <w:bodyDiv w:val="1"/>
      <w:marLeft w:val="0"/>
      <w:marRight w:val="0"/>
      <w:marTop w:val="0"/>
      <w:marBottom w:val="0"/>
      <w:divBdr>
        <w:top w:val="none" w:sz="0" w:space="0" w:color="auto"/>
        <w:left w:val="none" w:sz="0" w:space="0" w:color="auto"/>
        <w:bottom w:val="none" w:sz="0" w:space="0" w:color="auto"/>
        <w:right w:val="none" w:sz="0" w:space="0" w:color="auto"/>
      </w:divBdr>
      <w:divsChild>
        <w:div w:id="7149283">
          <w:marLeft w:val="480"/>
          <w:marRight w:val="0"/>
          <w:marTop w:val="0"/>
          <w:marBottom w:val="0"/>
          <w:divBdr>
            <w:top w:val="none" w:sz="0" w:space="0" w:color="auto"/>
            <w:left w:val="none" w:sz="0" w:space="0" w:color="auto"/>
            <w:bottom w:val="none" w:sz="0" w:space="0" w:color="auto"/>
            <w:right w:val="none" w:sz="0" w:space="0" w:color="auto"/>
          </w:divBdr>
        </w:div>
        <w:div w:id="205796858">
          <w:marLeft w:val="480"/>
          <w:marRight w:val="0"/>
          <w:marTop w:val="0"/>
          <w:marBottom w:val="0"/>
          <w:divBdr>
            <w:top w:val="none" w:sz="0" w:space="0" w:color="auto"/>
            <w:left w:val="none" w:sz="0" w:space="0" w:color="auto"/>
            <w:bottom w:val="none" w:sz="0" w:space="0" w:color="auto"/>
            <w:right w:val="none" w:sz="0" w:space="0" w:color="auto"/>
          </w:divBdr>
        </w:div>
        <w:div w:id="530610097">
          <w:marLeft w:val="480"/>
          <w:marRight w:val="0"/>
          <w:marTop w:val="0"/>
          <w:marBottom w:val="0"/>
          <w:divBdr>
            <w:top w:val="none" w:sz="0" w:space="0" w:color="auto"/>
            <w:left w:val="none" w:sz="0" w:space="0" w:color="auto"/>
            <w:bottom w:val="none" w:sz="0" w:space="0" w:color="auto"/>
            <w:right w:val="none" w:sz="0" w:space="0" w:color="auto"/>
          </w:divBdr>
        </w:div>
        <w:div w:id="1640112252">
          <w:marLeft w:val="480"/>
          <w:marRight w:val="0"/>
          <w:marTop w:val="0"/>
          <w:marBottom w:val="0"/>
          <w:divBdr>
            <w:top w:val="none" w:sz="0" w:space="0" w:color="auto"/>
            <w:left w:val="none" w:sz="0" w:space="0" w:color="auto"/>
            <w:bottom w:val="none" w:sz="0" w:space="0" w:color="auto"/>
            <w:right w:val="none" w:sz="0" w:space="0" w:color="auto"/>
          </w:divBdr>
        </w:div>
        <w:div w:id="2129161320">
          <w:marLeft w:val="480"/>
          <w:marRight w:val="0"/>
          <w:marTop w:val="0"/>
          <w:marBottom w:val="0"/>
          <w:divBdr>
            <w:top w:val="none" w:sz="0" w:space="0" w:color="auto"/>
            <w:left w:val="none" w:sz="0" w:space="0" w:color="auto"/>
            <w:bottom w:val="none" w:sz="0" w:space="0" w:color="auto"/>
            <w:right w:val="none" w:sz="0" w:space="0" w:color="auto"/>
          </w:divBdr>
        </w:div>
      </w:divsChild>
    </w:div>
    <w:div w:id="1151142393">
      <w:bodyDiv w:val="1"/>
      <w:marLeft w:val="0"/>
      <w:marRight w:val="0"/>
      <w:marTop w:val="0"/>
      <w:marBottom w:val="0"/>
      <w:divBdr>
        <w:top w:val="none" w:sz="0" w:space="0" w:color="auto"/>
        <w:left w:val="none" w:sz="0" w:space="0" w:color="auto"/>
        <w:bottom w:val="none" w:sz="0" w:space="0" w:color="auto"/>
        <w:right w:val="none" w:sz="0" w:space="0" w:color="auto"/>
      </w:divBdr>
      <w:divsChild>
        <w:div w:id="624694557">
          <w:marLeft w:val="480"/>
          <w:marRight w:val="0"/>
          <w:marTop w:val="0"/>
          <w:marBottom w:val="0"/>
          <w:divBdr>
            <w:top w:val="none" w:sz="0" w:space="0" w:color="auto"/>
            <w:left w:val="none" w:sz="0" w:space="0" w:color="auto"/>
            <w:bottom w:val="none" w:sz="0" w:space="0" w:color="auto"/>
            <w:right w:val="none" w:sz="0" w:space="0" w:color="auto"/>
          </w:divBdr>
        </w:div>
        <w:div w:id="1251230609">
          <w:marLeft w:val="480"/>
          <w:marRight w:val="0"/>
          <w:marTop w:val="0"/>
          <w:marBottom w:val="0"/>
          <w:divBdr>
            <w:top w:val="none" w:sz="0" w:space="0" w:color="auto"/>
            <w:left w:val="none" w:sz="0" w:space="0" w:color="auto"/>
            <w:bottom w:val="none" w:sz="0" w:space="0" w:color="auto"/>
            <w:right w:val="none" w:sz="0" w:space="0" w:color="auto"/>
          </w:divBdr>
        </w:div>
        <w:div w:id="1625303472">
          <w:marLeft w:val="480"/>
          <w:marRight w:val="0"/>
          <w:marTop w:val="0"/>
          <w:marBottom w:val="0"/>
          <w:divBdr>
            <w:top w:val="none" w:sz="0" w:space="0" w:color="auto"/>
            <w:left w:val="none" w:sz="0" w:space="0" w:color="auto"/>
            <w:bottom w:val="none" w:sz="0" w:space="0" w:color="auto"/>
            <w:right w:val="none" w:sz="0" w:space="0" w:color="auto"/>
          </w:divBdr>
        </w:div>
        <w:div w:id="2132437218">
          <w:marLeft w:val="480"/>
          <w:marRight w:val="0"/>
          <w:marTop w:val="0"/>
          <w:marBottom w:val="0"/>
          <w:divBdr>
            <w:top w:val="none" w:sz="0" w:space="0" w:color="auto"/>
            <w:left w:val="none" w:sz="0" w:space="0" w:color="auto"/>
            <w:bottom w:val="none" w:sz="0" w:space="0" w:color="auto"/>
            <w:right w:val="none" w:sz="0" w:space="0" w:color="auto"/>
          </w:divBdr>
        </w:div>
      </w:divsChild>
    </w:div>
    <w:div w:id="1302999811">
      <w:bodyDiv w:val="1"/>
      <w:marLeft w:val="0"/>
      <w:marRight w:val="0"/>
      <w:marTop w:val="0"/>
      <w:marBottom w:val="0"/>
      <w:divBdr>
        <w:top w:val="none" w:sz="0" w:space="0" w:color="auto"/>
        <w:left w:val="none" w:sz="0" w:space="0" w:color="auto"/>
        <w:bottom w:val="none" w:sz="0" w:space="0" w:color="auto"/>
        <w:right w:val="none" w:sz="0" w:space="0" w:color="auto"/>
      </w:divBdr>
      <w:divsChild>
        <w:div w:id="354888805">
          <w:marLeft w:val="480"/>
          <w:marRight w:val="0"/>
          <w:marTop w:val="0"/>
          <w:marBottom w:val="0"/>
          <w:divBdr>
            <w:top w:val="none" w:sz="0" w:space="0" w:color="auto"/>
            <w:left w:val="none" w:sz="0" w:space="0" w:color="auto"/>
            <w:bottom w:val="none" w:sz="0" w:space="0" w:color="auto"/>
            <w:right w:val="none" w:sz="0" w:space="0" w:color="auto"/>
          </w:divBdr>
        </w:div>
        <w:div w:id="711152403">
          <w:marLeft w:val="480"/>
          <w:marRight w:val="0"/>
          <w:marTop w:val="0"/>
          <w:marBottom w:val="0"/>
          <w:divBdr>
            <w:top w:val="none" w:sz="0" w:space="0" w:color="auto"/>
            <w:left w:val="none" w:sz="0" w:space="0" w:color="auto"/>
            <w:bottom w:val="none" w:sz="0" w:space="0" w:color="auto"/>
            <w:right w:val="none" w:sz="0" w:space="0" w:color="auto"/>
          </w:divBdr>
        </w:div>
        <w:div w:id="1073701697">
          <w:marLeft w:val="480"/>
          <w:marRight w:val="0"/>
          <w:marTop w:val="0"/>
          <w:marBottom w:val="0"/>
          <w:divBdr>
            <w:top w:val="none" w:sz="0" w:space="0" w:color="auto"/>
            <w:left w:val="none" w:sz="0" w:space="0" w:color="auto"/>
            <w:bottom w:val="none" w:sz="0" w:space="0" w:color="auto"/>
            <w:right w:val="none" w:sz="0" w:space="0" w:color="auto"/>
          </w:divBdr>
        </w:div>
        <w:div w:id="1131704477">
          <w:marLeft w:val="480"/>
          <w:marRight w:val="0"/>
          <w:marTop w:val="0"/>
          <w:marBottom w:val="0"/>
          <w:divBdr>
            <w:top w:val="none" w:sz="0" w:space="0" w:color="auto"/>
            <w:left w:val="none" w:sz="0" w:space="0" w:color="auto"/>
            <w:bottom w:val="none" w:sz="0" w:space="0" w:color="auto"/>
            <w:right w:val="none" w:sz="0" w:space="0" w:color="auto"/>
          </w:divBdr>
        </w:div>
        <w:div w:id="1653295547">
          <w:marLeft w:val="480"/>
          <w:marRight w:val="0"/>
          <w:marTop w:val="0"/>
          <w:marBottom w:val="0"/>
          <w:divBdr>
            <w:top w:val="none" w:sz="0" w:space="0" w:color="auto"/>
            <w:left w:val="none" w:sz="0" w:space="0" w:color="auto"/>
            <w:bottom w:val="none" w:sz="0" w:space="0" w:color="auto"/>
            <w:right w:val="none" w:sz="0" w:space="0" w:color="auto"/>
          </w:divBdr>
        </w:div>
      </w:divsChild>
    </w:div>
    <w:div w:id="1432555845">
      <w:bodyDiv w:val="1"/>
      <w:marLeft w:val="0"/>
      <w:marRight w:val="0"/>
      <w:marTop w:val="0"/>
      <w:marBottom w:val="0"/>
      <w:divBdr>
        <w:top w:val="none" w:sz="0" w:space="0" w:color="auto"/>
        <w:left w:val="none" w:sz="0" w:space="0" w:color="auto"/>
        <w:bottom w:val="none" w:sz="0" w:space="0" w:color="auto"/>
        <w:right w:val="none" w:sz="0" w:space="0" w:color="auto"/>
      </w:divBdr>
      <w:divsChild>
        <w:div w:id="333840469">
          <w:marLeft w:val="480"/>
          <w:marRight w:val="0"/>
          <w:marTop w:val="0"/>
          <w:marBottom w:val="0"/>
          <w:divBdr>
            <w:top w:val="none" w:sz="0" w:space="0" w:color="auto"/>
            <w:left w:val="none" w:sz="0" w:space="0" w:color="auto"/>
            <w:bottom w:val="none" w:sz="0" w:space="0" w:color="auto"/>
            <w:right w:val="none" w:sz="0" w:space="0" w:color="auto"/>
          </w:divBdr>
        </w:div>
        <w:div w:id="1447844425">
          <w:marLeft w:val="480"/>
          <w:marRight w:val="0"/>
          <w:marTop w:val="0"/>
          <w:marBottom w:val="0"/>
          <w:divBdr>
            <w:top w:val="none" w:sz="0" w:space="0" w:color="auto"/>
            <w:left w:val="none" w:sz="0" w:space="0" w:color="auto"/>
            <w:bottom w:val="none" w:sz="0" w:space="0" w:color="auto"/>
            <w:right w:val="none" w:sz="0" w:space="0" w:color="auto"/>
          </w:divBdr>
        </w:div>
      </w:divsChild>
    </w:div>
    <w:div w:id="1472136239">
      <w:bodyDiv w:val="1"/>
      <w:marLeft w:val="0"/>
      <w:marRight w:val="0"/>
      <w:marTop w:val="0"/>
      <w:marBottom w:val="0"/>
      <w:divBdr>
        <w:top w:val="none" w:sz="0" w:space="0" w:color="auto"/>
        <w:left w:val="none" w:sz="0" w:space="0" w:color="auto"/>
        <w:bottom w:val="none" w:sz="0" w:space="0" w:color="auto"/>
        <w:right w:val="none" w:sz="0" w:space="0" w:color="auto"/>
      </w:divBdr>
      <w:divsChild>
        <w:div w:id="291403997">
          <w:marLeft w:val="480"/>
          <w:marRight w:val="0"/>
          <w:marTop w:val="0"/>
          <w:marBottom w:val="0"/>
          <w:divBdr>
            <w:top w:val="none" w:sz="0" w:space="0" w:color="auto"/>
            <w:left w:val="none" w:sz="0" w:space="0" w:color="auto"/>
            <w:bottom w:val="none" w:sz="0" w:space="0" w:color="auto"/>
            <w:right w:val="none" w:sz="0" w:space="0" w:color="auto"/>
          </w:divBdr>
        </w:div>
        <w:div w:id="1824854213">
          <w:marLeft w:val="480"/>
          <w:marRight w:val="0"/>
          <w:marTop w:val="0"/>
          <w:marBottom w:val="0"/>
          <w:divBdr>
            <w:top w:val="none" w:sz="0" w:space="0" w:color="auto"/>
            <w:left w:val="none" w:sz="0" w:space="0" w:color="auto"/>
            <w:bottom w:val="none" w:sz="0" w:space="0" w:color="auto"/>
            <w:right w:val="none" w:sz="0" w:space="0" w:color="auto"/>
          </w:divBdr>
        </w:div>
        <w:div w:id="1974142316">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microsoft.com/office/2020/10/relationships/intelligence" Target="intelligence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7">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5EF5501-8121-4822-BCBC-342284BFC8EE}">
  <we:reference id="f78a3046-9e99-4300-aa2b-5814002b01a2" version="1.55.1.0" store="EXCatalog" storeType="EXCatalog"/>
  <we:alternateReferences>
    <we:reference id="WA104382081" version="1.55.1.0" store="en-US" storeType="OMEX"/>
  </we:alternateReferences>
  <we:properties>
    <we:property name="MENDELEY_CITATIONS_STYLE" value="{&quot;id&quot;:&quot;https://www.zotero.org/styles/apa&quot;,&quot;title&quot;:&quot;American Psychological Association 7th edition&quot;,&quot;format&quot;:&quot;author-date&quot;,&quot;defaultLocale&quot;:null,&quot;isLocaleCodeValid&quot;:true}"/>
    <we:property name="MENDELEY_CITATIONS" value="[{&quot;citationID&quot;:&quot;MENDELEY_CITATION_394a3d73-c43b-4872-b983-cbaba03b3c1d&quot;,&quot;properties&quot;:{&quot;noteIndex&quot;:0},&quot;isEdited&quot;:false,&quot;manualOverride&quot;:{&quot;isManuallyOverridden&quot;:true,&quot;citeprocText&quot;:&quot;(Ahmed Obeidi et al., 2021; Wang et al., 2022; Zhao et al., 2023)&quot;,&quot;manualOverrideText&quot;:&quot;&quot;},&quot;citationTag&quot;:&quot;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&quot;,&quot;citationItems&quot;:[{&quot;id&quot;:&quot;2b10a7a0-04e1-3746-81f0-309b2c1dc8ee&quot;,&quot;itemData&quot;:{&quot;type&quot;:&quot;article-journal&quot;,&quot;id&quot;:&quot;2b10a7a0-04e1-3746-81f0-309b2c1dc8ee&quot;,&quot;title&quot;:&quot;Investigation of Causal Relationships between Printing Parameters, Pore Properties and Porosity in Laser Powder Bed Fusion&quot;,&quot;author&quot;:[{&quot;family&quot;:&quot;Zhao&quot;,&quot;given&quot;:&quot;Rong&quot;,&quot;parse-names&quot;:false,&quot;dropping-particle&quot;:&quot;&quot;,&quot;non-dropping-particle&quot;:&quot;&quot;},{&quot;family&quot;:&quot;Shmatok&quot;,&quot;given&quot;:&quot;Andrii&quot;,&quot;parse-names&quot;:false,&quot;dropping-particle&quot;:&quot;&quot;,&quot;non-dropping-particle&quot;:&quot;&quot;},{&quot;family&quot;:&quot;Fischer&quot;,&quot;given&quot;:&quot;Ralf&quot;,&quot;parse-names&quot;:false,&quot;dropping-particle&quot;:&quot;&quot;,&quot;non-dropping-particle&quot;:&quot;&quot;},{&quot;family&quot;:&quot;Prorok&quot;,&quot;given&quot;:&quot;Barton C.&quot;,&quot;parse-names&quot;:false,&quot;dropping-particle&quot;:&quot;&quot;,&quot;non-dropping-particle&quot;:&quot;&quot;}],&quot;container-title&quot;:&quot;Metals&quot;,&quot;container-title-short&quot;:&quot;Metals (Basel)&quot;,&quot;DOI&quot;:&quot;10.3390/met13020330&quot;,&quot;ISSN&quot;:&quot;20754701&quot;,&quot;issued&quot;:{&quot;date-parts&quot;:[[2023]]},&quot;abstract&quot;:&quot;This work reports on employing X-ray computed tomography (XCT) and optical microscopy to investigate the causal relationships between printing parameters, pore properties, and porosity in 316L stainless steel samples additively manufactured by Laser Powder Bed Fusion (LPBF). The porosity is very similar for both investigation methods. XCT provides more accurate results for large lack of fusion pores, while optical results are more accurate for small keyhole pores. These results were employed to develop mathematical models to determine how printing parameters influence pore properties and overall porosity. The developed optical and XCT mathematical models reveal that power is the most significant factor affecting pore properties and overall porosity. Pore number and mean diameter decrease and sphericity increases with increasing power. Overall porosity is negatively correlated with power, indicating that the higher the power, the lower the overall porosity. Attention should also be paid to the quadratic effects of power, velocity and hatch spacing on porosity, revealing an inverse change in porosity after a certain threshold. Power interacts with velocity and hatch spacing, suggesting that changes in power affect the influence of velocity and hatch spacing on porosity, and vice versa. The interaction of velocity and hatch spacing is not significant. Both models successfully predicted optimal printing parameter sets as validated by experimental measurements.&quot;,&quot;issue&quot;:&quot;2&quot;,&quot;volume&quot;:&quot;13&quot;},&quot;isTemporary&quot;:false},{&quot;id&quot;:&quot;8720c24b-2942-300a-a86e-2819e3e80c20&quot;,&quot;itemData&quot;:{&quot;type&quot;:&quot;article-journal&quot;,&quot;id&quot;:&quot;8720c24b-2942-300a-a86e-2819e3e80c20&quot;,&quot;title&quot;:&quot;Comparison of the porosity and mechanical performance of 316L stainless steel manufactured on different laser powder bed fusion metal additive manufacturing machines&quot;,&quot;author&quot;:[{&quot;family&quot;:&quot;Ahmed Obeidi&quot;,&quot;given&quot;:&quot;Muhannad&quot;,&quot;parse-names&quot;:false,&quot;dropping-particle&quot;:&quot;&quot;,&quot;non-dropping-particle&quot;:&quot;&quot;},{&quot;family&quot;:&quot;Uí Mhurchadha&quot;,&quot;given&quot;:&quot;Sinéad M.&quot;,&quot;parse-names&quot;:false,&quot;dropping-particle&quot;:&quot;&quot;,&quot;non-dropping-particle&quot;:&quot;&quot;},{&quot;family&quot;:&quot;Raghavendra&quot;,&quot;given&quot;:&quot;Ramesh&quot;,&quot;parse-names&quot;:false,&quot;dropping-particle&quot;:&quot;&quot;,&quot;non-dropping-particle&quot;:&quot;&quot;},{&quot;family&quot;:&quot;Conway&quot;,&quot;given&quot;:&quot;Alex&quot;,&quot;parse-names&quot;:false,&quot;dropping-particle&quot;:&quot;&quot;,&quot;non-dropping-particle&quot;:&quot;&quot;},{&quot;family&quot;:&quot;Souto&quot;,&quot;given&quot;:&quot;Carlos&quot;,&quot;parse-names&quot;:false,&quot;dropping-particle&quot;:&quot;&quot;,&quot;non-dropping-particle&quot;:&quot;&quot;},{&quot;family&quot;:&quot;Tormey&quot;,&quot;given&quot;:&quot;David&quot;,&quot;parse-names&quot;:false,&quot;dropping-particle&quot;:&quot;&quot;,&quot;non-dropping-particle&quot;:&quot;&quot;},{&quot;family&quot;:&quot;Ahad&quot;,&quot;given&quot;:&quot;Inam Ul&quot;,&quot;parse-names&quot;:false,&quot;dropping-particle&quot;:&quot;&quot;,&quot;non-dropping-particle&quot;:&quot;&quot;},{&quot;family&quot;:&quot;Brabazon&quot;,&quot;given&quot;:&quot;Dermot&quot;,&quot;parse-names&quot;:false,&quot;dropping-particle&quot;:&quot;&quot;,&quot;non-dropping-particle&quot;:&quot;&quot;}],&quot;container-title&quot;:&quot;Journal of Materials Research and Technology&quot;,&quot;DOI&quot;:&quot;10.1016/j.jmrt.2021.06.027&quot;,&quot;ISSN&quot;:&quot;22387854&quot;,&quot;issued&quot;:{&quot;date-parts&quot;:[[2021]]},&quot;page&quot;:&quot;2361-2374&quot;,&quot;abstract&quot;:&quot;Despite the recent progress in additive manufacturing (AM) process and technology, challenges in the repeatability and reproducibility of AM parts still hinders the adoption of this technique in many industries. This is particularly difficult when a part is qualified on a particular part on a certain machine using optimised parameters. If a manufacturer wishes to expand production to multiple machines, the ability to translate these optimised parameters to different machines much be understood. In this study, four different metal L-PBF printers were used to produce 316L tensile testing samples using the same processing parameters and metal powder supplied from a single batch from the same supplier. In addition to the analysis of the correlation between the input parameters and the output measures, this study reports that despite the same set process parameters, there is significant variations were found in the mechanical performance and properties of the AM samples produced on the different L-PBF metal additive manufacturing machines. For the range of the input processing parameters and the resulting input volumetric energy density applied of 21–37 J/mm3, values of (4–42)%, (200–716) MPa, and (52–214) GPa were obtained for the elongation, ultimate tensile strength and elastic modulus on additively manufactured 316L samples respectively.&quot;,&quot;volume&quot;:&quot;13&quot;,&quot;container-title-short&quot;:&quot;&quot;},&quot;isTemporary&quot;:false},{&quot;id&quot;:&quot;8ffb4a26-b698-335c-ac82-bc0a96f51201&quot;,&quot;itemData&quot;:{&quot;type&quot;:&quot;article-journal&quot;,&quot;id&quot;:&quot;8ffb4a26-b698-335c-ac82-bc0a96f51201&quot;,&quot;title&quot;:&quot;A review and a statistical analysis of porosity in metals additively manufactured by laser powder bed fusion&quot;,&quot;author&quot;:[{&quot;family&quot;:&quot;Wang&quot;,&quot;given&quot;:&quot;Dawei&quot;,&quot;parse-names&quot;:false,&quot;dropping-particle&quot;:&quot;&quot;,&quot;non-dropping-particle&quot;:&quot;&quot;},{&quot;family&quot;:&quot;Han&quot;,&quot;given&quot;:&quot;Huili&quot;,&quot;parse-names&quot;:false,&quot;dropping-particle&quot;:&quot;&quot;,&quot;non-dropping-particle&quot;:&quot;&quot;},{&quot;family&quot;:&quot;Sa&quot;,&quot;given&quot;:&quot;Bo&quot;,&quot;parse-names&quot;:false,&quot;dropping-particle&quot;:&quot;&quot;,&quot;non-dropping-particle&quot;:&quot;&quot;},{&quot;family&quot;:&quot;Li&quot;,&quot;given&quot;:&quot;Kelin&quot;,&quot;parse-names&quot;:false,&quot;dropping-particle&quot;:&quot;&quot;,&quot;non-dropping-particle&quot;:&quot;&quot;},{&quot;family&quot;:&quot;Yan&quot;,&quot;given&quot;:&quot;Jujie&quot;,&quot;parse-names&quot;:false,&quot;dropping-particle&quot;:&quot;&quot;,&quot;non-dropping-particle&quot;:&quot;&quot;},{&quot;family&quot;:&quot;Zhang&quot;,&quot;given&quot;:&quot;Jiazhen&quot;,&quot;parse-names&quot;:false,&quot;dropping-particle&quot;:&quot;&quot;,&quot;non-dropping-particle&quot;:&quot;&quot;},{&quot;family&quot;:&quot;Liu&quot;,&quot;given&quot;:&quot;Jianguang&quot;,&quot;parse-names&quot;:false,&quot;dropping-particle&quot;:&quot;&quot;,&quot;non-dropping-particle&quot;:&quot;&quot;},{&quot;family&quot;:&quot;He&quot;,&quot;given&quot;:&quot;Zhengdi&quot;,&quot;parse-names&quot;:false,&quot;dropping-particle&quot;:&quot;&quot;,&quot;non-dropping-particle&quot;:&quot;&quot;},{&quot;family&quot;:&quot;Wang&quot;,&quot;given&quot;:&quot;Ning&quot;,&quot;parse-names&quot;:false,&quot;dropping-particle&quot;:&quot;&quot;,&quot;non-dropping-particle&quot;:&quot;&quot;},{&quot;family&quot;:&quot;Yan&quot;,&quot;given&quot;:&quot;Ming&quot;,&quot;parse-names&quot;:false,&quot;dropping-particle&quot;:&quot;&quot;,&quot;non-dropping-particle&quot;:&quot;&quot;}],&quot;container-title&quot;:&quot;Opto-Electronic Advances&quot;,&quot;DOI&quot;:&quot;10.29026/oea.2022.210058&quot;,&quot;ISSN&quot;:&quot;20964579&quot;,&quot;issued&quot;:{&quot;date-parts&quot;:[[2022]]},&quot;page&quot;:&quot;1-34&quot;,&quot;abstract&quot;:&quot;Additive manufacturing (AM), or 3D printing, is an emerging technology that “adds” materials up and constructs products through a layer-by-layer procedure. Laser powder bed fusion (LPBF) is a powder-bed-based AM technology that can fabricate a large variety of metallic materials with excellent quality and accuracy. However, various defects such as porosity, cracks, and incursions can be generated during the printing process. As the most universal and a near-inevitable defect, porosity plays a substantial role in determining the mechanical performance of as-printed products. This work presents a comprehensive review of literatures that focused on the porosity in LPBF printed metals. The formation mechanisms, evaluation methods, effects on mechanical performance with corresponding models, and controlling methods of porosity have been illustrated and discussed in-depth. Achievements in four representative metals, namely Ti−6Al−4V, 316L, Inconel 718, and AlSi10Mg, have been critically reviewed with a statistical analysis on the correlation between porosity fraction and tensile properties. Ductility has been determined as the most sensitive property to porosity among several key tensile properties. This review also provides potential directions and opportunities to address the current porosity-related challenges.&quot;,&quot;issue&quot;:&quot;10&quot;,&quot;volume&quot;:&quot;5&quot;,&quot;container-title-short&quot;:&quot;&quot;},&quot;isTemporar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7B7798E9-ED99-48A4-BE95-AE35C8717B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5</Pages>
  <Words>3304</Words>
  <Characters>18837</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Griffis, Jacklyn Claire</dc:creator>
  <cp:keywords/>
  <dc:description/>
  <cp:lastModifiedBy>Shahed, Kazi Safowan</cp:lastModifiedBy>
  <cp:revision>59</cp:revision>
  <dcterms:created xsi:type="dcterms:W3CDTF">2024-03-08T13:52:00Z</dcterms:created>
  <dcterms:modified xsi:type="dcterms:W3CDTF">2024-04-21T17:40:00Z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id="uPw08qrb"/&gt;&lt;style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