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15941" w14:textId="77777777" w:rsidR="007770B7" w:rsidRPr="006C7C52" w:rsidRDefault="007770B7" w:rsidP="007770B7">
      <w:pPr>
        <w:pStyle w:val="Papermain"/>
        <w:spacing w:line="360" w:lineRule="auto"/>
        <w:rPr>
          <w:rFonts w:asciiTheme="majorBidi" w:hAnsiTheme="majorBidi" w:cstheme="majorBidi"/>
          <w:szCs w:val="24"/>
        </w:rPr>
      </w:pPr>
      <w:proofErr w:type="spellStart"/>
      <w:r w:rsidRPr="006C7C52">
        <w:rPr>
          <w:rFonts w:asciiTheme="majorBidi" w:hAnsiTheme="majorBidi" w:cstheme="majorBidi"/>
          <w:szCs w:val="24"/>
        </w:rPr>
        <w:t>CrI</w:t>
      </w:r>
      <w:proofErr w:type="spellEnd"/>
      <w:r w:rsidRPr="006C7C52">
        <w:rPr>
          <w:rFonts w:asciiTheme="majorBidi" w:hAnsiTheme="majorBidi" w:cstheme="majorBidi"/>
          <w:szCs w:val="24"/>
        </w:rPr>
        <w:t> = 100 × [(I</w:t>
      </w:r>
      <w:r w:rsidRPr="006C7C52">
        <w:rPr>
          <w:rFonts w:asciiTheme="majorBidi" w:hAnsiTheme="majorBidi" w:cstheme="majorBidi"/>
          <w:szCs w:val="24"/>
          <w:vertAlign w:val="subscript"/>
        </w:rPr>
        <w:t>max</w:t>
      </w:r>
      <w:r w:rsidRPr="006C7C52">
        <w:rPr>
          <w:rFonts w:asciiTheme="majorBidi" w:hAnsiTheme="majorBidi" w:cstheme="majorBidi"/>
          <w:szCs w:val="24"/>
        </w:rPr>
        <w:t> − </w:t>
      </w:r>
      <w:proofErr w:type="spellStart"/>
      <w:r w:rsidRPr="006C7C52">
        <w:rPr>
          <w:rFonts w:asciiTheme="majorBidi" w:hAnsiTheme="majorBidi" w:cstheme="majorBidi"/>
          <w:szCs w:val="24"/>
        </w:rPr>
        <w:t>I</w:t>
      </w:r>
      <w:r w:rsidRPr="006C7C52">
        <w:rPr>
          <w:rFonts w:asciiTheme="majorBidi" w:hAnsiTheme="majorBidi" w:cstheme="majorBidi"/>
          <w:szCs w:val="24"/>
          <w:vertAlign w:val="subscript"/>
        </w:rPr>
        <w:t>min</w:t>
      </w:r>
      <w:proofErr w:type="spellEnd"/>
      <w:r w:rsidRPr="006C7C52">
        <w:rPr>
          <w:rFonts w:asciiTheme="majorBidi" w:hAnsiTheme="majorBidi" w:cstheme="majorBidi"/>
          <w:szCs w:val="24"/>
        </w:rPr>
        <w:t>)/I</w:t>
      </w:r>
      <w:r w:rsidRPr="006C7C52">
        <w:rPr>
          <w:rFonts w:asciiTheme="majorBidi" w:hAnsiTheme="majorBidi" w:cstheme="majorBidi"/>
          <w:szCs w:val="24"/>
          <w:vertAlign w:val="subscript"/>
        </w:rPr>
        <w:t>max</w:t>
      </w:r>
      <w:r w:rsidRPr="006C7C52">
        <w:rPr>
          <w:rFonts w:asciiTheme="majorBidi" w:hAnsiTheme="majorBidi" w:cstheme="majorBidi"/>
          <w:szCs w:val="24"/>
        </w:rPr>
        <w:t>]</w:t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</w:r>
      <w:r w:rsidRPr="006C7C52">
        <w:rPr>
          <w:rFonts w:asciiTheme="majorBidi" w:hAnsiTheme="majorBidi" w:cstheme="majorBidi"/>
          <w:szCs w:val="24"/>
        </w:rPr>
        <w:tab/>
        <w:t>(1)</w:t>
      </w:r>
    </w:p>
    <w:p w14:paraId="62F9F0DF" w14:textId="77777777" w:rsidR="007770B7" w:rsidRPr="006C7C52" w:rsidRDefault="007770B7" w:rsidP="007770B7">
      <w:pPr>
        <w:pStyle w:val="Papermain"/>
        <w:spacing w:line="360" w:lineRule="auto"/>
        <w:rPr>
          <w:rFonts w:asciiTheme="majorBidi" w:hAnsiTheme="majorBidi" w:cstheme="majorBidi"/>
          <w:szCs w:val="24"/>
        </w:rPr>
      </w:pPr>
      <w:r w:rsidRPr="006C7C52">
        <w:rPr>
          <w:rFonts w:asciiTheme="majorBidi" w:hAnsiTheme="majorBidi" w:cstheme="majorBidi"/>
          <w:szCs w:val="24"/>
        </w:rPr>
        <w:t>where I</w:t>
      </w:r>
      <w:r w:rsidRPr="006C7C52">
        <w:rPr>
          <w:rFonts w:asciiTheme="majorBidi" w:hAnsiTheme="majorBidi" w:cstheme="majorBidi"/>
          <w:szCs w:val="24"/>
          <w:vertAlign w:val="subscript"/>
        </w:rPr>
        <w:t>max</w:t>
      </w:r>
      <w:r w:rsidRPr="006C7C52">
        <w:rPr>
          <w:rFonts w:asciiTheme="majorBidi" w:hAnsiTheme="majorBidi" w:cstheme="majorBidi"/>
          <w:szCs w:val="24"/>
        </w:rPr>
        <w:t xml:space="preserve"> is the highest peak intensity of the crystalline fraction and </w:t>
      </w:r>
      <w:proofErr w:type="spellStart"/>
      <w:r w:rsidRPr="006C7C52">
        <w:rPr>
          <w:rFonts w:asciiTheme="majorBidi" w:hAnsiTheme="majorBidi" w:cstheme="majorBidi"/>
          <w:szCs w:val="24"/>
        </w:rPr>
        <w:t>I</w:t>
      </w:r>
      <w:r w:rsidRPr="006C7C52">
        <w:rPr>
          <w:rFonts w:asciiTheme="majorBidi" w:hAnsiTheme="majorBidi" w:cstheme="majorBidi"/>
          <w:szCs w:val="24"/>
          <w:vertAlign w:val="subscript"/>
        </w:rPr>
        <w:t>min</w:t>
      </w:r>
      <w:proofErr w:type="spellEnd"/>
      <w:r w:rsidRPr="006C7C52">
        <w:rPr>
          <w:rFonts w:asciiTheme="majorBidi" w:hAnsiTheme="majorBidi" w:cstheme="majorBidi"/>
          <w:szCs w:val="24"/>
        </w:rPr>
        <w:t xml:space="preserve"> is the lowest intensity peak of the amorphous region.</w:t>
      </w:r>
    </w:p>
    <w:p w14:paraId="5E36BF72" w14:textId="77777777" w:rsidR="00386883" w:rsidRDefault="007770B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B7"/>
    <w:rsid w:val="003107CE"/>
    <w:rsid w:val="00316534"/>
    <w:rsid w:val="00373D83"/>
    <w:rsid w:val="00622525"/>
    <w:rsid w:val="006B2C4D"/>
    <w:rsid w:val="007770B7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13A3F"/>
  <w15:chartTrackingRefBased/>
  <w15:docId w15:val="{EDB1265A-D31A-4C8E-B4E3-032515E4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main">
    <w:name w:val="Paper main"/>
    <w:qFormat/>
    <w:rsid w:val="007770B7"/>
    <w:pPr>
      <w:spacing w:after="0" w:line="480" w:lineRule="auto"/>
      <w:jc w:val="both"/>
    </w:pPr>
    <w:rPr>
      <w:rFonts w:ascii="Times New Roman" w:eastAsia="Calibri" w:hAnsi="Times New Roman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2021-04-23T15:09:00Z</dcterms:created>
  <dcterms:modified xsi:type="dcterms:W3CDTF">2021-04-23T15:09:00Z</dcterms:modified>
</cp:coreProperties>
</file>