
<file path=[Content_Types].xml><?xml version="1.0" encoding="utf-8"?>
<Types xmlns="http://schemas.openxmlformats.org/package/2006/content-types">
  <Default Extension="xml" ContentType="application/xml"/>
  <Default Extension="wmf" ContentType="image/x-wmf"/>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rPr>
          <w:rFonts w:asciiTheme="majorBidi" w:hAnsiTheme="majorBidi" w:cstheme="majorBidi"/>
          <w:b/>
          <w:sz w:val="22"/>
          <w:szCs w:val="22"/>
        </w:rPr>
      </w:pPr>
    </w:p>
    <w:p>
      <w:pPr>
        <w:pStyle w:val="2"/>
        <w:spacing w:line="360" w:lineRule="auto"/>
        <w:jc w:val="center"/>
        <w:rPr>
          <w:rFonts w:hint="eastAsia" w:asciiTheme="majorBidi" w:hAnsiTheme="majorBidi" w:cstheme="majorBidi"/>
          <w:b/>
          <w:sz w:val="22"/>
          <w:szCs w:val="22"/>
          <w:lang w:val="en-US" w:eastAsia="zh-CN"/>
        </w:rPr>
      </w:pPr>
      <w:r>
        <w:rPr>
          <w:rFonts w:hint="eastAsia" w:asciiTheme="majorBidi" w:hAnsiTheme="majorBidi" w:cstheme="majorBidi"/>
          <w:b/>
          <w:sz w:val="22"/>
          <w:szCs w:val="22"/>
          <w:lang w:val="en-US" w:eastAsia="zh-CN"/>
        </w:rPr>
        <w:t>Supplementary Material</w:t>
      </w:r>
    </w:p>
    <w:p>
      <w:pPr>
        <w:pStyle w:val="2"/>
        <w:spacing w:line="360" w:lineRule="auto"/>
        <w:jc w:val="center"/>
        <w:rPr>
          <w:rFonts w:hint="eastAsia" w:asciiTheme="majorBidi" w:hAnsiTheme="majorBidi" w:cstheme="majorBidi"/>
          <w:b/>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default" w:ascii="Times New Roman" w:hAnsi="Times New Roman" w:cs="Times New Roman"/>
          <w:b/>
          <w:bCs/>
          <w:sz w:val="22"/>
          <w:szCs w:val="28"/>
        </w:rPr>
      </w:pPr>
      <w:r>
        <w:rPr>
          <w:rFonts w:hint="default" w:ascii="Times New Roman" w:hAnsi="Times New Roman" w:cs="Times New Roman"/>
          <w:b/>
          <w:bCs/>
          <w:sz w:val="22"/>
          <w:szCs w:val="28"/>
        </w:rPr>
        <w:t>Association between maternal exposure to PM</w:t>
      </w:r>
      <w:r>
        <w:rPr>
          <w:rFonts w:hint="default" w:ascii="Times New Roman" w:hAnsi="Times New Roman" w:cs="Times New Roman"/>
          <w:b/>
          <w:bCs/>
          <w:sz w:val="22"/>
          <w:szCs w:val="28"/>
          <w:vertAlign w:val="subscript"/>
        </w:rPr>
        <w:t>10</w:t>
      </w:r>
      <w:r>
        <w:rPr>
          <w:rFonts w:hint="default" w:ascii="Times New Roman" w:hAnsi="Times New Roman" w:cs="Times New Roman"/>
          <w:b/>
          <w:bCs/>
          <w:sz w:val="22"/>
          <w:szCs w:val="28"/>
        </w:rPr>
        <w:t xml:space="preserve"> and risk of anorectal atresia/stenosis in offspring: A population-based case-control study in Liaoning Province, China</w:t>
      </w: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default" w:ascii="Times New Roman" w:hAnsi="Times New Roman" w:cs="Times New Roman"/>
          <w:b/>
          <w:bCs/>
          <w:sz w:val="22"/>
          <w:szCs w:val="28"/>
        </w:rPr>
      </w:pPr>
    </w:p>
    <w:p>
      <w:pPr>
        <w:pStyle w:val="2"/>
        <w:spacing w:line="360" w:lineRule="auto"/>
        <w:jc w:val="center"/>
        <w:rPr>
          <w:rFonts w:hint="default" w:asciiTheme="majorBidi" w:hAnsiTheme="majorBidi" w:cstheme="majorBidi"/>
          <w:b/>
          <w:sz w:val="22"/>
          <w:szCs w:val="22"/>
          <w:lang w:val="en-US" w:eastAsia="zh-CN"/>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heme="majorBidi" w:hAnsiTheme="majorBidi" w:cstheme="majorBidi"/>
          <w:b/>
          <w:sz w:val="22"/>
          <w:szCs w:val="22"/>
        </w:rPr>
      </w:pPr>
    </w:p>
    <w:p>
      <w:pPr>
        <w:pStyle w:val="2"/>
        <w:spacing w:line="360" w:lineRule="auto"/>
        <w:rPr>
          <w:rFonts w:ascii="Times New Roman" w:hAnsi="Times New Roman" w:cs="Times New Roman"/>
          <w:b/>
          <w:bCs/>
          <w:sz w:val="22"/>
          <w:szCs w:val="22"/>
        </w:rPr>
      </w:pPr>
      <w:r>
        <w:rPr>
          <w:rFonts w:asciiTheme="majorBidi" w:hAnsiTheme="majorBidi" w:cstheme="majorBidi"/>
          <w:b/>
          <w:sz w:val="22"/>
          <w:szCs w:val="22"/>
        </w:rPr>
        <w:t xml:space="preserve">Supplemental Table 1. </w:t>
      </w:r>
      <w:r>
        <w:rPr>
          <w:rFonts w:ascii="Times New Roman" w:hAnsi="Times New Roman" w:cs="Times New Roman"/>
          <w:b/>
          <w:bCs/>
          <w:sz w:val="22"/>
          <w:szCs w:val="22"/>
        </w:rPr>
        <w:t xml:space="preserve">Standardized differences for covariates used to estimate propensity scores across two case-control sets of </w:t>
      </w:r>
      <w:r>
        <w:rPr>
          <w:rFonts w:ascii="Times New Roman" w:hAnsi="Times New Roman" w:cs="Times New Roman"/>
          <w:b/>
          <w:bCs/>
          <w:color w:val="000000" w:themeColor="text1"/>
          <w:sz w:val="22"/>
          <w:szCs w:val="22"/>
          <w14:textFill>
            <w14:solidFill>
              <w14:schemeClr w14:val="tx1"/>
            </w14:solidFill>
          </w14:textFill>
        </w:rPr>
        <w:t>congenital atresia of rectum and anus</w:t>
      </w:r>
      <w:r>
        <w:rPr>
          <w:rFonts w:ascii="Times New Roman" w:hAnsi="Times New Roman" w:cs="Times New Roman"/>
          <w:b/>
          <w:bCs/>
          <w:sz w:val="22"/>
          <w:szCs w:val="22"/>
        </w:rPr>
        <w:t>.</w:t>
      </w:r>
    </w:p>
    <w:tbl>
      <w:tblPr>
        <w:tblStyle w:val="5"/>
        <w:tblW w:w="5000" w:type="pct"/>
        <w:tblInd w:w="0" w:type="dxa"/>
        <w:tblLayout w:type="autofit"/>
        <w:tblCellMar>
          <w:top w:w="0" w:type="dxa"/>
          <w:left w:w="108" w:type="dxa"/>
          <w:bottom w:w="0" w:type="dxa"/>
          <w:right w:w="108" w:type="dxa"/>
        </w:tblCellMar>
      </w:tblPr>
      <w:tblGrid>
        <w:gridCol w:w="3054"/>
        <w:gridCol w:w="2763"/>
        <w:gridCol w:w="2705"/>
      </w:tblGrid>
      <w:tr>
        <w:tblPrEx>
          <w:tblCellMar>
            <w:top w:w="0" w:type="dxa"/>
            <w:left w:w="108" w:type="dxa"/>
            <w:bottom w:w="0" w:type="dxa"/>
            <w:right w:w="108" w:type="dxa"/>
          </w:tblCellMar>
        </w:tblPrEx>
        <w:trPr>
          <w:trHeight w:val="312" w:hRule="atLeast"/>
        </w:trPr>
        <w:tc>
          <w:tcPr>
            <w:tcW w:w="1792" w:type="pct"/>
            <w:vMerge w:val="restart"/>
            <w:tcBorders>
              <w:top w:val="single" w:color="auto" w:sz="8" w:space="0"/>
              <w:left w:val="nil"/>
              <w:right w:val="nil"/>
            </w:tcBorders>
            <w:shd w:val="clear" w:color="auto" w:fill="auto"/>
            <w:noWrap/>
            <w:vAlign w:val="center"/>
          </w:tcPr>
          <w:p>
            <w:pPr>
              <w:spacing w:line="360" w:lineRule="auto"/>
              <w:rPr>
                <w:rFonts w:ascii="Times New Roman" w:hAnsi="Times New Roman" w:eastAsia="Arial Unicode MS" w:cs="Times New Roman"/>
                <w:b/>
                <w:bCs/>
                <w:color w:val="000000"/>
                <w:kern w:val="0"/>
                <w:sz w:val="22"/>
                <w:szCs w:val="22"/>
              </w:rPr>
            </w:pPr>
            <w:r>
              <w:rPr>
                <w:rFonts w:ascii="Times New Roman" w:hAnsi="Times New Roman" w:eastAsia="Arial Unicode MS" w:cs="Times New Roman"/>
                <w:b/>
                <w:bCs/>
                <w:sz w:val="22"/>
                <w:szCs w:val="22"/>
              </w:rPr>
              <w:t>Characteristics</w:t>
            </w:r>
          </w:p>
        </w:tc>
        <w:tc>
          <w:tcPr>
            <w:tcW w:w="3208" w:type="pct"/>
            <w:gridSpan w:val="2"/>
            <w:tcBorders>
              <w:top w:val="single" w:color="auto" w:sz="8" w:space="0"/>
              <w:left w:val="nil"/>
              <w:bottom w:val="single" w:color="auto" w:sz="8" w:space="0"/>
              <w:right w:val="nil"/>
            </w:tcBorders>
            <w:shd w:val="clear" w:color="auto" w:fill="auto"/>
            <w:noWrap/>
            <w:vAlign w:val="center"/>
          </w:tcPr>
          <w:p>
            <w:pPr>
              <w:widowControl/>
              <w:spacing w:line="360" w:lineRule="auto"/>
              <w:jc w:val="center"/>
              <w:rPr>
                <w:rFonts w:ascii="Times New Roman" w:hAnsi="Times New Roman" w:eastAsia="Arial Unicode MS" w:cs="Times New Roman"/>
                <w:b/>
                <w:bCs/>
                <w:color w:val="000000"/>
                <w:kern w:val="0"/>
                <w:sz w:val="22"/>
                <w:szCs w:val="22"/>
              </w:rPr>
            </w:pPr>
            <w:r>
              <w:rPr>
                <w:rFonts w:ascii="Times New Roman" w:hAnsi="Times New Roman" w:eastAsia="Arial Unicode MS" w:cs="Times New Roman"/>
                <w:b/>
                <w:bCs/>
                <w:color w:val="000000"/>
                <w:kern w:val="0"/>
                <w:sz w:val="22"/>
                <w:szCs w:val="22"/>
              </w:rPr>
              <w:t>Standardized Difference (%)</w:t>
            </w:r>
          </w:p>
        </w:tc>
      </w:tr>
      <w:tr>
        <w:tblPrEx>
          <w:tblCellMar>
            <w:top w:w="0" w:type="dxa"/>
            <w:left w:w="108" w:type="dxa"/>
            <w:bottom w:w="0" w:type="dxa"/>
            <w:right w:w="108" w:type="dxa"/>
          </w:tblCellMar>
        </w:tblPrEx>
        <w:trPr>
          <w:trHeight w:val="190" w:hRule="atLeast"/>
        </w:trPr>
        <w:tc>
          <w:tcPr>
            <w:tcW w:w="1792" w:type="pct"/>
            <w:vMerge w:val="continue"/>
            <w:tcBorders>
              <w:left w:val="nil"/>
              <w:bottom w:val="single" w:color="auto" w:sz="8" w:space="0"/>
              <w:right w:val="nil"/>
            </w:tcBorders>
            <w:shd w:val="clear" w:color="auto" w:fill="auto"/>
            <w:noWrap/>
            <w:vAlign w:val="center"/>
          </w:tcPr>
          <w:p>
            <w:pPr>
              <w:widowControl/>
              <w:spacing w:line="360" w:lineRule="auto"/>
              <w:jc w:val="left"/>
              <w:rPr>
                <w:rFonts w:ascii="Times New Roman" w:hAnsi="Times New Roman" w:eastAsia="Arial Unicode MS" w:cs="Times New Roman"/>
                <w:color w:val="000000"/>
                <w:kern w:val="0"/>
                <w:sz w:val="22"/>
                <w:szCs w:val="22"/>
              </w:rPr>
            </w:pPr>
          </w:p>
        </w:tc>
        <w:tc>
          <w:tcPr>
            <w:tcW w:w="1621" w:type="pct"/>
            <w:tcBorders>
              <w:top w:val="single" w:color="auto" w:sz="8" w:space="0"/>
              <w:left w:val="nil"/>
              <w:bottom w:val="single" w:color="auto" w:sz="8" w:space="0"/>
              <w:right w:val="nil"/>
            </w:tcBorders>
            <w:shd w:val="clear" w:color="auto" w:fill="auto"/>
            <w:vAlign w:val="center"/>
          </w:tcPr>
          <w:p>
            <w:pPr>
              <w:widowControl/>
              <w:spacing w:line="360" w:lineRule="auto"/>
              <w:jc w:val="center"/>
              <w:rPr>
                <w:rFonts w:ascii="Times New Roman" w:hAnsi="Times New Roman" w:eastAsia="Arial Unicode MS" w:cs="Times New Roman"/>
                <w:b/>
                <w:bCs/>
                <w:color w:val="000000"/>
                <w:kern w:val="0"/>
                <w:sz w:val="22"/>
                <w:szCs w:val="22"/>
              </w:rPr>
            </w:pPr>
            <w:r>
              <w:rPr>
                <w:rFonts w:ascii="Times New Roman" w:hAnsi="Times New Roman" w:eastAsia="Arial Unicode MS" w:cs="Times New Roman"/>
                <w:b/>
                <w:bCs/>
                <w:color w:val="000000"/>
                <w:kern w:val="0"/>
                <w:sz w:val="22"/>
                <w:szCs w:val="22"/>
              </w:rPr>
              <w:t>Full population (N = 8663)</w:t>
            </w:r>
          </w:p>
        </w:tc>
        <w:tc>
          <w:tcPr>
            <w:tcW w:w="1587" w:type="pct"/>
            <w:tcBorders>
              <w:top w:val="single" w:color="auto" w:sz="8" w:space="0"/>
              <w:left w:val="nil"/>
              <w:bottom w:val="single" w:color="auto" w:sz="8" w:space="0"/>
              <w:right w:val="nil"/>
            </w:tcBorders>
            <w:shd w:val="clear" w:color="auto" w:fill="auto"/>
            <w:vAlign w:val="center"/>
          </w:tcPr>
          <w:p>
            <w:pPr>
              <w:widowControl/>
              <w:spacing w:line="360" w:lineRule="auto"/>
              <w:jc w:val="center"/>
              <w:rPr>
                <w:rFonts w:ascii="Times New Roman" w:hAnsi="Times New Roman" w:eastAsia="Arial Unicode MS" w:cs="Times New Roman"/>
                <w:b/>
                <w:bCs/>
                <w:color w:val="000000"/>
                <w:kern w:val="0"/>
                <w:sz w:val="22"/>
                <w:szCs w:val="22"/>
              </w:rPr>
            </w:pPr>
            <w:r>
              <w:rPr>
                <w:rFonts w:ascii="Times New Roman" w:hAnsi="Times New Roman" w:eastAsia="Arial Unicode MS" w:cs="Times New Roman"/>
                <w:b/>
                <w:bCs/>
                <w:color w:val="000000"/>
                <w:kern w:val="0"/>
                <w:sz w:val="22"/>
                <w:szCs w:val="22"/>
              </w:rPr>
              <w:t>Propensity score-matched subsample (N = 1150)</w:t>
            </w:r>
          </w:p>
        </w:tc>
      </w:tr>
      <w:tr>
        <w:trPr>
          <w:trHeight w:val="312" w:hRule="atLeast"/>
        </w:trPr>
        <w:tc>
          <w:tcPr>
            <w:tcW w:w="1792" w:type="pct"/>
            <w:tcBorders>
              <w:top w:val="single" w:color="auto" w:sz="8" w:space="0"/>
              <w:left w:val="nil"/>
              <w:bottom w:val="nil"/>
              <w:right w:val="nil"/>
            </w:tcBorders>
            <w:shd w:val="clear" w:color="auto" w:fill="auto"/>
            <w:noWrap/>
            <w:vAlign w:val="center"/>
          </w:tcPr>
          <w:p>
            <w:pPr>
              <w:widowControl/>
              <w:spacing w:line="360" w:lineRule="auto"/>
              <w:jc w:val="left"/>
              <w:rPr>
                <w:rFonts w:ascii="Times New Roman" w:hAnsi="Times New Roman" w:eastAsia="Arial Unicode MS" w:cs="Times New Roman"/>
                <w:color w:val="000000"/>
                <w:kern w:val="0"/>
                <w:sz w:val="22"/>
                <w:szCs w:val="22"/>
              </w:rPr>
            </w:pPr>
            <w:r>
              <w:rPr>
                <w:rFonts w:ascii="Times New Roman" w:hAnsi="Times New Roman" w:eastAsia="Arial Unicode MS" w:cs="Times New Roman"/>
                <w:color w:val="000000"/>
                <w:kern w:val="0"/>
                <w:sz w:val="22"/>
                <w:szCs w:val="22"/>
              </w:rPr>
              <w:t>Season of conception</w:t>
            </w:r>
          </w:p>
        </w:tc>
        <w:tc>
          <w:tcPr>
            <w:tcW w:w="1621" w:type="pct"/>
            <w:tcBorders>
              <w:top w:val="single" w:color="auto" w:sz="8" w:space="0"/>
              <w:left w:val="nil"/>
              <w:bottom w:val="nil"/>
              <w:right w:val="nil"/>
            </w:tcBorders>
            <w:shd w:val="clear" w:color="auto" w:fill="auto"/>
            <w:noWrap/>
            <w:vAlign w:val="center"/>
          </w:tcPr>
          <w:p>
            <w:pPr>
              <w:widowControl/>
              <w:spacing w:line="360" w:lineRule="auto"/>
              <w:jc w:val="center"/>
              <w:rPr>
                <w:rFonts w:ascii="Times New Roman" w:hAnsi="Times New Roman" w:eastAsia="Arial Unicode MS" w:cs="Times New Roman"/>
                <w:color w:val="000000"/>
                <w:kern w:val="0"/>
                <w:sz w:val="22"/>
                <w:szCs w:val="22"/>
              </w:rPr>
            </w:pPr>
          </w:p>
        </w:tc>
        <w:tc>
          <w:tcPr>
            <w:tcW w:w="1587" w:type="pct"/>
            <w:tcBorders>
              <w:top w:val="single" w:color="auto" w:sz="8" w:space="0"/>
              <w:left w:val="nil"/>
              <w:bottom w:val="nil"/>
              <w:right w:val="nil"/>
            </w:tcBorders>
            <w:shd w:val="clear" w:color="auto" w:fill="auto"/>
            <w:noWrap/>
            <w:vAlign w:val="center"/>
          </w:tcPr>
          <w:p>
            <w:pPr>
              <w:widowControl/>
              <w:spacing w:line="360" w:lineRule="auto"/>
              <w:jc w:val="center"/>
              <w:rPr>
                <w:rFonts w:ascii="Times New Roman" w:hAnsi="Times New Roman" w:eastAsia="Arial Unicode MS" w:cs="Times New Roman"/>
                <w:color w:val="000000"/>
                <w:kern w:val="0"/>
                <w:sz w:val="22"/>
                <w:szCs w:val="22"/>
              </w:rPr>
            </w:pPr>
          </w:p>
        </w:tc>
      </w:tr>
      <w:tr>
        <w:trPr>
          <w:trHeight w:val="312" w:hRule="atLeast"/>
        </w:trPr>
        <w:tc>
          <w:tcPr>
            <w:tcW w:w="1792" w:type="pct"/>
            <w:tcBorders>
              <w:top w:val="nil"/>
              <w:left w:val="nil"/>
              <w:bottom w:val="nil"/>
              <w:right w:val="nil"/>
            </w:tcBorders>
            <w:shd w:val="clear" w:color="auto" w:fill="auto"/>
            <w:noWrap/>
            <w:vAlign w:val="center"/>
          </w:tcPr>
          <w:p>
            <w:pPr>
              <w:widowControl/>
              <w:spacing w:line="360" w:lineRule="auto"/>
              <w:ind w:firstLine="220" w:firstLineChars="100"/>
              <w:jc w:val="left"/>
              <w:rPr>
                <w:rFonts w:ascii="Times New Roman" w:hAnsi="Times New Roman" w:eastAsia="Arial Unicode MS" w:cs="Times New Roman"/>
                <w:color w:val="000000"/>
                <w:kern w:val="0"/>
                <w:sz w:val="22"/>
                <w:szCs w:val="22"/>
              </w:rPr>
            </w:pPr>
            <w:r>
              <w:rPr>
                <w:rFonts w:ascii="Times New Roman" w:hAnsi="Times New Roman" w:eastAsia="Arial Unicode MS" w:cs="Times New Roman"/>
                <w:color w:val="000000"/>
                <w:kern w:val="0"/>
                <w:sz w:val="22"/>
                <w:szCs w:val="22"/>
              </w:rPr>
              <w:t>Spring</w:t>
            </w:r>
          </w:p>
        </w:tc>
        <w:tc>
          <w:tcPr>
            <w:tcW w:w="1621" w:type="pct"/>
            <w:tcBorders>
              <w:top w:val="nil"/>
              <w:left w:val="nil"/>
              <w:bottom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w:t>
            </w:r>
            <w:r>
              <w:rPr>
                <w:rFonts w:ascii="Times New Roman" w:hAnsi="Times New Roman" w:eastAsia="Arial Unicode MS" w:cs="Times New Roman"/>
                <w:color w:val="000000"/>
                <w:kern w:val="0"/>
                <w:sz w:val="22"/>
                <w:szCs w:val="22"/>
              </w:rPr>
              <w:t>0.03</w:t>
            </w:r>
          </w:p>
        </w:tc>
        <w:tc>
          <w:tcPr>
            <w:tcW w:w="1587" w:type="pct"/>
            <w:tcBorders>
              <w:top w:val="nil"/>
              <w:left w:val="nil"/>
              <w:bottom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w:t>
            </w:r>
            <w:r>
              <w:rPr>
                <w:rFonts w:ascii="Times New Roman" w:hAnsi="Times New Roman" w:eastAsia="Arial Unicode MS" w:cs="Times New Roman"/>
                <w:color w:val="000000"/>
                <w:kern w:val="0"/>
                <w:sz w:val="22"/>
                <w:szCs w:val="22"/>
              </w:rPr>
              <w:t>0.00</w:t>
            </w:r>
          </w:p>
        </w:tc>
      </w:tr>
      <w:tr>
        <w:tblPrEx>
          <w:tblCellMar>
            <w:top w:w="0" w:type="dxa"/>
            <w:left w:w="108" w:type="dxa"/>
            <w:bottom w:w="0" w:type="dxa"/>
            <w:right w:w="108" w:type="dxa"/>
          </w:tblCellMar>
        </w:tblPrEx>
        <w:trPr>
          <w:trHeight w:val="312" w:hRule="atLeast"/>
        </w:trPr>
        <w:tc>
          <w:tcPr>
            <w:tcW w:w="1792" w:type="pct"/>
            <w:tcBorders>
              <w:top w:val="nil"/>
              <w:left w:val="nil"/>
              <w:bottom w:val="nil"/>
              <w:right w:val="nil"/>
            </w:tcBorders>
            <w:shd w:val="clear" w:color="auto" w:fill="auto"/>
            <w:noWrap/>
            <w:vAlign w:val="center"/>
          </w:tcPr>
          <w:p>
            <w:pPr>
              <w:widowControl/>
              <w:spacing w:line="360" w:lineRule="auto"/>
              <w:ind w:firstLine="220" w:firstLineChars="100"/>
              <w:jc w:val="left"/>
              <w:rPr>
                <w:rFonts w:ascii="Times New Roman" w:hAnsi="Times New Roman" w:eastAsia="Arial Unicode MS" w:cs="Times New Roman"/>
                <w:color w:val="000000"/>
                <w:kern w:val="0"/>
                <w:sz w:val="22"/>
                <w:szCs w:val="22"/>
              </w:rPr>
            </w:pPr>
            <w:r>
              <w:rPr>
                <w:rFonts w:ascii="Times New Roman" w:hAnsi="Times New Roman" w:eastAsia="Arial Unicode MS" w:cs="Times New Roman"/>
                <w:color w:val="000000"/>
                <w:kern w:val="0"/>
                <w:sz w:val="22"/>
                <w:szCs w:val="22"/>
              </w:rPr>
              <w:t>Summer</w:t>
            </w:r>
          </w:p>
        </w:tc>
        <w:tc>
          <w:tcPr>
            <w:tcW w:w="1621" w:type="pct"/>
            <w:tcBorders>
              <w:top w:val="nil"/>
              <w:left w:val="nil"/>
              <w:bottom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w:t>
            </w:r>
            <w:r>
              <w:rPr>
                <w:rFonts w:ascii="Times New Roman" w:hAnsi="Times New Roman" w:eastAsia="Arial Unicode MS" w:cs="Times New Roman"/>
                <w:color w:val="000000"/>
                <w:kern w:val="0"/>
                <w:sz w:val="22"/>
                <w:szCs w:val="22"/>
              </w:rPr>
              <w:t>0.14</w:t>
            </w:r>
          </w:p>
        </w:tc>
        <w:tc>
          <w:tcPr>
            <w:tcW w:w="1587" w:type="pct"/>
            <w:tcBorders>
              <w:top w:val="nil"/>
              <w:left w:val="nil"/>
              <w:bottom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.09</w:t>
            </w:r>
          </w:p>
        </w:tc>
      </w:tr>
      <w:tr>
        <w:tblPrEx>
          <w:tblCellMar>
            <w:top w:w="0" w:type="dxa"/>
            <w:left w:w="108" w:type="dxa"/>
            <w:bottom w:w="0" w:type="dxa"/>
            <w:right w:w="108" w:type="dxa"/>
          </w:tblCellMar>
        </w:tblPrEx>
        <w:trPr>
          <w:trHeight w:val="312" w:hRule="atLeast"/>
        </w:trPr>
        <w:tc>
          <w:tcPr>
            <w:tcW w:w="1792" w:type="pct"/>
            <w:tcBorders>
              <w:top w:val="nil"/>
              <w:left w:val="nil"/>
              <w:bottom w:val="nil"/>
              <w:right w:val="nil"/>
            </w:tcBorders>
            <w:shd w:val="clear" w:color="auto" w:fill="auto"/>
            <w:noWrap/>
            <w:vAlign w:val="center"/>
          </w:tcPr>
          <w:p>
            <w:pPr>
              <w:widowControl/>
              <w:spacing w:line="360" w:lineRule="auto"/>
              <w:ind w:firstLine="220" w:firstLineChars="100"/>
              <w:jc w:val="left"/>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A</w:t>
            </w:r>
            <w:r>
              <w:rPr>
                <w:rFonts w:ascii="Times New Roman" w:hAnsi="Times New Roman" w:eastAsia="Arial Unicode MS" w:cs="Times New Roman"/>
                <w:color w:val="000000"/>
                <w:kern w:val="0"/>
                <w:sz w:val="22"/>
                <w:szCs w:val="22"/>
              </w:rPr>
              <w:t>utumn</w:t>
            </w:r>
          </w:p>
        </w:tc>
        <w:tc>
          <w:tcPr>
            <w:tcW w:w="1621" w:type="pct"/>
            <w:tcBorders>
              <w:top w:val="nil"/>
              <w:left w:val="nil"/>
              <w:bottom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.18</w:t>
            </w:r>
          </w:p>
        </w:tc>
        <w:tc>
          <w:tcPr>
            <w:tcW w:w="1587" w:type="pct"/>
            <w:tcBorders>
              <w:top w:val="nil"/>
              <w:left w:val="nil"/>
              <w:bottom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w:t>
            </w:r>
            <w:r>
              <w:rPr>
                <w:rFonts w:ascii="Times New Roman" w:hAnsi="Times New Roman" w:eastAsia="Arial Unicode MS" w:cs="Times New Roman"/>
                <w:color w:val="000000"/>
                <w:kern w:val="0"/>
                <w:sz w:val="22"/>
                <w:szCs w:val="22"/>
              </w:rPr>
              <w:t>0.03</w:t>
            </w:r>
          </w:p>
        </w:tc>
      </w:tr>
      <w:tr>
        <w:tblPrEx>
          <w:tblCellMar>
            <w:top w:w="0" w:type="dxa"/>
            <w:left w:w="108" w:type="dxa"/>
            <w:bottom w:w="0" w:type="dxa"/>
            <w:right w:w="108" w:type="dxa"/>
          </w:tblCellMar>
        </w:tblPrEx>
        <w:trPr>
          <w:trHeight w:val="312" w:hRule="atLeast"/>
        </w:trPr>
        <w:tc>
          <w:tcPr>
            <w:tcW w:w="1792" w:type="pct"/>
            <w:tcBorders>
              <w:top w:val="nil"/>
              <w:left w:val="nil"/>
              <w:bottom w:val="nil"/>
              <w:right w:val="nil"/>
            </w:tcBorders>
            <w:shd w:val="clear" w:color="auto" w:fill="auto"/>
            <w:noWrap/>
            <w:vAlign w:val="center"/>
          </w:tcPr>
          <w:p>
            <w:pPr>
              <w:widowControl/>
              <w:spacing w:line="360" w:lineRule="auto"/>
              <w:ind w:firstLine="220" w:firstLineChars="100"/>
              <w:jc w:val="left"/>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W</w:t>
            </w:r>
            <w:r>
              <w:rPr>
                <w:rFonts w:ascii="Times New Roman" w:hAnsi="Times New Roman" w:eastAsia="Arial Unicode MS" w:cs="Times New Roman"/>
                <w:color w:val="000000"/>
                <w:kern w:val="0"/>
                <w:sz w:val="22"/>
                <w:szCs w:val="22"/>
              </w:rPr>
              <w:t>inter</w:t>
            </w:r>
          </w:p>
        </w:tc>
        <w:tc>
          <w:tcPr>
            <w:tcW w:w="1621" w:type="pct"/>
            <w:tcBorders>
              <w:top w:val="nil"/>
              <w:left w:val="nil"/>
              <w:bottom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.01</w:t>
            </w:r>
          </w:p>
        </w:tc>
        <w:tc>
          <w:tcPr>
            <w:tcW w:w="1587" w:type="pct"/>
            <w:tcBorders>
              <w:top w:val="nil"/>
              <w:left w:val="nil"/>
              <w:bottom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w:t>
            </w:r>
            <w:r>
              <w:rPr>
                <w:rFonts w:ascii="Times New Roman" w:hAnsi="Times New Roman" w:eastAsia="Arial Unicode MS" w:cs="Times New Roman"/>
                <w:color w:val="000000"/>
                <w:kern w:val="0"/>
                <w:sz w:val="22"/>
                <w:szCs w:val="22"/>
              </w:rPr>
              <w:t>0.06</w:t>
            </w:r>
          </w:p>
        </w:tc>
      </w:tr>
      <w:tr>
        <w:tblPrEx>
          <w:tblCellMar>
            <w:top w:w="0" w:type="dxa"/>
            <w:left w:w="108" w:type="dxa"/>
            <w:bottom w:w="0" w:type="dxa"/>
            <w:right w:w="108" w:type="dxa"/>
          </w:tblCellMar>
        </w:tblPrEx>
        <w:trPr>
          <w:trHeight w:val="312" w:hRule="atLeast"/>
        </w:trPr>
        <w:tc>
          <w:tcPr>
            <w:tcW w:w="1792" w:type="pct"/>
            <w:tcBorders>
              <w:top w:val="nil"/>
              <w:left w:val="nil"/>
              <w:bottom w:val="nil"/>
              <w:right w:val="nil"/>
            </w:tcBorders>
            <w:shd w:val="clear" w:color="auto" w:fill="auto"/>
            <w:noWrap/>
            <w:vAlign w:val="center"/>
          </w:tcPr>
          <w:p>
            <w:pPr>
              <w:widowControl/>
              <w:spacing w:line="360" w:lineRule="auto"/>
              <w:jc w:val="left"/>
              <w:rPr>
                <w:rFonts w:ascii="Times New Roman" w:hAnsi="Times New Roman" w:eastAsia="Arial Unicode MS" w:cs="Times New Roman"/>
                <w:color w:val="000000"/>
                <w:kern w:val="0"/>
                <w:sz w:val="22"/>
                <w:szCs w:val="22"/>
              </w:rPr>
            </w:pPr>
            <w:r>
              <w:rPr>
                <w:rFonts w:ascii="Times New Roman" w:hAnsi="Times New Roman" w:eastAsia="Arial Unicode MS" w:cs="Times New Roman"/>
                <w:color w:val="000000"/>
                <w:kern w:val="0"/>
                <w:sz w:val="22"/>
                <w:szCs w:val="22"/>
              </w:rPr>
              <w:t>Sex of infant</w:t>
            </w:r>
          </w:p>
        </w:tc>
        <w:tc>
          <w:tcPr>
            <w:tcW w:w="1621" w:type="pct"/>
            <w:tcBorders>
              <w:top w:val="nil"/>
              <w:left w:val="nil"/>
              <w:bottom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p>
        </w:tc>
        <w:tc>
          <w:tcPr>
            <w:tcW w:w="1587" w:type="pct"/>
            <w:tcBorders>
              <w:top w:val="nil"/>
              <w:left w:val="nil"/>
              <w:bottom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p>
        </w:tc>
      </w:tr>
      <w:tr>
        <w:tblPrEx>
          <w:tblCellMar>
            <w:top w:w="0" w:type="dxa"/>
            <w:left w:w="108" w:type="dxa"/>
            <w:bottom w:w="0" w:type="dxa"/>
            <w:right w:w="108" w:type="dxa"/>
          </w:tblCellMar>
        </w:tblPrEx>
        <w:trPr>
          <w:trHeight w:val="312" w:hRule="atLeast"/>
        </w:trPr>
        <w:tc>
          <w:tcPr>
            <w:tcW w:w="1792" w:type="pct"/>
            <w:tcBorders>
              <w:top w:val="nil"/>
              <w:left w:val="nil"/>
              <w:bottom w:val="nil"/>
              <w:right w:val="nil"/>
            </w:tcBorders>
            <w:shd w:val="clear" w:color="auto" w:fill="auto"/>
            <w:noWrap/>
            <w:vAlign w:val="center"/>
          </w:tcPr>
          <w:p>
            <w:pPr>
              <w:widowControl/>
              <w:spacing w:line="360" w:lineRule="auto"/>
              <w:ind w:firstLine="220" w:firstLineChars="100"/>
              <w:jc w:val="left"/>
              <w:rPr>
                <w:rFonts w:ascii="Times New Roman" w:hAnsi="Times New Roman" w:eastAsia="Arial Unicode MS" w:cs="Times New Roman"/>
                <w:color w:val="000000"/>
                <w:kern w:val="0"/>
                <w:sz w:val="22"/>
                <w:szCs w:val="22"/>
              </w:rPr>
            </w:pPr>
            <w:r>
              <w:rPr>
                <w:rFonts w:ascii="Times New Roman" w:hAnsi="Times New Roman" w:eastAsia="Arial Unicode MS" w:cs="Times New Roman"/>
                <w:color w:val="000000"/>
                <w:kern w:val="0"/>
                <w:sz w:val="22"/>
                <w:szCs w:val="22"/>
              </w:rPr>
              <w:t xml:space="preserve">Female </w:t>
            </w:r>
          </w:p>
        </w:tc>
        <w:tc>
          <w:tcPr>
            <w:tcW w:w="1621" w:type="pct"/>
            <w:tcBorders>
              <w:top w:val="nil"/>
              <w:left w:val="nil"/>
              <w:bottom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.34</w:t>
            </w:r>
          </w:p>
        </w:tc>
        <w:tc>
          <w:tcPr>
            <w:tcW w:w="1587" w:type="pct"/>
            <w:tcBorders>
              <w:top w:val="nil"/>
              <w:left w:val="nil"/>
              <w:bottom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.04</w:t>
            </w:r>
          </w:p>
        </w:tc>
      </w:tr>
      <w:tr>
        <w:tblPrEx>
          <w:tblCellMar>
            <w:top w:w="0" w:type="dxa"/>
            <w:left w:w="108" w:type="dxa"/>
            <w:bottom w:w="0" w:type="dxa"/>
            <w:right w:w="108" w:type="dxa"/>
          </w:tblCellMar>
        </w:tblPrEx>
        <w:trPr>
          <w:trHeight w:val="312" w:hRule="atLeast"/>
        </w:trPr>
        <w:tc>
          <w:tcPr>
            <w:tcW w:w="1792" w:type="pct"/>
            <w:tcBorders>
              <w:top w:val="nil"/>
              <w:left w:val="nil"/>
              <w:bottom w:val="nil"/>
              <w:right w:val="nil"/>
            </w:tcBorders>
            <w:shd w:val="clear" w:color="auto" w:fill="auto"/>
            <w:noWrap/>
            <w:vAlign w:val="center"/>
          </w:tcPr>
          <w:p>
            <w:pPr>
              <w:widowControl/>
              <w:spacing w:line="360" w:lineRule="auto"/>
              <w:ind w:firstLine="220" w:firstLineChars="100"/>
              <w:jc w:val="left"/>
              <w:rPr>
                <w:rFonts w:ascii="Times New Roman" w:hAnsi="Times New Roman" w:eastAsia="Arial Unicode MS" w:cs="Times New Roman"/>
                <w:color w:val="000000"/>
                <w:kern w:val="0"/>
                <w:sz w:val="22"/>
                <w:szCs w:val="22"/>
              </w:rPr>
            </w:pPr>
            <w:r>
              <w:rPr>
                <w:rFonts w:ascii="Times New Roman" w:hAnsi="Times New Roman" w:eastAsia="Arial Unicode MS" w:cs="Times New Roman"/>
                <w:color w:val="000000"/>
                <w:kern w:val="0"/>
                <w:sz w:val="22"/>
                <w:szCs w:val="22"/>
              </w:rPr>
              <w:t>Male</w:t>
            </w:r>
          </w:p>
        </w:tc>
        <w:tc>
          <w:tcPr>
            <w:tcW w:w="1621" w:type="pct"/>
            <w:tcBorders>
              <w:top w:val="nil"/>
              <w:left w:val="nil"/>
              <w:bottom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w:t>
            </w:r>
            <w:r>
              <w:rPr>
                <w:rFonts w:ascii="Times New Roman" w:hAnsi="Times New Roman" w:eastAsia="Arial Unicode MS" w:cs="Times New Roman"/>
                <w:color w:val="000000"/>
                <w:kern w:val="0"/>
                <w:sz w:val="22"/>
                <w:szCs w:val="22"/>
              </w:rPr>
              <w:t>0.34</w:t>
            </w:r>
          </w:p>
        </w:tc>
        <w:tc>
          <w:tcPr>
            <w:tcW w:w="1587" w:type="pct"/>
            <w:tcBorders>
              <w:top w:val="nil"/>
              <w:left w:val="nil"/>
              <w:bottom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.04</w:t>
            </w:r>
          </w:p>
        </w:tc>
      </w:tr>
      <w:tr>
        <w:tblPrEx>
          <w:tblCellMar>
            <w:top w:w="0" w:type="dxa"/>
            <w:left w:w="108" w:type="dxa"/>
            <w:bottom w:w="0" w:type="dxa"/>
            <w:right w:w="108" w:type="dxa"/>
          </w:tblCellMar>
        </w:tblPrEx>
        <w:trPr>
          <w:trHeight w:val="87" w:hRule="atLeast"/>
        </w:trPr>
        <w:tc>
          <w:tcPr>
            <w:tcW w:w="5000" w:type="pct"/>
            <w:gridSpan w:val="3"/>
            <w:tcBorders>
              <w:top w:val="nil"/>
              <w:left w:val="nil"/>
              <w:right w:val="nil"/>
            </w:tcBorders>
            <w:shd w:val="clear" w:color="auto" w:fill="auto"/>
            <w:noWrap/>
          </w:tcPr>
          <w:p>
            <w:pPr>
              <w:widowControl/>
              <w:spacing w:line="360" w:lineRule="auto"/>
              <w:jc w:val="left"/>
              <w:rPr>
                <w:rFonts w:ascii="Times New Roman" w:hAnsi="Times New Roman" w:eastAsia="Arial Unicode MS" w:cs="Times New Roman"/>
                <w:color w:val="000000"/>
                <w:kern w:val="0"/>
                <w:sz w:val="22"/>
                <w:szCs w:val="22"/>
              </w:rPr>
            </w:pPr>
            <w:r>
              <w:rPr>
                <w:rFonts w:ascii="Times New Roman" w:hAnsi="Times New Roman" w:cs="Times New Roman"/>
                <w:sz w:val="22"/>
                <w:szCs w:val="22"/>
              </w:rPr>
              <w:t>Maternal age, years</w:t>
            </w:r>
          </w:p>
        </w:tc>
      </w:tr>
      <w:tr>
        <w:tblPrEx>
          <w:tblCellMar>
            <w:top w:w="0" w:type="dxa"/>
            <w:left w:w="108" w:type="dxa"/>
            <w:bottom w:w="0" w:type="dxa"/>
            <w:right w:w="108" w:type="dxa"/>
          </w:tblCellMar>
        </w:tblPrEx>
        <w:trPr>
          <w:trHeight w:val="87" w:hRule="atLeast"/>
        </w:trPr>
        <w:tc>
          <w:tcPr>
            <w:tcW w:w="1792" w:type="pct"/>
            <w:tcBorders>
              <w:top w:val="nil"/>
              <w:left w:val="nil"/>
              <w:right w:val="nil"/>
            </w:tcBorders>
            <w:shd w:val="clear" w:color="auto" w:fill="auto"/>
            <w:noWrap/>
            <w:vAlign w:val="center"/>
          </w:tcPr>
          <w:p>
            <w:pPr>
              <w:widowControl/>
              <w:spacing w:line="360" w:lineRule="auto"/>
              <w:ind w:firstLine="220" w:firstLineChars="100"/>
              <w:jc w:val="left"/>
              <w:rPr>
                <w:rFonts w:ascii="Times New Roman" w:hAnsi="Times New Roman" w:cs="Times New Roman"/>
                <w:sz w:val="22"/>
                <w:szCs w:val="22"/>
              </w:rPr>
            </w:pPr>
            <w:r>
              <w:rPr>
                <w:rFonts w:ascii="Times New Roman" w:hAnsi="Times New Roman" w:cs="Times New Roman"/>
                <w:sz w:val="22"/>
                <w:szCs w:val="22"/>
              </w:rPr>
              <w:t>&lt;20</w:t>
            </w:r>
          </w:p>
        </w:tc>
        <w:tc>
          <w:tcPr>
            <w:tcW w:w="1621" w:type="pct"/>
            <w:tcBorders>
              <w:top w:val="nil"/>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.07</w:t>
            </w:r>
          </w:p>
        </w:tc>
        <w:tc>
          <w:tcPr>
            <w:tcW w:w="1587" w:type="pct"/>
            <w:tcBorders>
              <w:top w:val="nil"/>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w:t>
            </w:r>
            <w:r>
              <w:rPr>
                <w:rFonts w:ascii="Times New Roman" w:hAnsi="Times New Roman" w:eastAsia="Arial Unicode MS" w:cs="Times New Roman"/>
                <w:color w:val="000000"/>
                <w:kern w:val="0"/>
                <w:sz w:val="22"/>
                <w:szCs w:val="22"/>
              </w:rPr>
              <w:t>0.03</w:t>
            </w:r>
          </w:p>
        </w:tc>
      </w:tr>
      <w:tr>
        <w:tblPrEx>
          <w:tblCellMar>
            <w:top w:w="0" w:type="dxa"/>
            <w:left w:w="108" w:type="dxa"/>
            <w:bottom w:w="0" w:type="dxa"/>
            <w:right w:w="108" w:type="dxa"/>
          </w:tblCellMar>
        </w:tblPrEx>
        <w:trPr>
          <w:trHeight w:val="87" w:hRule="atLeast"/>
        </w:trPr>
        <w:tc>
          <w:tcPr>
            <w:tcW w:w="1792" w:type="pct"/>
            <w:tcBorders>
              <w:top w:val="nil"/>
              <w:left w:val="nil"/>
              <w:right w:val="nil"/>
            </w:tcBorders>
            <w:shd w:val="clear" w:color="auto" w:fill="auto"/>
            <w:noWrap/>
            <w:vAlign w:val="center"/>
          </w:tcPr>
          <w:p>
            <w:pPr>
              <w:widowControl/>
              <w:spacing w:line="360" w:lineRule="auto"/>
              <w:ind w:firstLine="220" w:firstLineChars="100"/>
              <w:jc w:val="left"/>
              <w:rPr>
                <w:rFonts w:ascii="Times New Roman" w:hAnsi="Times New Roman" w:cs="Times New Roman"/>
                <w:sz w:val="22"/>
                <w:szCs w:val="22"/>
              </w:rPr>
            </w:pPr>
            <w:r>
              <w:rPr>
                <w:rFonts w:ascii="Times New Roman" w:hAnsi="Times New Roman" w:cs="Times New Roman"/>
                <w:sz w:val="22"/>
                <w:szCs w:val="22"/>
              </w:rPr>
              <w:t>20-34</w:t>
            </w:r>
          </w:p>
        </w:tc>
        <w:tc>
          <w:tcPr>
            <w:tcW w:w="1621" w:type="pct"/>
            <w:tcBorders>
              <w:top w:val="nil"/>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.02</w:t>
            </w:r>
          </w:p>
        </w:tc>
        <w:tc>
          <w:tcPr>
            <w:tcW w:w="1587" w:type="pct"/>
            <w:tcBorders>
              <w:top w:val="nil"/>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.02</w:t>
            </w:r>
          </w:p>
        </w:tc>
      </w:tr>
      <w:tr>
        <w:tblPrEx>
          <w:tblCellMar>
            <w:top w:w="0" w:type="dxa"/>
            <w:left w:w="108" w:type="dxa"/>
            <w:bottom w:w="0" w:type="dxa"/>
            <w:right w:w="108" w:type="dxa"/>
          </w:tblCellMar>
        </w:tblPrEx>
        <w:trPr>
          <w:trHeight w:val="87" w:hRule="atLeast"/>
        </w:trPr>
        <w:tc>
          <w:tcPr>
            <w:tcW w:w="1792" w:type="pct"/>
            <w:tcBorders>
              <w:left w:val="nil"/>
              <w:right w:val="nil"/>
            </w:tcBorders>
            <w:shd w:val="clear" w:color="auto" w:fill="auto"/>
            <w:noWrap/>
            <w:vAlign w:val="center"/>
          </w:tcPr>
          <w:p>
            <w:pPr>
              <w:widowControl/>
              <w:spacing w:line="360" w:lineRule="auto"/>
              <w:ind w:firstLine="220" w:firstLineChars="100"/>
              <w:jc w:val="left"/>
              <w:rPr>
                <w:rFonts w:ascii="Times New Roman" w:hAnsi="Times New Roman" w:cs="Times New Roman"/>
                <w:sz w:val="22"/>
                <w:szCs w:val="22"/>
              </w:rPr>
            </w:pPr>
            <w:r>
              <w:rPr>
                <w:rFonts w:ascii="Times New Roman" w:hAnsi="Times New Roman" w:cs="Times New Roman"/>
                <w:sz w:val="22"/>
                <w:szCs w:val="22"/>
              </w:rPr>
              <w:t>≥35</w:t>
            </w:r>
          </w:p>
        </w:tc>
        <w:tc>
          <w:tcPr>
            <w:tcW w:w="1621" w:type="pct"/>
            <w:tcBorders>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w:t>
            </w:r>
            <w:r>
              <w:rPr>
                <w:rFonts w:ascii="Times New Roman" w:hAnsi="Times New Roman" w:eastAsia="Arial Unicode MS" w:cs="Times New Roman"/>
                <w:color w:val="000000"/>
                <w:kern w:val="0"/>
                <w:sz w:val="22"/>
                <w:szCs w:val="22"/>
              </w:rPr>
              <w:t>0.04</w:t>
            </w:r>
          </w:p>
        </w:tc>
        <w:tc>
          <w:tcPr>
            <w:tcW w:w="1587" w:type="pct"/>
            <w:tcBorders>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w:t>
            </w:r>
            <w:r>
              <w:rPr>
                <w:rFonts w:ascii="Times New Roman" w:hAnsi="Times New Roman" w:eastAsia="Arial Unicode MS" w:cs="Times New Roman"/>
                <w:color w:val="000000"/>
                <w:kern w:val="0"/>
                <w:sz w:val="22"/>
                <w:szCs w:val="22"/>
              </w:rPr>
              <w:t>0.02</w:t>
            </w:r>
          </w:p>
        </w:tc>
      </w:tr>
      <w:tr>
        <w:tblPrEx>
          <w:tblCellMar>
            <w:top w:w="0" w:type="dxa"/>
            <w:left w:w="108" w:type="dxa"/>
            <w:bottom w:w="0" w:type="dxa"/>
            <w:right w:w="108" w:type="dxa"/>
          </w:tblCellMar>
        </w:tblPrEx>
        <w:trPr>
          <w:trHeight w:val="87" w:hRule="atLeast"/>
        </w:trPr>
        <w:tc>
          <w:tcPr>
            <w:tcW w:w="5000" w:type="pct"/>
            <w:gridSpan w:val="3"/>
            <w:tcBorders>
              <w:left w:val="nil"/>
              <w:right w:val="nil"/>
            </w:tcBorders>
            <w:shd w:val="clear" w:color="auto" w:fill="auto"/>
            <w:noWrap/>
            <w:vAlign w:val="center"/>
          </w:tcPr>
          <w:p>
            <w:pPr>
              <w:widowControl/>
              <w:spacing w:line="360" w:lineRule="auto"/>
              <w:jc w:val="left"/>
              <w:rPr>
                <w:rFonts w:ascii="Times New Roman" w:hAnsi="Times New Roman" w:eastAsia="Arial Unicode MS" w:cs="Times New Roman"/>
                <w:color w:val="000000"/>
                <w:kern w:val="0"/>
                <w:sz w:val="22"/>
                <w:szCs w:val="22"/>
              </w:rPr>
            </w:pPr>
            <w:r>
              <w:rPr>
                <w:rFonts w:ascii="Times New Roman" w:hAnsi="Times New Roman" w:cs="Times New Roman"/>
                <w:sz w:val="22"/>
                <w:szCs w:val="22"/>
              </w:rPr>
              <w:t>Parity</w:t>
            </w:r>
          </w:p>
        </w:tc>
      </w:tr>
      <w:tr>
        <w:tblPrEx>
          <w:tblCellMar>
            <w:top w:w="0" w:type="dxa"/>
            <w:left w:w="108" w:type="dxa"/>
            <w:bottom w:w="0" w:type="dxa"/>
            <w:right w:w="108" w:type="dxa"/>
          </w:tblCellMar>
        </w:tblPrEx>
        <w:trPr>
          <w:trHeight w:val="87" w:hRule="atLeast"/>
        </w:trPr>
        <w:tc>
          <w:tcPr>
            <w:tcW w:w="1792" w:type="pct"/>
            <w:tcBorders>
              <w:left w:val="nil"/>
              <w:right w:val="nil"/>
            </w:tcBorders>
            <w:shd w:val="clear" w:color="auto" w:fill="auto"/>
            <w:noWrap/>
          </w:tcPr>
          <w:p>
            <w:pPr>
              <w:widowControl/>
              <w:spacing w:line="360" w:lineRule="auto"/>
              <w:ind w:firstLine="220" w:firstLineChars="100"/>
              <w:jc w:val="left"/>
              <w:rPr>
                <w:rFonts w:ascii="Times New Roman" w:hAnsi="Times New Roman" w:cs="Times New Roman"/>
                <w:sz w:val="22"/>
                <w:szCs w:val="22"/>
              </w:rPr>
            </w:pPr>
            <w:r>
              <w:rPr>
                <w:rFonts w:ascii="Times New Roman" w:hAnsi="Times New Roman" w:cs="Times New Roman"/>
                <w:sz w:val="22"/>
                <w:szCs w:val="22"/>
              </w:rPr>
              <w:t>0</w:t>
            </w:r>
          </w:p>
        </w:tc>
        <w:tc>
          <w:tcPr>
            <w:tcW w:w="1621" w:type="pct"/>
            <w:tcBorders>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w:t>
            </w:r>
            <w:r>
              <w:rPr>
                <w:rFonts w:ascii="Times New Roman" w:hAnsi="Times New Roman" w:eastAsia="Arial Unicode MS" w:cs="Times New Roman"/>
                <w:color w:val="000000"/>
                <w:kern w:val="0"/>
                <w:sz w:val="22"/>
                <w:szCs w:val="22"/>
              </w:rPr>
              <w:t>2.28</w:t>
            </w:r>
          </w:p>
        </w:tc>
        <w:tc>
          <w:tcPr>
            <w:tcW w:w="1587" w:type="pct"/>
            <w:tcBorders>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.00</w:t>
            </w:r>
          </w:p>
        </w:tc>
      </w:tr>
      <w:tr>
        <w:tblPrEx>
          <w:tblCellMar>
            <w:top w:w="0" w:type="dxa"/>
            <w:left w:w="108" w:type="dxa"/>
            <w:bottom w:w="0" w:type="dxa"/>
            <w:right w:w="108" w:type="dxa"/>
          </w:tblCellMar>
        </w:tblPrEx>
        <w:trPr>
          <w:trHeight w:val="87" w:hRule="atLeast"/>
        </w:trPr>
        <w:tc>
          <w:tcPr>
            <w:tcW w:w="1792" w:type="pct"/>
            <w:tcBorders>
              <w:left w:val="nil"/>
              <w:right w:val="nil"/>
            </w:tcBorders>
            <w:shd w:val="clear" w:color="auto" w:fill="auto"/>
            <w:noWrap/>
          </w:tcPr>
          <w:p>
            <w:pPr>
              <w:widowControl/>
              <w:spacing w:line="360" w:lineRule="auto"/>
              <w:ind w:firstLine="220" w:firstLineChars="100"/>
              <w:jc w:val="left"/>
              <w:rPr>
                <w:rFonts w:ascii="Times New Roman" w:hAnsi="Times New Roman" w:cs="Times New Roman"/>
                <w:sz w:val="22"/>
                <w:szCs w:val="22"/>
              </w:rPr>
            </w:pPr>
            <w:r>
              <w:rPr>
                <w:rFonts w:ascii="Times New Roman" w:hAnsi="Times New Roman" w:cs="Times New Roman"/>
                <w:sz w:val="22"/>
                <w:szCs w:val="22"/>
              </w:rPr>
              <w:t>1</w:t>
            </w:r>
          </w:p>
        </w:tc>
        <w:tc>
          <w:tcPr>
            <w:tcW w:w="1621" w:type="pct"/>
            <w:tcBorders>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1</w:t>
            </w:r>
            <w:r>
              <w:rPr>
                <w:rFonts w:ascii="Times New Roman" w:hAnsi="Times New Roman" w:eastAsia="Arial Unicode MS" w:cs="Times New Roman"/>
                <w:color w:val="000000"/>
                <w:kern w:val="0"/>
                <w:sz w:val="22"/>
                <w:szCs w:val="22"/>
              </w:rPr>
              <w:t>.42</w:t>
            </w:r>
          </w:p>
        </w:tc>
        <w:tc>
          <w:tcPr>
            <w:tcW w:w="1587" w:type="pct"/>
            <w:tcBorders>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w:t>
            </w:r>
            <w:r>
              <w:rPr>
                <w:rFonts w:ascii="Times New Roman" w:hAnsi="Times New Roman" w:eastAsia="Arial Unicode MS" w:cs="Times New Roman"/>
                <w:color w:val="000000"/>
                <w:kern w:val="0"/>
                <w:sz w:val="22"/>
                <w:szCs w:val="22"/>
              </w:rPr>
              <w:t>0.08</w:t>
            </w:r>
          </w:p>
        </w:tc>
      </w:tr>
      <w:tr>
        <w:tblPrEx>
          <w:tblCellMar>
            <w:top w:w="0" w:type="dxa"/>
            <w:left w:w="108" w:type="dxa"/>
            <w:bottom w:w="0" w:type="dxa"/>
            <w:right w:w="108" w:type="dxa"/>
          </w:tblCellMar>
        </w:tblPrEx>
        <w:trPr>
          <w:trHeight w:val="87" w:hRule="atLeast"/>
        </w:trPr>
        <w:tc>
          <w:tcPr>
            <w:tcW w:w="1792" w:type="pct"/>
            <w:tcBorders>
              <w:left w:val="nil"/>
              <w:right w:val="nil"/>
            </w:tcBorders>
            <w:shd w:val="clear" w:color="auto" w:fill="auto"/>
            <w:noWrap/>
          </w:tcPr>
          <w:p>
            <w:pPr>
              <w:widowControl/>
              <w:spacing w:line="360" w:lineRule="auto"/>
              <w:ind w:firstLine="220" w:firstLineChars="100"/>
              <w:jc w:val="left"/>
              <w:rPr>
                <w:rFonts w:ascii="Times New Roman" w:hAnsi="Times New Roman" w:cs="Times New Roman"/>
                <w:sz w:val="22"/>
                <w:szCs w:val="22"/>
              </w:rPr>
            </w:pPr>
            <w:r>
              <w:rPr>
                <w:rFonts w:ascii="Times New Roman" w:hAnsi="Times New Roman" w:cs="Times New Roman"/>
                <w:sz w:val="22"/>
                <w:szCs w:val="22"/>
              </w:rPr>
              <w:t>≥2</w:t>
            </w:r>
          </w:p>
        </w:tc>
        <w:tc>
          <w:tcPr>
            <w:tcW w:w="1621" w:type="pct"/>
            <w:tcBorders>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.51</w:t>
            </w:r>
          </w:p>
        </w:tc>
        <w:tc>
          <w:tcPr>
            <w:tcW w:w="1587" w:type="pct"/>
            <w:tcBorders>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.09</w:t>
            </w:r>
          </w:p>
        </w:tc>
      </w:tr>
      <w:tr>
        <w:tblPrEx>
          <w:tblCellMar>
            <w:top w:w="0" w:type="dxa"/>
            <w:left w:w="108" w:type="dxa"/>
            <w:bottom w:w="0" w:type="dxa"/>
            <w:right w:w="108" w:type="dxa"/>
          </w:tblCellMar>
        </w:tblPrEx>
        <w:trPr>
          <w:trHeight w:val="87" w:hRule="atLeast"/>
        </w:trPr>
        <w:tc>
          <w:tcPr>
            <w:tcW w:w="5000" w:type="pct"/>
            <w:gridSpan w:val="3"/>
            <w:tcBorders>
              <w:left w:val="nil"/>
              <w:right w:val="nil"/>
            </w:tcBorders>
            <w:shd w:val="clear" w:color="auto" w:fill="auto"/>
            <w:noWrap/>
          </w:tcPr>
          <w:p>
            <w:pPr>
              <w:widowControl/>
              <w:spacing w:line="360" w:lineRule="auto"/>
              <w:jc w:val="left"/>
              <w:rPr>
                <w:rFonts w:ascii="Times New Roman" w:hAnsi="Times New Roman" w:eastAsia="Arial Unicode MS" w:cs="Times New Roman"/>
                <w:color w:val="000000"/>
                <w:kern w:val="0"/>
                <w:sz w:val="22"/>
                <w:szCs w:val="22"/>
              </w:rPr>
            </w:pPr>
            <w:r>
              <w:rPr>
                <w:rFonts w:ascii="Times New Roman" w:hAnsi="Times New Roman" w:cs="Times New Roman"/>
                <w:sz w:val="22"/>
                <w:szCs w:val="22"/>
              </w:rPr>
              <w:t>Maternal education</w:t>
            </w:r>
          </w:p>
        </w:tc>
      </w:tr>
      <w:tr>
        <w:tblPrEx>
          <w:tblCellMar>
            <w:top w:w="0" w:type="dxa"/>
            <w:left w:w="108" w:type="dxa"/>
            <w:bottom w:w="0" w:type="dxa"/>
            <w:right w:w="108" w:type="dxa"/>
          </w:tblCellMar>
        </w:tblPrEx>
        <w:trPr>
          <w:trHeight w:val="87" w:hRule="atLeast"/>
        </w:trPr>
        <w:tc>
          <w:tcPr>
            <w:tcW w:w="1792" w:type="pct"/>
            <w:tcBorders>
              <w:left w:val="nil"/>
              <w:right w:val="nil"/>
            </w:tcBorders>
            <w:shd w:val="clear" w:color="auto" w:fill="auto"/>
            <w:noWrap/>
          </w:tcPr>
          <w:p>
            <w:pPr>
              <w:widowControl/>
              <w:spacing w:line="360" w:lineRule="auto"/>
              <w:ind w:firstLine="220" w:firstLineChars="100"/>
              <w:jc w:val="left"/>
              <w:rPr>
                <w:rFonts w:ascii="Times New Roman" w:hAnsi="Times New Roman" w:cs="Times New Roman"/>
                <w:sz w:val="22"/>
                <w:szCs w:val="22"/>
              </w:rPr>
            </w:pPr>
            <w:r>
              <w:rPr>
                <w:rFonts w:ascii="Times New Roman" w:hAnsi="Times New Roman" w:cs="Times New Roman"/>
                <w:sz w:val="22"/>
                <w:szCs w:val="22"/>
              </w:rPr>
              <w:t>Elementary school or less</w:t>
            </w:r>
          </w:p>
        </w:tc>
        <w:tc>
          <w:tcPr>
            <w:tcW w:w="1621" w:type="pct"/>
            <w:tcBorders>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.07</w:t>
            </w:r>
          </w:p>
        </w:tc>
        <w:tc>
          <w:tcPr>
            <w:tcW w:w="1587" w:type="pct"/>
            <w:tcBorders>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w:t>
            </w:r>
            <w:r>
              <w:rPr>
                <w:rFonts w:ascii="Times New Roman" w:hAnsi="Times New Roman" w:eastAsia="Arial Unicode MS" w:cs="Times New Roman"/>
                <w:color w:val="000000"/>
                <w:kern w:val="0"/>
                <w:sz w:val="22"/>
                <w:szCs w:val="22"/>
              </w:rPr>
              <w:t>0.10</w:t>
            </w:r>
          </w:p>
        </w:tc>
      </w:tr>
      <w:tr>
        <w:tblPrEx>
          <w:tblCellMar>
            <w:top w:w="0" w:type="dxa"/>
            <w:left w:w="108" w:type="dxa"/>
            <w:bottom w:w="0" w:type="dxa"/>
            <w:right w:w="108" w:type="dxa"/>
          </w:tblCellMar>
        </w:tblPrEx>
        <w:trPr>
          <w:trHeight w:val="87" w:hRule="atLeast"/>
        </w:trPr>
        <w:tc>
          <w:tcPr>
            <w:tcW w:w="1792" w:type="pct"/>
            <w:tcBorders>
              <w:left w:val="nil"/>
              <w:right w:val="nil"/>
            </w:tcBorders>
            <w:shd w:val="clear" w:color="auto" w:fill="auto"/>
            <w:noWrap/>
          </w:tcPr>
          <w:p>
            <w:pPr>
              <w:widowControl/>
              <w:spacing w:line="360" w:lineRule="auto"/>
              <w:ind w:firstLine="220" w:firstLineChars="100"/>
              <w:jc w:val="left"/>
              <w:rPr>
                <w:rFonts w:ascii="Times New Roman" w:hAnsi="Times New Roman" w:cs="Times New Roman"/>
                <w:sz w:val="22"/>
                <w:szCs w:val="22"/>
              </w:rPr>
            </w:pPr>
            <w:r>
              <w:rPr>
                <w:rFonts w:ascii="Times New Roman" w:hAnsi="Times New Roman" w:cs="Times New Roman"/>
                <w:sz w:val="22"/>
                <w:szCs w:val="22"/>
              </w:rPr>
              <w:t>Middle school</w:t>
            </w:r>
          </w:p>
        </w:tc>
        <w:tc>
          <w:tcPr>
            <w:tcW w:w="1621" w:type="pct"/>
            <w:tcBorders>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.09</w:t>
            </w:r>
          </w:p>
        </w:tc>
        <w:tc>
          <w:tcPr>
            <w:tcW w:w="1587" w:type="pct"/>
            <w:tcBorders>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.01</w:t>
            </w:r>
          </w:p>
        </w:tc>
      </w:tr>
      <w:tr>
        <w:tblPrEx>
          <w:tblCellMar>
            <w:top w:w="0" w:type="dxa"/>
            <w:left w:w="108" w:type="dxa"/>
            <w:bottom w:w="0" w:type="dxa"/>
            <w:right w:w="108" w:type="dxa"/>
          </w:tblCellMar>
        </w:tblPrEx>
        <w:trPr>
          <w:trHeight w:val="87" w:hRule="atLeast"/>
        </w:trPr>
        <w:tc>
          <w:tcPr>
            <w:tcW w:w="1792" w:type="pct"/>
            <w:tcBorders>
              <w:left w:val="nil"/>
              <w:right w:val="nil"/>
            </w:tcBorders>
            <w:shd w:val="clear" w:color="auto" w:fill="auto"/>
            <w:noWrap/>
          </w:tcPr>
          <w:p>
            <w:pPr>
              <w:widowControl/>
              <w:spacing w:line="360" w:lineRule="auto"/>
              <w:ind w:firstLine="220" w:firstLineChars="100"/>
              <w:jc w:val="left"/>
              <w:rPr>
                <w:rFonts w:ascii="Times New Roman" w:hAnsi="Times New Roman" w:cs="Times New Roman"/>
                <w:sz w:val="22"/>
                <w:szCs w:val="22"/>
              </w:rPr>
            </w:pPr>
            <w:r>
              <w:rPr>
                <w:rFonts w:ascii="Times New Roman" w:hAnsi="Times New Roman" w:cs="Times New Roman"/>
                <w:sz w:val="22"/>
                <w:szCs w:val="22"/>
              </w:rPr>
              <w:t>High school</w:t>
            </w:r>
          </w:p>
        </w:tc>
        <w:tc>
          <w:tcPr>
            <w:tcW w:w="1621" w:type="pct"/>
            <w:tcBorders>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.22</w:t>
            </w:r>
          </w:p>
        </w:tc>
        <w:tc>
          <w:tcPr>
            <w:tcW w:w="1587" w:type="pct"/>
            <w:tcBorders>
              <w:left w:val="nil"/>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w:t>
            </w:r>
            <w:r>
              <w:rPr>
                <w:rFonts w:ascii="Times New Roman" w:hAnsi="Times New Roman" w:eastAsia="Arial Unicode MS" w:cs="Times New Roman"/>
                <w:color w:val="000000"/>
                <w:kern w:val="0"/>
                <w:sz w:val="22"/>
                <w:szCs w:val="22"/>
              </w:rPr>
              <w:t>0.04</w:t>
            </w:r>
          </w:p>
        </w:tc>
      </w:tr>
      <w:tr>
        <w:tblPrEx>
          <w:tblCellMar>
            <w:top w:w="0" w:type="dxa"/>
            <w:left w:w="108" w:type="dxa"/>
            <w:bottom w:w="0" w:type="dxa"/>
            <w:right w:w="108" w:type="dxa"/>
          </w:tblCellMar>
        </w:tblPrEx>
        <w:trPr>
          <w:trHeight w:val="87" w:hRule="atLeast"/>
        </w:trPr>
        <w:tc>
          <w:tcPr>
            <w:tcW w:w="1792" w:type="pct"/>
            <w:tcBorders>
              <w:left w:val="nil"/>
              <w:bottom w:val="single" w:color="auto" w:sz="4" w:space="0"/>
              <w:right w:val="nil"/>
            </w:tcBorders>
            <w:shd w:val="clear" w:color="auto" w:fill="auto"/>
            <w:noWrap/>
          </w:tcPr>
          <w:p>
            <w:pPr>
              <w:widowControl/>
              <w:spacing w:line="360" w:lineRule="auto"/>
              <w:ind w:firstLine="220" w:firstLineChars="100"/>
              <w:jc w:val="left"/>
              <w:rPr>
                <w:rFonts w:ascii="Times New Roman" w:hAnsi="Times New Roman" w:cs="Times New Roman"/>
                <w:sz w:val="22"/>
                <w:szCs w:val="22"/>
              </w:rPr>
            </w:pPr>
            <w:r>
              <w:rPr>
                <w:rFonts w:ascii="Times New Roman" w:hAnsi="Times New Roman" w:cs="Times New Roman"/>
                <w:sz w:val="22"/>
                <w:szCs w:val="22"/>
              </w:rPr>
              <w:t>College or above</w:t>
            </w:r>
          </w:p>
        </w:tc>
        <w:tc>
          <w:tcPr>
            <w:tcW w:w="1621" w:type="pct"/>
            <w:tcBorders>
              <w:left w:val="nil"/>
              <w:bottom w:val="single" w:color="auto" w:sz="4" w:space="0"/>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w:t>
            </w:r>
            <w:r>
              <w:rPr>
                <w:rFonts w:ascii="Times New Roman" w:hAnsi="Times New Roman" w:eastAsia="Arial Unicode MS" w:cs="Times New Roman"/>
                <w:color w:val="000000"/>
                <w:kern w:val="0"/>
                <w:sz w:val="22"/>
                <w:szCs w:val="22"/>
              </w:rPr>
              <w:t>0.33</w:t>
            </w:r>
          </w:p>
        </w:tc>
        <w:tc>
          <w:tcPr>
            <w:tcW w:w="1587" w:type="pct"/>
            <w:tcBorders>
              <w:left w:val="nil"/>
              <w:bottom w:val="single" w:color="auto" w:sz="4" w:space="0"/>
              <w:right w:val="nil"/>
            </w:tcBorders>
            <w:shd w:val="clear" w:color="auto" w:fill="auto"/>
            <w:noWrap/>
          </w:tcPr>
          <w:p>
            <w:pPr>
              <w:widowControl/>
              <w:spacing w:line="360" w:lineRule="auto"/>
              <w:jc w:val="center"/>
              <w:rPr>
                <w:rFonts w:ascii="Times New Roman" w:hAnsi="Times New Roman" w:eastAsia="Arial Unicode MS" w:cs="Times New Roman"/>
                <w:color w:val="000000"/>
                <w:kern w:val="0"/>
                <w:sz w:val="22"/>
                <w:szCs w:val="22"/>
              </w:rPr>
            </w:pPr>
            <w:r>
              <w:rPr>
                <w:rFonts w:hint="eastAsia" w:ascii="Times New Roman" w:hAnsi="Times New Roman" w:eastAsia="Arial Unicode MS" w:cs="Times New Roman"/>
                <w:color w:val="000000"/>
                <w:kern w:val="0"/>
                <w:sz w:val="22"/>
                <w:szCs w:val="22"/>
              </w:rPr>
              <w:t>0</w:t>
            </w:r>
            <w:r>
              <w:rPr>
                <w:rFonts w:ascii="Times New Roman" w:hAnsi="Times New Roman" w:eastAsia="Arial Unicode MS" w:cs="Times New Roman"/>
                <w:color w:val="000000"/>
                <w:kern w:val="0"/>
                <w:sz w:val="22"/>
                <w:szCs w:val="22"/>
              </w:rPr>
              <w:t>.07</w:t>
            </w:r>
          </w:p>
        </w:tc>
      </w:tr>
    </w:tbl>
    <w:p>
      <w:pPr>
        <w:rPr>
          <w:sz w:val="22"/>
          <w:szCs w:val="22"/>
        </w:rPr>
        <w:sectPr>
          <w:footerReference r:id="rId3" w:type="default"/>
          <w:pgSz w:w="11906" w:h="16838"/>
          <w:pgMar w:top="1440" w:right="1800" w:bottom="1440" w:left="1800" w:header="851" w:footer="992" w:gutter="0"/>
          <w:cols w:space="425" w:num="1"/>
          <w:docGrid w:type="lines" w:linePitch="312" w:charSpace="0"/>
        </w:sectPr>
      </w:pPr>
    </w:p>
    <w:p>
      <w:pPr>
        <w:spacing w:line="396" w:lineRule="auto"/>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Supplemental table 2. Associations of ambient PM10 exposure (μg/m3) with congenital atresia of rectum and anus (N = 1150) in propensity score-matched subsa</w:t>
      </w:r>
      <w:r>
        <w:rPr>
          <w:rFonts w:hint="eastAsia" w:ascii="Times New Roman" w:hAnsi="Times New Roman" w:cs="Times New Roman"/>
          <w:b/>
          <w:bCs/>
          <w:color w:val="000000" w:themeColor="text1"/>
          <w:sz w:val="22"/>
          <w:szCs w:val="22"/>
          <w14:textFill>
            <w14:solidFill>
              <w14:schemeClr w14:val="tx1"/>
            </w14:solidFill>
          </w14:textFill>
        </w:rPr>
        <w:t>m</w:t>
      </w:r>
      <w:r>
        <w:rPr>
          <w:rFonts w:ascii="Times New Roman" w:hAnsi="Times New Roman" w:cs="Times New Roman"/>
          <w:b/>
          <w:bCs/>
          <w:color w:val="000000" w:themeColor="text1"/>
          <w:sz w:val="22"/>
          <w:szCs w:val="22"/>
          <w14:textFill>
            <w14:solidFill>
              <w14:schemeClr w14:val="tx1"/>
            </w14:solidFill>
          </w14:textFill>
        </w:rPr>
        <w:t>ple.</w:t>
      </w:r>
    </w:p>
    <w:tbl>
      <w:tblPr>
        <w:tblStyle w:val="6"/>
        <w:tblW w:w="14742"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27"/>
        <w:gridCol w:w="1559"/>
        <w:gridCol w:w="1984"/>
        <w:gridCol w:w="1701"/>
        <w:gridCol w:w="2127"/>
        <w:gridCol w:w="1559"/>
        <w:gridCol w:w="1984"/>
        <w:gridCol w:w="170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Tertile of</w:t>
            </w:r>
          </w:p>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PM</w:t>
            </w:r>
            <w:r>
              <w:rPr>
                <w:rFonts w:ascii="Times New Roman" w:hAnsi="Times New Roman" w:cs="Times New Roman"/>
                <w:b/>
                <w:bCs/>
                <w:color w:val="000000" w:themeColor="text1"/>
                <w:sz w:val="22"/>
                <w:szCs w:val="22"/>
                <w:vertAlign w:val="subscript"/>
                <w14:textFill>
                  <w14:solidFill>
                    <w14:schemeClr w14:val="tx1"/>
                  </w14:solidFill>
                </w14:textFill>
              </w:rPr>
              <w:t>10</w:t>
            </w:r>
            <w:r>
              <w:rPr>
                <w:rFonts w:ascii="Times New Roman" w:hAnsi="Times New Roman" w:cs="Times New Roman"/>
                <w:b/>
                <w:bCs/>
                <w:color w:val="000000" w:themeColor="text1"/>
                <w:sz w:val="22"/>
                <w:szCs w:val="22"/>
                <w14:textFill>
                  <w14:solidFill>
                    <w14:schemeClr w14:val="tx1"/>
                  </w14:solidFill>
                </w14:textFill>
              </w:rPr>
              <w:t xml:space="preserve"> level</w:t>
            </w:r>
            <w:r>
              <w:rPr>
                <w:rFonts w:ascii="Times New Roman" w:hAnsi="Times New Roman" w:cs="Times New Roman"/>
                <w:b/>
                <w:bCs/>
                <w:color w:val="000000" w:themeColor="text1"/>
                <w:sz w:val="22"/>
                <w:szCs w:val="22"/>
                <w:vertAlign w:val="superscript"/>
                <w14:textFill>
                  <w14:solidFill>
                    <w14:schemeClr w14:val="tx1"/>
                  </w14:solidFill>
                </w14:textFill>
              </w:rPr>
              <w:t>a</w:t>
            </w:r>
          </w:p>
        </w:tc>
        <w:tc>
          <w:tcPr>
            <w:tcW w:w="1559" w:type="dxa"/>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Number of</w:t>
            </w:r>
          </w:p>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cases</w:t>
            </w:r>
          </w:p>
        </w:tc>
        <w:tc>
          <w:tcPr>
            <w:tcW w:w="1984" w:type="dxa"/>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Number of</w:t>
            </w:r>
          </w:p>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controls</w:t>
            </w:r>
          </w:p>
        </w:tc>
        <w:tc>
          <w:tcPr>
            <w:tcW w:w="1701" w:type="dxa"/>
            <w:tcBorders>
              <w:top w:val="single" w:color="auto" w:sz="8" w:space="0"/>
              <w:bottom w:val="single" w:color="auto" w:sz="8" w:space="0"/>
            </w:tcBorders>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OR (95%CI)</w:t>
            </w:r>
            <w:r>
              <w:rPr>
                <w:rFonts w:ascii="Times New Roman" w:hAnsi="Times New Roman" w:cs="Times New Roman"/>
                <w:b/>
                <w:bCs/>
                <w:color w:val="000000" w:themeColor="text1"/>
                <w:sz w:val="22"/>
                <w:szCs w:val="22"/>
                <w:vertAlign w:val="superscript"/>
                <w14:textFill>
                  <w14:solidFill>
                    <w14:schemeClr w14:val="tx1"/>
                  </w14:solidFill>
                </w14:textFill>
              </w:rPr>
              <w:t>b</w:t>
            </w:r>
          </w:p>
        </w:tc>
        <w:tc>
          <w:tcPr>
            <w:tcW w:w="2127" w:type="dxa"/>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Tertile of</w:t>
            </w:r>
          </w:p>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PM</w:t>
            </w:r>
            <w:r>
              <w:rPr>
                <w:rFonts w:ascii="Times New Roman" w:hAnsi="Times New Roman" w:cs="Times New Roman"/>
                <w:b/>
                <w:bCs/>
                <w:color w:val="000000" w:themeColor="text1"/>
                <w:sz w:val="22"/>
                <w:szCs w:val="22"/>
                <w:vertAlign w:val="subscript"/>
                <w14:textFill>
                  <w14:solidFill>
                    <w14:schemeClr w14:val="tx1"/>
                  </w14:solidFill>
                </w14:textFill>
              </w:rPr>
              <w:t>10</w:t>
            </w:r>
            <w:r>
              <w:rPr>
                <w:rFonts w:ascii="Times New Roman" w:hAnsi="Times New Roman" w:cs="Times New Roman"/>
                <w:b/>
                <w:bCs/>
                <w:color w:val="000000" w:themeColor="text1"/>
                <w:sz w:val="22"/>
                <w:szCs w:val="22"/>
                <w14:textFill>
                  <w14:solidFill>
                    <w14:schemeClr w14:val="tx1"/>
                  </w14:solidFill>
                </w14:textFill>
              </w:rPr>
              <w:t xml:space="preserve"> level</w:t>
            </w:r>
            <w:r>
              <w:rPr>
                <w:rFonts w:ascii="Times New Roman" w:hAnsi="Times New Roman" w:cs="Times New Roman"/>
                <w:b/>
                <w:bCs/>
                <w:color w:val="000000" w:themeColor="text1"/>
                <w:sz w:val="22"/>
                <w:szCs w:val="22"/>
                <w:vertAlign w:val="superscript"/>
                <w14:textFill>
                  <w14:solidFill>
                    <w14:schemeClr w14:val="tx1"/>
                  </w14:solidFill>
                </w14:textFill>
              </w:rPr>
              <w:t>a</w:t>
            </w:r>
          </w:p>
        </w:tc>
        <w:tc>
          <w:tcPr>
            <w:tcW w:w="1559" w:type="dxa"/>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Number of</w:t>
            </w:r>
          </w:p>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cases</w:t>
            </w:r>
          </w:p>
        </w:tc>
        <w:tc>
          <w:tcPr>
            <w:tcW w:w="1984" w:type="dxa"/>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Number of</w:t>
            </w:r>
          </w:p>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controls</w:t>
            </w:r>
          </w:p>
        </w:tc>
        <w:tc>
          <w:tcPr>
            <w:tcW w:w="1701" w:type="dxa"/>
            <w:tcBorders>
              <w:top w:val="single" w:color="auto" w:sz="8" w:space="0"/>
              <w:bottom w:val="single" w:color="auto" w:sz="8" w:space="0"/>
            </w:tcBorders>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OR (95%CI)</w:t>
            </w:r>
            <w:r>
              <w:rPr>
                <w:rFonts w:ascii="Times New Roman" w:hAnsi="Times New Roman" w:cs="Times New Roman"/>
                <w:b/>
                <w:bCs/>
                <w:color w:val="000000" w:themeColor="text1"/>
                <w:sz w:val="22"/>
                <w:szCs w:val="22"/>
                <w:vertAlign w:val="superscript"/>
                <w14:textFill>
                  <w14:solidFill>
                    <w14:schemeClr w14:val="tx1"/>
                  </w14:solidFill>
                </w14:textFill>
              </w:rPr>
              <w:t>b</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371" w:type="dxa"/>
            <w:gridSpan w:val="4"/>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Pre-pregnancy</w:t>
            </w:r>
          </w:p>
        </w:tc>
        <w:tc>
          <w:tcPr>
            <w:tcW w:w="7371" w:type="dxa"/>
            <w:gridSpan w:val="4"/>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Prophase of pregnancy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371" w:type="dxa"/>
            <w:gridSpan w:val="4"/>
            <w:tcBorders>
              <w:top w:val="single" w:color="auto" w:sz="8" w:space="0"/>
              <w:bottom w:val="nil"/>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The first month before pregnancy</w:t>
            </w:r>
          </w:p>
        </w:tc>
        <w:tc>
          <w:tcPr>
            <w:tcW w:w="7371" w:type="dxa"/>
            <w:gridSpan w:val="4"/>
            <w:tcBorders>
              <w:top w:val="single" w:color="auto" w:sz="8" w:space="0"/>
              <w:bottom w:val="nil"/>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The first month of pregnancy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Borders>
              <w:top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&lt;7</w:t>
            </w:r>
            <w:r>
              <w:rPr>
                <w:rFonts w:ascii="Times New Roman" w:hAnsi="Times New Roman" w:cs="Times New Roman"/>
                <w:color w:val="000000" w:themeColor="text1"/>
                <w:sz w:val="22"/>
                <w:szCs w:val="22"/>
                <w14:textFill>
                  <w14:solidFill>
                    <w14:schemeClr w14:val="tx1"/>
                  </w14:solidFill>
                </w14:textFill>
              </w:rPr>
              <w:t>4</w:t>
            </w:r>
          </w:p>
        </w:tc>
        <w:tc>
          <w:tcPr>
            <w:tcW w:w="1559" w:type="dxa"/>
            <w:tcBorders>
              <w:top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60</w:t>
            </w:r>
          </w:p>
        </w:tc>
        <w:tc>
          <w:tcPr>
            <w:tcW w:w="1984" w:type="dxa"/>
            <w:tcBorders>
              <w:top w:val="nil"/>
            </w:tcBorders>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22</w:t>
            </w:r>
          </w:p>
        </w:tc>
        <w:tc>
          <w:tcPr>
            <w:tcW w:w="1701" w:type="dxa"/>
            <w:tcBorders>
              <w:top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1.00</w:t>
            </w:r>
          </w:p>
        </w:tc>
        <w:tc>
          <w:tcPr>
            <w:tcW w:w="2127" w:type="dxa"/>
            <w:tcBorders>
              <w:top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&lt;73</w:t>
            </w:r>
          </w:p>
        </w:tc>
        <w:tc>
          <w:tcPr>
            <w:tcW w:w="1559" w:type="dxa"/>
            <w:tcBorders>
              <w:top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42</w:t>
            </w:r>
          </w:p>
        </w:tc>
        <w:tc>
          <w:tcPr>
            <w:tcW w:w="1984" w:type="dxa"/>
            <w:tcBorders>
              <w:top w:val="nil"/>
            </w:tcBorders>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41</w:t>
            </w:r>
          </w:p>
        </w:tc>
        <w:tc>
          <w:tcPr>
            <w:tcW w:w="1701" w:type="dxa"/>
            <w:tcBorders>
              <w:top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7</w:t>
            </w:r>
            <w:r>
              <w:rPr>
                <w:rFonts w:ascii="Times New Roman" w:hAnsi="Times New Roman" w:cs="Times New Roman"/>
                <w:color w:val="000000" w:themeColor="text1"/>
                <w:sz w:val="22"/>
                <w:szCs w:val="22"/>
                <w14:textFill>
                  <w14:solidFill>
                    <w14:schemeClr w14:val="tx1"/>
                  </w14:solidFill>
                </w14:textFill>
              </w:rPr>
              <w:t xml:space="preserve">4 to </w:t>
            </w:r>
            <w:r>
              <w:rPr>
                <w:rFonts w:hint="eastAsia" w:ascii="Times New Roman" w:hAnsi="Times New Roman" w:cs="Times New Roman"/>
                <w:color w:val="000000" w:themeColor="text1"/>
                <w:sz w:val="22"/>
                <w:szCs w:val="22"/>
                <w14:textFill>
                  <w14:solidFill>
                    <w14:schemeClr w14:val="tx1"/>
                  </w14:solidFill>
                </w14:textFill>
              </w:rPr>
              <w:t>&lt;</w:t>
            </w:r>
            <w:r>
              <w:rPr>
                <w:rFonts w:ascii="Times New Roman" w:hAnsi="Times New Roman" w:cs="Times New Roman"/>
                <w:color w:val="000000" w:themeColor="text1"/>
                <w:sz w:val="22"/>
                <w:szCs w:val="22"/>
                <w14:textFill>
                  <w14:solidFill>
                    <w14:schemeClr w14:val="tx1"/>
                  </w14:solidFill>
                </w14:textFill>
              </w:rPr>
              <w:t>98</w:t>
            </w:r>
          </w:p>
        </w:tc>
        <w:tc>
          <w:tcPr>
            <w:tcW w:w="1559"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93</w:t>
            </w: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66</w:t>
            </w: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.76 (1.21-2.57)</w:t>
            </w:r>
          </w:p>
        </w:tc>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73 to &lt;96</w:t>
            </w:r>
          </w:p>
        </w:tc>
        <w:tc>
          <w:tcPr>
            <w:tcW w:w="1559"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12</w:t>
            </w: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66</w:t>
            </w: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.17 (1.47-3.21)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≥98</w:t>
            </w:r>
          </w:p>
        </w:tc>
        <w:tc>
          <w:tcPr>
            <w:tcW w:w="1559"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22</w:t>
            </w: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87</w:t>
            </w: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.74 (1.74-4.30)</w:t>
            </w:r>
          </w:p>
        </w:tc>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≥96</w:t>
            </w:r>
          </w:p>
        </w:tc>
        <w:tc>
          <w:tcPr>
            <w:tcW w:w="1559"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21</w:t>
            </w: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68</w:t>
            </w: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3</w:t>
            </w:r>
            <w:r>
              <w:rPr>
                <w:rFonts w:ascii="Times New Roman" w:hAnsi="Times New Roman" w:cs="Times New Roman"/>
                <w:color w:val="000000" w:themeColor="text1"/>
                <w:sz w:val="22"/>
                <w:szCs w:val="22"/>
                <w14:textFill>
                  <w14:solidFill>
                    <w14:schemeClr w14:val="tx1"/>
                  </w14:solidFill>
                </w14:textFill>
              </w:rPr>
              <w:t>.29 (2.03-5.31)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Per 10 μg/m</w:t>
            </w:r>
            <w:r>
              <w:rPr>
                <w:rFonts w:ascii="Times New Roman" w:hAnsi="Times New Roman" w:cs="Times New Roman"/>
                <w:color w:val="000000" w:themeColor="text1"/>
                <w:sz w:val="22"/>
                <w:szCs w:val="22"/>
                <w:vertAlign w:val="superscript"/>
                <w14:textFill>
                  <w14:solidFill>
                    <w14:schemeClr w14:val="tx1"/>
                  </w14:solidFill>
                </w14:textFill>
              </w:rPr>
              <w:t xml:space="preserve">3 </w:t>
            </w:r>
            <w:r>
              <w:rPr>
                <w:rFonts w:ascii="Times New Roman" w:hAnsi="Times New Roman" w:cs="Times New Roman"/>
                <w:color w:val="000000" w:themeColor="text1"/>
                <w:sz w:val="22"/>
                <w:szCs w:val="22"/>
                <w14:textFill>
                  <w14:solidFill>
                    <w14:schemeClr w14:val="tx1"/>
                  </w14:solidFill>
                </w14:textFill>
              </w:rPr>
              <w:t>increase</w:t>
            </w:r>
          </w:p>
        </w:tc>
        <w:tc>
          <w:tcPr>
            <w:tcW w:w="1559"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.14 (1.06-1.23)</w:t>
            </w:r>
          </w:p>
        </w:tc>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Per 10 μg/m</w:t>
            </w:r>
            <w:r>
              <w:rPr>
                <w:rFonts w:ascii="Times New Roman" w:hAnsi="Times New Roman" w:cs="Times New Roman"/>
                <w:color w:val="000000" w:themeColor="text1"/>
                <w:sz w:val="22"/>
                <w:szCs w:val="22"/>
                <w:vertAlign w:val="superscript"/>
                <w14:textFill>
                  <w14:solidFill>
                    <w14:schemeClr w14:val="tx1"/>
                  </w14:solidFill>
                </w14:textFill>
              </w:rPr>
              <w:t xml:space="preserve">3 </w:t>
            </w:r>
            <w:r>
              <w:rPr>
                <w:rFonts w:ascii="Times New Roman" w:hAnsi="Times New Roman" w:cs="Times New Roman"/>
                <w:color w:val="000000" w:themeColor="text1"/>
                <w:sz w:val="22"/>
                <w:szCs w:val="22"/>
                <w14:textFill>
                  <w14:solidFill>
                    <w14:schemeClr w14:val="tx1"/>
                  </w14:solidFill>
                </w14:textFill>
              </w:rPr>
              <w:t>increase</w:t>
            </w:r>
          </w:p>
        </w:tc>
        <w:tc>
          <w:tcPr>
            <w:tcW w:w="1559"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.15 (1.07-1.24)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371" w:type="dxa"/>
            <w:gridSpan w:val="4"/>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The s</w:t>
            </w:r>
            <w:r>
              <w:rPr>
                <w:rFonts w:hint="eastAsia" w:ascii="Times New Roman" w:hAnsi="Times New Roman" w:cs="Times New Roman"/>
                <w:color w:val="000000" w:themeColor="text1"/>
                <w:sz w:val="22"/>
                <w:szCs w:val="22"/>
                <w14:textFill>
                  <w14:solidFill>
                    <w14:schemeClr w14:val="tx1"/>
                  </w14:solidFill>
                </w14:textFill>
              </w:rPr>
              <w:t>econd</w:t>
            </w:r>
            <w:r>
              <w:rPr>
                <w:rFonts w:ascii="Times New Roman" w:hAnsi="Times New Roman" w:cs="Times New Roman"/>
                <w:color w:val="000000" w:themeColor="text1"/>
                <w:sz w:val="22"/>
                <w:szCs w:val="22"/>
                <w14:textFill>
                  <w14:solidFill>
                    <w14:schemeClr w14:val="tx1"/>
                  </w14:solidFill>
                </w14:textFill>
              </w:rPr>
              <w:t xml:space="preserve"> </w:t>
            </w:r>
            <w:r>
              <w:rPr>
                <w:rFonts w:hint="eastAsia" w:ascii="Times New Roman" w:hAnsi="Times New Roman" w:cs="Times New Roman"/>
                <w:color w:val="000000" w:themeColor="text1"/>
                <w:sz w:val="22"/>
                <w:szCs w:val="22"/>
                <w14:textFill>
                  <w14:solidFill>
                    <w14:schemeClr w14:val="tx1"/>
                  </w14:solidFill>
                </w14:textFill>
              </w:rPr>
              <w:t>month</w:t>
            </w:r>
            <w:r>
              <w:rPr>
                <w:rFonts w:ascii="Times New Roman" w:hAnsi="Times New Roman" w:cs="Times New Roman"/>
                <w:color w:val="000000" w:themeColor="text1"/>
                <w:sz w:val="22"/>
                <w:szCs w:val="22"/>
                <w14:textFill>
                  <w14:solidFill>
                    <w14:schemeClr w14:val="tx1"/>
                  </w14:solidFill>
                </w14:textFill>
              </w:rPr>
              <w:t xml:space="preserve"> before pregnancy</w:t>
            </w:r>
          </w:p>
        </w:tc>
        <w:tc>
          <w:tcPr>
            <w:tcW w:w="7371" w:type="dxa"/>
            <w:gridSpan w:val="4"/>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The s</w:t>
            </w:r>
            <w:r>
              <w:rPr>
                <w:rFonts w:hint="eastAsia" w:ascii="Times New Roman" w:hAnsi="Times New Roman" w:cs="Times New Roman"/>
                <w:color w:val="000000" w:themeColor="text1"/>
                <w:sz w:val="22"/>
                <w:szCs w:val="22"/>
                <w14:textFill>
                  <w14:solidFill>
                    <w14:schemeClr w14:val="tx1"/>
                  </w14:solidFill>
                </w14:textFill>
              </w:rPr>
              <w:t>econd</w:t>
            </w:r>
            <w:r>
              <w:rPr>
                <w:rFonts w:ascii="Times New Roman" w:hAnsi="Times New Roman" w:cs="Times New Roman"/>
                <w:color w:val="000000" w:themeColor="text1"/>
                <w:sz w:val="22"/>
                <w:szCs w:val="22"/>
                <w14:textFill>
                  <w14:solidFill>
                    <w14:schemeClr w14:val="tx1"/>
                  </w14:solidFill>
                </w14:textFill>
              </w:rPr>
              <w:t xml:space="preserve"> </w:t>
            </w:r>
            <w:r>
              <w:rPr>
                <w:rFonts w:hint="eastAsia" w:ascii="Times New Roman" w:hAnsi="Times New Roman" w:cs="Times New Roman"/>
                <w:color w:val="000000" w:themeColor="text1"/>
                <w:sz w:val="22"/>
                <w:szCs w:val="22"/>
                <w14:textFill>
                  <w14:solidFill>
                    <w14:schemeClr w14:val="tx1"/>
                  </w14:solidFill>
                </w14:textFill>
              </w:rPr>
              <w:t>month</w:t>
            </w:r>
            <w:r>
              <w:rPr>
                <w:rFonts w:ascii="Times New Roman" w:hAnsi="Times New Roman" w:cs="Times New Roman"/>
                <w:color w:val="000000" w:themeColor="text1"/>
                <w:sz w:val="22"/>
                <w:szCs w:val="22"/>
                <w14:textFill>
                  <w14:solidFill>
                    <w14:schemeClr w14:val="tx1"/>
                  </w14:solidFill>
                </w14:textFill>
              </w:rPr>
              <w:t xml:space="preserve"> of pregnancy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&lt;7</w:t>
            </w:r>
            <w:r>
              <w:rPr>
                <w:rFonts w:ascii="Times New Roman" w:hAnsi="Times New Roman" w:cs="Times New Roman"/>
                <w:color w:val="000000" w:themeColor="text1"/>
                <w:sz w:val="22"/>
                <w:szCs w:val="22"/>
                <w14:textFill>
                  <w14:solidFill>
                    <w14:schemeClr w14:val="tx1"/>
                  </w14:solidFill>
                </w14:textFill>
              </w:rPr>
              <w:t>3</w:t>
            </w:r>
          </w:p>
        </w:tc>
        <w:tc>
          <w:tcPr>
            <w:tcW w:w="1559"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50</w:t>
            </w: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34</w:t>
            </w: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1.00</w:t>
            </w:r>
          </w:p>
        </w:tc>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&lt;7</w:t>
            </w:r>
            <w:r>
              <w:rPr>
                <w:rFonts w:ascii="Times New Roman" w:hAnsi="Times New Roman" w:cs="Times New Roman"/>
                <w:color w:val="000000" w:themeColor="text1"/>
                <w:sz w:val="22"/>
                <w:szCs w:val="22"/>
                <w14:textFill>
                  <w14:solidFill>
                    <w14:schemeClr w14:val="tx1"/>
                  </w14:solidFill>
                </w14:textFill>
              </w:rPr>
              <w:t>2</w:t>
            </w:r>
          </w:p>
        </w:tc>
        <w:tc>
          <w:tcPr>
            <w:tcW w:w="1559"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35</w:t>
            </w: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47</w:t>
            </w: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7</w:t>
            </w:r>
            <w:r>
              <w:rPr>
                <w:rFonts w:ascii="Times New Roman" w:hAnsi="Times New Roman" w:cs="Times New Roman"/>
                <w:color w:val="000000" w:themeColor="text1"/>
                <w:sz w:val="22"/>
                <w:szCs w:val="22"/>
                <w14:textFill>
                  <w14:solidFill>
                    <w14:schemeClr w14:val="tx1"/>
                  </w14:solidFill>
                </w14:textFill>
              </w:rPr>
              <w:t xml:space="preserve">3 to </w:t>
            </w:r>
            <w:r>
              <w:rPr>
                <w:rFonts w:hint="eastAsia" w:ascii="Times New Roman" w:hAnsi="Times New Roman" w:cs="Times New Roman"/>
                <w:color w:val="000000" w:themeColor="text1"/>
                <w:sz w:val="22"/>
                <w:szCs w:val="22"/>
                <w14:textFill>
                  <w14:solidFill>
                    <w14:schemeClr w14:val="tx1"/>
                  </w14:solidFill>
                </w14:textFill>
              </w:rPr>
              <w:t>&lt;</w:t>
            </w:r>
            <w:r>
              <w:rPr>
                <w:rFonts w:ascii="Times New Roman" w:hAnsi="Times New Roman" w:cs="Times New Roman"/>
                <w:color w:val="000000" w:themeColor="text1"/>
                <w:sz w:val="22"/>
                <w:szCs w:val="22"/>
                <w14:textFill>
                  <w14:solidFill>
                    <w14:schemeClr w14:val="tx1"/>
                  </w14:solidFill>
                </w14:textFill>
              </w:rPr>
              <w:t>97</w:t>
            </w:r>
          </w:p>
        </w:tc>
        <w:tc>
          <w:tcPr>
            <w:tcW w:w="1559"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12</w:t>
            </w: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70</w:t>
            </w: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.89 (1.30-2.75)</w:t>
            </w:r>
          </w:p>
        </w:tc>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7</w:t>
            </w:r>
            <w:r>
              <w:rPr>
                <w:rFonts w:ascii="Times New Roman" w:hAnsi="Times New Roman" w:cs="Times New Roman"/>
                <w:color w:val="000000" w:themeColor="text1"/>
                <w:sz w:val="22"/>
                <w:szCs w:val="22"/>
                <w14:textFill>
                  <w14:solidFill>
                    <w14:schemeClr w14:val="tx1"/>
                  </w14:solidFill>
                </w14:textFill>
              </w:rPr>
              <w:t xml:space="preserve">2 to </w:t>
            </w:r>
            <w:r>
              <w:rPr>
                <w:rFonts w:hint="eastAsia" w:ascii="Times New Roman" w:hAnsi="Times New Roman" w:cs="Times New Roman"/>
                <w:color w:val="000000" w:themeColor="text1"/>
                <w:sz w:val="22"/>
                <w:szCs w:val="22"/>
                <w14:textFill>
                  <w14:solidFill>
                    <w14:schemeClr w14:val="tx1"/>
                  </w14:solidFill>
                </w14:textFill>
              </w:rPr>
              <w:t>&lt;</w:t>
            </w:r>
            <w:r>
              <w:rPr>
                <w:rFonts w:ascii="Times New Roman" w:hAnsi="Times New Roman" w:cs="Times New Roman"/>
                <w:color w:val="000000" w:themeColor="text1"/>
                <w:sz w:val="22"/>
                <w:szCs w:val="22"/>
                <w14:textFill>
                  <w14:solidFill>
                    <w14:schemeClr w14:val="tx1"/>
                  </w14:solidFill>
                </w14:textFill>
              </w:rPr>
              <w:t>97</w:t>
            </w:r>
          </w:p>
        </w:tc>
        <w:tc>
          <w:tcPr>
            <w:tcW w:w="1559"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28</w:t>
            </w: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57</w:t>
            </w: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.92 (2.00-4.27)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Borders>
              <w:bottom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≥97</w:t>
            </w:r>
          </w:p>
        </w:tc>
        <w:tc>
          <w:tcPr>
            <w:tcW w:w="1559" w:type="dxa"/>
            <w:tcBorders>
              <w:bottom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13</w:t>
            </w:r>
          </w:p>
        </w:tc>
        <w:tc>
          <w:tcPr>
            <w:tcW w:w="1984" w:type="dxa"/>
            <w:tcBorders>
              <w:bottom w:val="nil"/>
            </w:tcBorders>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71</w:t>
            </w:r>
          </w:p>
        </w:tc>
        <w:tc>
          <w:tcPr>
            <w:tcW w:w="1701" w:type="dxa"/>
            <w:tcBorders>
              <w:bottom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3</w:t>
            </w:r>
            <w:r>
              <w:rPr>
                <w:rFonts w:ascii="Times New Roman" w:hAnsi="Times New Roman" w:cs="Times New Roman"/>
                <w:color w:val="000000" w:themeColor="text1"/>
                <w:sz w:val="22"/>
                <w:szCs w:val="22"/>
                <w14:textFill>
                  <w14:solidFill>
                    <w14:schemeClr w14:val="tx1"/>
                  </w14:solidFill>
                </w14:textFill>
              </w:rPr>
              <w:t>.60 (2.25-5.77)</w:t>
            </w:r>
          </w:p>
        </w:tc>
        <w:tc>
          <w:tcPr>
            <w:tcW w:w="2127" w:type="dxa"/>
            <w:tcBorders>
              <w:bottom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≥97</w:t>
            </w:r>
          </w:p>
        </w:tc>
        <w:tc>
          <w:tcPr>
            <w:tcW w:w="1559" w:type="dxa"/>
            <w:tcBorders>
              <w:bottom w:val="nil"/>
            </w:tcBorders>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12</w:t>
            </w:r>
          </w:p>
        </w:tc>
        <w:tc>
          <w:tcPr>
            <w:tcW w:w="1984" w:type="dxa"/>
            <w:tcBorders>
              <w:bottom w:val="nil"/>
            </w:tcBorders>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71</w:t>
            </w:r>
          </w:p>
        </w:tc>
        <w:tc>
          <w:tcPr>
            <w:tcW w:w="1701" w:type="dxa"/>
            <w:tcBorders>
              <w:bottom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4</w:t>
            </w:r>
            <w:r>
              <w:rPr>
                <w:rFonts w:ascii="Times New Roman" w:hAnsi="Times New Roman" w:cs="Times New Roman"/>
                <w:color w:val="000000" w:themeColor="text1"/>
                <w:sz w:val="22"/>
                <w:szCs w:val="22"/>
                <w14:textFill>
                  <w14:solidFill>
                    <w14:schemeClr w14:val="tx1"/>
                  </w14:solidFill>
                </w14:textFill>
              </w:rPr>
              <w:t>.56 (2.75-7.55)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Borders>
              <w:top w:val="nil"/>
              <w:bottom w:val="single" w:color="auto" w:sz="4" w:space="0"/>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Per 10 μg/m</w:t>
            </w:r>
            <w:r>
              <w:rPr>
                <w:rFonts w:ascii="Times New Roman" w:hAnsi="Times New Roman" w:cs="Times New Roman"/>
                <w:color w:val="000000" w:themeColor="text1"/>
                <w:sz w:val="22"/>
                <w:szCs w:val="22"/>
                <w:vertAlign w:val="superscript"/>
                <w14:textFill>
                  <w14:solidFill>
                    <w14:schemeClr w14:val="tx1"/>
                  </w14:solidFill>
                </w14:textFill>
              </w:rPr>
              <w:t xml:space="preserve">3 </w:t>
            </w:r>
            <w:r>
              <w:rPr>
                <w:rFonts w:ascii="Times New Roman" w:hAnsi="Times New Roman" w:cs="Times New Roman"/>
                <w:color w:val="000000" w:themeColor="text1"/>
                <w:sz w:val="22"/>
                <w:szCs w:val="22"/>
                <w14:textFill>
                  <w14:solidFill>
                    <w14:schemeClr w14:val="tx1"/>
                  </w14:solidFill>
                </w14:textFill>
              </w:rPr>
              <w:t>increase</w:t>
            </w:r>
          </w:p>
        </w:tc>
        <w:tc>
          <w:tcPr>
            <w:tcW w:w="1559" w:type="dxa"/>
            <w:tcBorders>
              <w:top w:val="nil"/>
              <w:bottom w:val="single" w:color="auto" w:sz="4" w:space="0"/>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p>
        </w:tc>
        <w:tc>
          <w:tcPr>
            <w:tcW w:w="1984" w:type="dxa"/>
            <w:tcBorders>
              <w:top w:val="nil"/>
              <w:bottom w:val="single" w:color="auto" w:sz="4" w:space="0"/>
            </w:tcBorders>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p>
        </w:tc>
        <w:tc>
          <w:tcPr>
            <w:tcW w:w="1701" w:type="dxa"/>
            <w:tcBorders>
              <w:top w:val="nil"/>
              <w:bottom w:val="single" w:color="auto" w:sz="4" w:space="0"/>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.14 (1.06-1.23)</w:t>
            </w:r>
          </w:p>
        </w:tc>
        <w:tc>
          <w:tcPr>
            <w:tcW w:w="2127" w:type="dxa"/>
            <w:tcBorders>
              <w:top w:val="nil"/>
              <w:bottom w:val="single" w:color="auto" w:sz="4" w:space="0"/>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Per 10 μg/m</w:t>
            </w:r>
            <w:r>
              <w:rPr>
                <w:rFonts w:ascii="Times New Roman" w:hAnsi="Times New Roman" w:cs="Times New Roman"/>
                <w:color w:val="000000" w:themeColor="text1"/>
                <w:sz w:val="22"/>
                <w:szCs w:val="22"/>
                <w:vertAlign w:val="superscript"/>
                <w14:textFill>
                  <w14:solidFill>
                    <w14:schemeClr w14:val="tx1"/>
                  </w14:solidFill>
                </w14:textFill>
              </w:rPr>
              <w:t xml:space="preserve">3 </w:t>
            </w:r>
            <w:r>
              <w:rPr>
                <w:rFonts w:ascii="Times New Roman" w:hAnsi="Times New Roman" w:cs="Times New Roman"/>
                <w:color w:val="000000" w:themeColor="text1"/>
                <w:sz w:val="22"/>
                <w:szCs w:val="22"/>
                <w14:textFill>
                  <w14:solidFill>
                    <w14:schemeClr w14:val="tx1"/>
                  </w14:solidFill>
                </w14:textFill>
              </w:rPr>
              <w:t>increase</w:t>
            </w:r>
          </w:p>
        </w:tc>
        <w:tc>
          <w:tcPr>
            <w:tcW w:w="1559" w:type="dxa"/>
            <w:tcBorders>
              <w:top w:val="nil"/>
              <w:bottom w:val="single" w:color="auto" w:sz="4" w:space="0"/>
            </w:tcBorders>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p>
        </w:tc>
        <w:tc>
          <w:tcPr>
            <w:tcW w:w="1984" w:type="dxa"/>
            <w:tcBorders>
              <w:top w:val="nil"/>
              <w:bottom w:val="single" w:color="auto" w:sz="4" w:space="0"/>
            </w:tcBorders>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p>
        </w:tc>
        <w:tc>
          <w:tcPr>
            <w:tcW w:w="1701" w:type="dxa"/>
            <w:tcBorders>
              <w:top w:val="nil"/>
              <w:bottom w:val="single" w:color="auto" w:sz="4" w:space="0"/>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.10 (1.03-1.18)</w:t>
            </w:r>
          </w:p>
        </w:tc>
      </w:tr>
    </w:tbl>
    <w:p>
      <w:pPr>
        <w:rPr>
          <w:sz w:val="22"/>
          <w:szCs w:val="22"/>
        </w:rPr>
      </w:pPr>
    </w:p>
    <w:p>
      <w:pPr>
        <w:spacing w:line="384" w:lineRule="auto"/>
        <w:rPr>
          <w:sz w:val="22"/>
          <w:szCs w:val="22"/>
        </w:rPr>
      </w:pPr>
    </w:p>
    <w:p>
      <w:pPr>
        <w:spacing w:line="384" w:lineRule="auto"/>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 xml:space="preserve">Supplemental </w:t>
      </w:r>
      <w:r>
        <w:rPr>
          <w:rFonts w:hint="eastAsia" w:ascii="Times New Roman" w:hAnsi="Times New Roman" w:cs="Times New Roman"/>
          <w:b/>
          <w:bCs/>
          <w:color w:val="000000" w:themeColor="text1"/>
          <w:sz w:val="22"/>
          <w:szCs w:val="22"/>
          <w14:textFill>
            <w14:solidFill>
              <w14:schemeClr w14:val="tx1"/>
            </w14:solidFill>
          </w14:textFill>
        </w:rPr>
        <w:t>T</w:t>
      </w:r>
      <w:r>
        <w:rPr>
          <w:rFonts w:ascii="Times New Roman" w:hAnsi="Times New Roman" w:cs="Times New Roman"/>
          <w:b/>
          <w:bCs/>
          <w:color w:val="000000" w:themeColor="text1"/>
          <w:sz w:val="22"/>
          <w:szCs w:val="22"/>
          <w14:textFill>
            <w14:solidFill>
              <w14:schemeClr w14:val="tx1"/>
            </w14:solidFill>
          </w14:textFill>
        </w:rPr>
        <w:t>able 2 continued</w:t>
      </w:r>
    </w:p>
    <w:tbl>
      <w:tblPr>
        <w:tblStyle w:val="6"/>
        <w:tblW w:w="14742"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27"/>
        <w:gridCol w:w="1559"/>
        <w:gridCol w:w="1984"/>
        <w:gridCol w:w="1701"/>
        <w:gridCol w:w="2127"/>
        <w:gridCol w:w="1559"/>
        <w:gridCol w:w="1984"/>
        <w:gridCol w:w="170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Tertile of</w:t>
            </w:r>
          </w:p>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PM</w:t>
            </w:r>
            <w:r>
              <w:rPr>
                <w:rFonts w:ascii="Times New Roman" w:hAnsi="Times New Roman" w:cs="Times New Roman"/>
                <w:b/>
                <w:bCs/>
                <w:color w:val="000000" w:themeColor="text1"/>
                <w:sz w:val="22"/>
                <w:szCs w:val="22"/>
                <w:vertAlign w:val="subscript"/>
                <w14:textFill>
                  <w14:solidFill>
                    <w14:schemeClr w14:val="tx1"/>
                  </w14:solidFill>
                </w14:textFill>
              </w:rPr>
              <w:t>10</w:t>
            </w:r>
            <w:r>
              <w:rPr>
                <w:rFonts w:ascii="Times New Roman" w:hAnsi="Times New Roman" w:cs="Times New Roman"/>
                <w:b/>
                <w:bCs/>
                <w:color w:val="000000" w:themeColor="text1"/>
                <w:sz w:val="22"/>
                <w:szCs w:val="22"/>
                <w14:textFill>
                  <w14:solidFill>
                    <w14:schemeClr w14:val="tx1"/>
                  </w14:solidFill>
                </w14:textFill>
              </w:rPr>
              <w:t xml:space="preserve"> level</w:t>
            </w:r>
            <w:r>
              <w:rPr>
                <w:rFonts w:ascii="Times New Roman" w:hAnsi="Times New Roman" w:cs="Times New Roman"/>
                <w:b/>
                <w:bCs/>
                <w:color w:val="000000" w:themeColor="text1"/>
                <w:sz w:val="22"/>
                <w:szCs w:val="22"/>
                <w:vertAlign w:val="superscript"/>
                <w14:textFill>
                  <w14:solidFill>
                    <w14:schemeClr w14:val="tx1"/>
                  </w14:solidFill>
                </w14:textFill>
              </w:rPr>
              <w:t>a</w:t>
            </w:r>
          </w:p>
        </w:tc>
        <w:tc>
          <w:tcPr>
            <w:tcW w:w="1559" w:type="dxa"/>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Number of</w:t>
            </w:r>
          </w:p>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cases</w:t>
            </w:r>
          </w:p>
        </w:tc>
        <w:tc>
          <w:tcPr>
            <w:tcW w:w="1984" w:type="dxa"/>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Number of</w:t>
            </w:r>
          </w:p>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controls</w:t>
            </w:r>
          </w:p>
        </w:tc>
        <w:tc>
          <w:tcPr>
            <w:tcW w:w="1701" w:type="dxa"/>
            <w:tcBorders>
              <w:top w:val="single" w:color="auto" w:sz="8" w:space="0"/>
              <w:bottom w:val="single" w:color="auto" w:sz="8" w:space="0"/>
            </w:tcBorders>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OR (95%CI)</w:t>
            </w:r>
            <w:r>
              <w:rPr>
                <w:rFonts w:ascii="Times New Roman" w:hAnsi="Times New Roman" w:cs="Times New Roman"/>
                <w:b/>
                <w:bCs/>
                <w:color w:val="000000" w:themeColor="text1"/>
                <w:sz w:val="22"/>
                <w:szCs w:val="22"/>
                <w:vertAlign w:val="superscript"/>
                <w14:textFill>
                  <w14:solidFill>
                    <w14:schemeClr w14:val="tx1"/>
                  </w14:solidFill>
                </w14:textFill>
              </w:rPr>
              <w:t>b</w:t>
            </w:r>
          </w:p>
        </w:tc>
        <w:tc>
          <w:tcPr>
            <w:tcW w:w="2127" w:type="dxa"/>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Tertile of</w:t>
            </w:r>
          </w:p>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PM</w:t>
            </w:r>
            <w:r>
              <w:rPr>
                <w:rFonts w:ascii="Times New Roman" w:hAnsi="Times New Roman" w:cs="Times New Roman"/>
                <w:b/>
                <w:bCs/>
                <w:color w:val="000000" w:themeColor="text1"/>
                <w:sz w:val="22"/>
                <w:szCs w:val="22"/>
                <w:vertAlign w:val="subscript"/>
                <w14:textFill>
                  <w14:solidFill>
                    <w14:schemeClr w14:val="tx1"/>
                  </w14:solidFill>
                </w14:textFill>
              </w:rPr>
              <w:t>10</w:t>
            </w:r>
            <w:r>
              <w:rPr>
                <w:rFonts w:ascii="Times New Roman" w:hAnsi="Times New Roman" w:cs="Times New Roman"/>
                <w:b/>
                <w:bCs/>
                <w:color w:val="000000" w:themeColor="text1"/>
                <w:sz w:val="22"/>
                <w:szCs w:val="22"/>
                <w14:textFill>
                  <w14:solidFill>
                    <w14:schemeClr w14:val="tx1"/>
                  </w14:solidFill>
                </w14:textFill>
              </w:rPr>
              <w:t xml:space="preserve"> level</w:t>
            </w:r>
            <w:r>
              <w:rPr>
                <w:rFonts w:ascii="Times New Roman" w:hAnsi="Times New Roman" w:cs="Times New Roman"/>
                <w:b/>
                <w:bCs/>
                <w:color w:val="000000" w:themeColor="text1"/>
                <w:sz w:val="22"/>
                <w:szCs w:val="22"/>
                <w:vertAlign w:val="superscript"/>
                <w14:textFill>
                  <w14:solidFill>
                    <w14:schemeClr w14:val="tx1"/>
                  </w14:solidFill>
                </w14:textFill>
              </w:rPr>
              <w:t>a</w:t>
            </w:r>
          </w:p>
        </w:tc>
        <w:tc>
          <w:tcPr>
            <w:tcW w:w="1559" w:type="dxa"/>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Number of</w:t>
            </w:r>
          </w:p>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cases</w:t>
            </w:r>
          </w:p>
        </w:tc>
        <w:tc>
          <w:tcPr>
            <w:tcW w:w="1984" w:type="dxa"/>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Number of</w:t>
            </w:r>
          </w:p>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controls</w:t>
            </w:r>
          </w:p>
        </w:tc>
        <w:tc>
          <w:tcPr>
            <w:tcW w:w="1701" w:type="dxa"/>
            <w:tcBorders>
              <w:top w:val="single" w:color="auto" w:sz="8" w:space="0"/>
              <w:bottom w:val="single" w:color="auto" w:sz="8" w:space="0"/>
            </w:tcBorders>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OR (95%CI)</w:t>
            </w:r>
            <w:r>
              <w:rPr>
                <w:rFonts w:ascii="Times New Roman" w:hAnsi="Times New Roman" w:cs="Times New Roman"/>
                <w:b/>
                <w:bCs/>
                <w:color w:val="000000" w:themeColor="text1"/>
                <w:sz w:val="22"/>
                <w:szCs w:val="22"/>
                <w:vertAlign w:val="superscript"/>
                <w14:textFill>
                  <w14:solidFill>
                    <w14:schemeClr w14:val="tx1"/>
                  </w14:solidFill>
                </w14:textFill>
              </w:rPr>
              <w:t>b</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371" w:type="dxa"/>
            <w:gridSpan w:val="4"/>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Pre-pregnancy</w:t>
            </w:r>
          </w:p>
        </w:tc>
        <w:tc>
          <w:tcPr>
            <w:tcW w:w="7371" w:type="dxa"/>
            <w:gridSpan w:val="4"/>
            <w:tcBorders>
              <w:top w:val="single" w:color="auto" w:sz="8" w:space="0"/>
              <w:bottom w:val="single" w:color="auto" w:sz="8" w:space="0"/>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b/>
                <w:bCs/>
                <w:color w:val="000000" w:themeColor="text1"/>
                <w:sz w:val="22"/>
                <w:szCs w:val="22"/>
                <w14:textFill>
                  <w14:solidFill>
                    <w14:schemeClr w14:val="tx1"/>
                  </w14:solidFill>
                </w14:textFill>
              </w:rPr>
              <w:t>Prophase of pregnancy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371" w:type="dxa"/>
            <w:gridSpan w:val="4"/>
            <w:tcBorders>
              <w:top w:val="single" w:color="auto" w:sz="8" w:space="0"/>
              <w:bottom w:val="nil"/>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The t</w:t>
            </w:r>
            <w:r>
              <w:rPr>
                <w:rFonts w:hint="eastAsia" w:ascii="Times New Roman" w:hAnsi="Times New Roman" w:cs="Times New Roman"/>
                <w:color w:val="000000" w:themeColor="text1"/>
                <w:sz w:val="22"/>
                <w:szCs w:val="22"/>
                <w14:textFill>
                  <w14:solidFill>
                    <w14:schemeClr w14:val="tx1"/>
                  </w14:solidFill>
                </w14:textFill>
              </w:rPr>
              <w:t>hird</w:t>
            </w:r>
            <w:r>
              <w:rPr>
                <w:rFonts w:ascii="Times New Roman" w:hAnsi="Times New Roman" w:cs="Times New Roman"/>
                <w:color w:val="000000" w:themeColor="text1"/>
                <w:sz w:val="22"/>
                <w:szCs w:val="22"/>
                <w14:textFill>
                  <w14:solidFill>
                    <w14:schemeClr w14:val="tx1"/>
                  </w14:solidFill>
                </w14:textFill>
              </w:rPr>
              <w:t xml:space="preserve"> </w:t>
            </w:r>
            <w:r>
              <w:rPr>
                <w:rFonts w:hint="eastAsia" w:ascii="Times New Roman" w:hAnsi="Times New Roman" w:cs="Times New Roman"/>
                <w:color w:val="000000" w:themeColor="text1"/>
                <w:sz w:val="22"/>
                <w:szCs w:val="22"/>
                <w14:textFill>
                  <w14:solidFill>
                    <w14:schemeClr w14:val="tx1"/>
                  </w14:solidFill>
                </w14:textFill>
              </w:rPr>
              <w:t>month</w:t>
            </w:r>
            <w:r>
              <w:rPr>
                <w:rFonts w:ascii="Times New Roman" w:hAnsi="Times New Roman" w:cs="Times New Roman"/>
                <w:color w:val="000000" w:themeColor="text1"/>
                <w:sz w:val="22"/>
                <w:szCs w:val="22"/>
                <w14:textFill>
                  <w14:solidFill>
                    <w14:schemeClr w14:val="tx1"/>
                  </w14:solidFill>
                </w14:textFill>
              </w:rPr>
              <w:t xml:space="preserve"> before pregnancy</w:t>
            </w:r>
          </w:p>
        </w:tc>
        <w:tc>
          <w:tcPr>
            <w:tcW w:w="7371" w:type="dxa"/>
            <w:gridSpan w:val="4"/>
            <w:tcBorders>
              <w:top w:val="single" w:color="auto" w:sz="8" w:space="0"/>
              <w:bottom w:val="nil"/>
            </w:tcBorders>
            <w:vAlign w:val="center"/>
          </w:tcPr>
          <w:p>
            <w:pPr>
              <w:spacing w:line="384" w:lineRule="auto"/>
              <w:jc w:val="center"/>
              <w:rPr>
                <w:rFonts w:ascii="Times New Roman" w:hAnsi="Times New Roman" w:cs="Times New Roman"/>
                <w:b/>
                <w:bCs/>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The t</w:t>
            </w:r>
            <w:r>
              <w:rPr>
                <w:rFonts w:hint="eastAsia" w:ascii="Times New Roman" w:hAnsi="Times New Roman" w:cs="Times New Roman"/>
                <w:color w:val="000000" w:themeColor="text1"/>
                <w:sz w:val="22"/>
                <w:szCs w:val="22"/>
                <w14:textFill>
                  <w14:solidFill>
                    <w14:schemeClr w14:val="tx1"/>
                  </w14:solidFill>
                </w14:textFill>
              </w:rPr>
              <w:t>hird</w:t>
            </w:r>
            <w:r>
              <w:rPr>
                <w:rFonts w:ascii="Times New Roman" w:hAnsi="Times New Roman" w:cs="Times New Roman"/>
                <w:color w:val="000000" w:themeColor="text1"/>
                <w:sz w:val="22"/>
                <w:szCs w:val="22"/>
                <w14:textFill>
                  <w14:solidFill>
                    <w14:schemeClr w14:val="tx1"/>
                  </w14:solidFill>
                </w14:textFill>
              </w:rPr>
              <w:t xml:space="preserve"> </w:t>
            </w:r>
            <w:r>
              <w:rPr>
                <w:rFonts w:hint="eastAsia" w:ascii="Times New Roman" w:hAnsi="Times New Roman" w:cs="Times New Roman"/>
                <w:color w:val="000000" w:themeColor="text1"/>
                <w:sz w:val="22"/>
                <w:szCs w:val="22"/>
                <w14:textFill>
                  <w14:solidFill>
                    <w14:schemeClr w14:val="tx1"/>
                  </w14:solidFill>
                </w14:textFill>
              </w:rPr>
              <w:t>month</w:t>
            </w:r>
            <w:r>
              <w:rPr>
                <w:rFonts w:ascii="Times New Roman" w:hAnsi="Times New Roman" w:cs="Times New Roman"/>
                <w:color w:val="000000" w:themeColor="text1"/>
                <w:sz w:val="22"/>
                <w:szCs w:val="22"/>
                <w14:textFill>
                  <w14:solidFill>
                    <w14:schemeClr w14:val="tx1"/>
                  </w14:solidFill>
                </w14:textFill>
              </w:rPr>
              <w:t xml:space="preserve"> of pregnancy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Borders>
              <w:top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&lt;7</w:t>
            </w:r>
            <w:r>
              <w:rPr>
                <w:rFonts w:ascii="Times New Roman" w:hAnsi="Times New Roman" w:cs="Times New Roman"/>
                <w:color w:val="000000" w:themeColor="text1"/>
                <w:sz w:val="22"/>
                <w:szCs w:val="22"/>
                <w14:textFill>
                  <w14:solidFill>
                    <w14:schemeClr w14:val="tx1"/>
                  </w14:solidFill>
                </w14:textFill>
              </w:rPr>
              <w:t>2</w:t>
            </w:r>
          </w:p>
        </w:tc>
        <w:tc>
          <w:tcPr>
            <w:tcW w:w="1559" w:type="dxa"/>
            <w:tcBorders>
              <w:top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41</w:t>
            </w:r>
          </w:p>
        </w:tc>
        <w:tc>
          <w:tcPr>
            <w:tcW w:w="1984" w:type="dxa"/>
            <w:tcBorders>
              <w:top w:val="nil"/>
            </w:tcBorders>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41</w:t>
            </w:r>
          </w:p>
        </w:tc>
        <w:tc>
          <w:tcPr>
            <w:tcW w:w="1701" w:type="dxa"/>
            <w:tcBorders>
              <w:top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1.00</w:t>
            </w:r>
          </w:p>
        </w:tc>
        <w:tc>
          <w:tcPr>
            <w:tcW w:w="2127" w:type="dxa"/>
            <w:tcBorders>
              <w:top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&lt;72</w:t>
            </w:r>
          </w:p>
        </w:tc>
        <w:tc>
          <w:tcPr>
            <w:tcW w:w="1559" w:type="dxa"/>
            <w:tcBorders>
              <w:top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47</w:t>
            </w:r>
          </w:p>
        </w:tc>
        <w:tc>
          <w:tcPr>
            <w:tcW w:w="1984" w:type="dxa"/>
            <w:tcBorders>
              <w:top w:val="nil"/>
            </w:tcBorders>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33</w:t>
            </w:r>
          </w:p>
        </w:tc>
        <w:tc>
          <w:tcPr>
            <w:tcW w:w="1701" w:type="dxa"/>
            <w:tcBorders>
              <w:top w:val="nil"/>
            </w:tcBorders>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7</w:t>
            </w:r>
            <w:r>
              <w:rPr>
                <w:rFonts w:ascii="Times New Roman" w:hAnsi="Times New Roman" w:cs="Times New Roman"/>
                <w:color w:val="000000" w:themeColor="text1"/>
                <w:sz w:val="22"/>
                <w:szCs w:val="22"/>
                <w14:textFill>
                  <w14:solidFill>
                    <w14:schemeClr w14:val="tx1"/>
                  </w14:solidFill>
                </w14:textFill>
              </w:rPr>
              <w:t xml:space="preserve">2 to </w:t>
            </w:r>
            <w:r>
              <w:rPr>
                <w:rFonts w:hint="eastAsia" w:ascii="Times New Roman" w:hAnsi="Times New Roman" w:cs="Times New Roman"/>
                <w:color w:val="000000" w:themeColor="text1"/>
                <w:sz w:val="22"/>
                <w:szCs w:val="22"/>
                <w14:textFill>
                  <w14:solidFill>
                    <w14:schemeClr w14:val="tx1"/>
                  </w14:solidFill>
                </w14:textFill>
              </w:rPr>
              <w:t>&lt;</w:t>
            </w:r>
            <w:r>
              <w:rPr>
                <w:rFonts w:ascii="Times New Roman" w:hAnsi="Times New Roman" w:cs="Times New Roman"/>
                <w:color w:val="000000" w:themeColor="text1"/>
                <w:sz w:val="22"/>
                <w:szCs w:val="22"/>
                <w14:textFill>
                  <w14:solidFill>
                    <w14:schemeClr w14:val="tx1"/>
                  </w14:solidFill>
                </w14:textFill>
              </w:rPr>
              <w:t>96</w:t>
            </w:r>
          </w:p>
        </w:tc>
        <w:tc>
          <w:tcPr>
            <w:tcW w:w="1559"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10</w:t>
            </w: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55</w:t>
            </w: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.77 (1.89-4.07)</w:t>
            </w:r>
          </w:p>
        </w:tc>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72 to &lt;95</w:t>
            </w:r>
          </w:p>
        </w:tc>
        <w:tc>
          <w:tcPr>
            <w:tcW w:w="1559"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17</w:t>
            </w: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65</w:t>
            </w: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.90 (1.97-4.28)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≥96</w:t>
            </w:r>
          </w:p>
        </w:tc>
        <w:tc>
          <w:tcPr>
            <w:tcW w:w="1559"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24</w:t>
            </w: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79</w:t>
            </w: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3</w:t>
            </w:r>
            <w:r>
              <w:rPr>
                <w:rFonts w:ascii="Times New Roman" w:hAnsi="Times New Roman" w:cs="Times New Roman"/>
                <w:color w:val="000000" w:themeColor="text1"/>
                <w:sz w:val="22"/>
                <w:szCs w:val="22"/>
                <w14:textFill>
                  <w14:solidFill>
                    <w14:schemeClr w14:val="tx1"/>
                  </w14:solidFill>
                </w14:textFill>
              </w:rPr>
              <w:t>.32 (2.10-5.23)</w:t>
            </w:r>
          </w:p>
        </w:tc>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≥95</w:t>
            </w:r>
          </w:p>
        </w:tc>
        <w:tc>
          <w:tcPr>
            <w:tcW w:w="1559"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2</w:t>
            </w:r>
            <w:r>
              <w:rPr>
                <w:rFonts w:ascii="Times New Roman" w:hAnsi="Times New Roman" w:cs="Times New Roman"/>
                <w:color w:val="000000" w:themeColor="text1"/>
                <w:sz w:val="22"/>
                <w:szCs w:val="22"/>
                <w14:textFill>
                  <w14:solidFill>
                    <w14:schemeClr w14:val="tx1"/>
                  </w14:solidFill>
                </w14:textFill>
              </w:rPr>
              <w:t>11</w:t>
            </w: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77</w:t>
            </w: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3</w:t>
            </w:r>
            <w:r>
              <w:rPr>
                <w:rFonts w:ascii="Times New Roman" w:hAnsi="Times New Roman" w:cs="Times New Roman"/>
                <w:color w:val="000000" w:themeColor="text1"/>
                <w:sz w:val="22"/>
                <w:szCs w:val="22"/>
                <w14:textFill>
                  <w14:solidFill>
                    <w14:schemeClr w14:val="tx1"/>
                  </w14:solidFill>
                </w14:textFill>
              </w:rPr>
              <w:t>.87 (2.39-6.27)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Per 10 μg/m</w:t>
            </w:r>
            <w:r>
              <w:rPr>
                <w:rFonts w:ascii="Times New Roman" w:hAnsi="Times New Roman" w:cs="Times New Roman"/>
                <w:color w:val="000000" w:themeColor="text1"/>
                <w:sz w:val="22"/>
                <w:szCs w:val="22"/>
                <w:vertAlign w:val="superscript"/>
                <w14:textFill>
                  <w14:solidFill>
                    <w14:schemeClr w14:val="tx1"/>
                  </w14:solidFill>
                </w14:textFill>
              </w:rPr>
              <w:t xml:space="preserve">3 </w:t>
            </w:r>
            <w:r>
              <w:rPr>
                <w:rFonts w:ascii="Times New Roman" w:hAnsi="Times New Roman" w:cs="Times New Roman"/>
                <w:color w:val="000000" w:themeColor="text1"/>
                <w:sz w:val="22"/>
                <w:szCs w:val="22"/>
                <w14:textFill>
                  <w14:solidFill>
                    <w14:schemeClr w14:val="tx1"/>
                  </w14:solidFill>
                </w14:textFill>
              </w:rPr>
              <w:t>increase</w:t>
            </w:r>
          </w:p>
        </w:tc>
        <w:tc>
          <w:tcPr>
            <w:tcW w:w="1559"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.15 (1.07-1.25)</w:t>
            </w:r>
          </w:p>
        </w:tc>
        <w:tc>
          <w:tcPr>
            <w:tcW w:w="2127"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Per 10 μg/m</w:t>
            </w:r>
            <w:r>
              <w:rPr>
                <w:rFonts w:ascii="Times New Roman" w:hAnsi="Times New Roman" w:cs="Times New Roman"/>
                <w:color w:val="000000" w:themeColor="text1"/>
                <w:sz w:val="22"/>
                <w:szCs w:val="22"/>
                <w:vertAlign w:val="superscript"/>
                <w14:textFill>
                  <w14:solidFill>
                    <w14:schemeClr w14:val="tx1"/>
                  </w14:solidFill>
                </w14:textFill>
              </w:rPr>
              <w:t xml:space="preserve">3 </w:t>
            </w:r>
            <w:r>
              <w:rPr>
                <w:rFonts w:ascii="Times New Roman" w:hAnsi="Times New Roman" w:cs="Times New Roman"/>
                <w:color w:val="000000" w:themeColor="text1"/>
                <w:sz w:val="22"/>
                <w:szCs w:val="22"/>
                <w14:textFill>
                  <w14:solidFill>
                    <w14:schemeClr w14:val="tx1"/>
                  </w14:solidFill>
                </w14:textFill>
              </w:rPr>
              <w:t>increase</w:t>
            </w:r>
          </w:p>
        </w:tc>
        <w:tc>
          <w:tcPr>
            <w:tcW w:w="1559"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p>
        </w:tc>
        <w:tc>
          <w:tcPr>
            <w:tcW w:w="1984" w:type="dxa"/>
            <w:vAlign w:val="center"/>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p>
        </w:tc>
        <w:tc>
          <w:tcPr>
            <w:tcW w:w="1701" w:type="dxa"/>
          </w:tcPr>
          <w:p>
            <w:pPr>
              <w:spacing w:line="384"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1</w:t>
            </w:r>
            <w:r>
              <w:rPr>
                <w:rFonts w:ascii="Times New Roman" w:hAnsi="Times New Roman" w:cs="Times New Roman"/>
                <w:color w:val="000000" w:themeColor="text1"/>
                <w:sz w:val="22"/>
                <w:szCs w:val="22"/>
                <w14:textFill>
                  <w14:solidFill>
                    <w14:schemeClr w14:val="tx1"/>
                  </w14:solidFill>
                </w14:textFill>
              </w:rPr>
              <w:t>.14 (1.07-1.23)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371" w:type="dxa"/>
            <w:gridSpan w:val="4"/>
            <w:vAlign w:val="center"/>
          </w:tcPr>
          <w:p>
            <w:pPr>
              <w:spacing w:line="384" w:lineRule="auto"/>
              <w:jc w:val="center"/>
              <w:rPr>
                <w:rFonts w:ascii="Times New Roman" w:hAnsi="Times New Roman" w:cs="Times New Roman"/>
                <w:sz w:val="22"/>
                <w:szCs w:val="22"/>
              </w:rPr>
            </w:pPr>
            <w:r>
              <w:rPr>
                <w:rFonts w:ascii="Times New Roman" w:hAnsi="Times New Roman" w:cs="Times New Roman"/>
                <w:sz w:val="22"/>
                <w:szCs w:val="22"/>
              </w:rPr>
              <w:t xml:space="preserve">The three </w:t>
            </w:r>
            <w:r>
              <w:rPr>
                <w:rFonts w:hint="eastAsia" w:ascii="Times New Roman" w:hAnsi="Times New Roman" w:cs="Times New Roman"/>
                <w:sz w:val="22"/>
                <w:szCs w:val="22"/>
              </w:rPr>
              <w:t>month</w:t>
            </w:r>
            <w:r>
              <w:rPr>
                <w:rFonts w:ascii="Times New Roman" w:hAnsi="Times New Roman" w:cs="Times New Roman"/>
                <w:sz w:val="22"/>
                <w:szCs w:val="22"/>
              </w:rPr>
              <w:t>s before pregnancy</w:t>
            </w:r>
          </w:p>
        </w:tc>
        <w:tc>
          <w:tcPr>
            <w:tcW w:w="7371" w:type="dxa"/>
            <w:gridSpan w:val="4"/>
            <w:vAlign w:val="center"/>
          </w:tcPr>
          <w:p>
            <w:pPr>
              <w:spacing w:line="384" w:lineRule="auto"/>
              <w:jc w:val="center"/>
              <w:rPr>
                <w:rFonts w:ascii="Times New Roman" w:hAnsi="Times New Roman" w:cs="Times New Roman"/>
                <w:sz w:val="22"/>
                <w:szCs w:val="22"/>
              </w:rPr>
            </w:pPr>
            <w:r>
              <w:rPr>
                <w:rFonts w:ascii="Times New Roman" w:hAnsi="Times New Roman" w:cs="Times New Roman"/>
                <w:sz w:val="22"/>
                <w:szCs w:val="22"/>
              </w:rPr>
              <w:t>The first trimester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&lt;</w:t>
            </w:r>
            <w:r>
              <w:rPr>
                <w:rFonts w:ascii="Times New Roman" w:hAnsi="Times New Roman" w:cs="Times New Roman"/>
                <w:sz w:val="22"/>
                <w:szCs w:val="22"/>
              </w:rPr>
              <w:t>75</w:t>
            </w:r>
          </w:p>
        </w:tc>
        <w:tc>
          <w:tcPr>
            <w:tcW w:w="1559" w:type="dxa"/>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1</w:t>
            </w:r>
            <w:r>
              <w:rPr>
                <w:rFonts w:ascii="Times New Roman" w:hAnsi="Times New Roman" w:cs="Times New Roman"/>
                <w:sz w:val="22"/>
                <w:szCs w:val="22"/>
              </w:rPr>
              <w:t>45</w:t>
            </w:r>
          </w:p>
        </w:tc>
        <w:tc>
          <w:tcPr>
            <w:tcW w:w="1984" w:type="dxa"/>
            <w:vAlign w:val="center"/>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2</w:t>
            </w:r>
            <w:r>
              <w:rPr>
                <w:rFonts w:ascii="Times New Roman" w:hAnsi="Times New Roman" w:cs="Times New Roman"/>
                <w:sz w:val="22"/>
                <w:szCs w:val="22"/>
              </w:rPr>
              <w:t>46</w:t>
            </w:r>
          </w:p>
        </w:tc>
        <w:tc>
          <w:tcPr>
            <w:tcW w:w="1701" w:type="dxa"/>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1.00</w:t>
            </w:r>
          </w:p>
        </w:tc>
        <w:tc>
          <w:tcPr>
            <w:tcW w:w="2127" w:type="dxa"/>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&lt;7</w:t>
            </w:r>
            <w:r>
              <w:rPr>
                <w:rFonts w:ascii="Times New Roman" w:hAnsi="Times New Roman" w:cs="Times New Roman"/>
                <w:sz w:val="22"/>
                <w:szCs w:val="22"/>
              </w:rPr>
              <w:t>3</w:t>
            </w:r>
          </w:p>
        </w:tc>
        <w:tc>
          <w:tcPr>
            <w:tcW w:w="1559" w:type="dxa"/>
            <w:vAlign w:val="center"/>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1</w:t>
            </w:r>
            <w:r>
              <w:rPr>
                <w:rFonts w:ascii="Times New Roman" w:hAnsi="Times New Roman" w:cs="Times New Roman"/>
                <w:sz w:val="22"/>
                <w:szCs w:val="22"/>
              </w:rPr>
              <w:t>26</w:t>
            </w:r>
          </w:p>
        </w:tc>
        <w:tc>
          <w:tcPr>
            <w:tcW w:w="1984" w:type="dxa"/>
            <w:vAlign w:val="center"/>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2</w:t>
            </w:r>
            <w:r>
              <w:rPr>
                <w:rFonts w:ascii="Times New Roman" w:hAnsi="Times New Roman" w:cs="Times New Roman"/>
                <w:sz w:val="22"/>
                <w:szCs w:val="22"/>
              </w:rPr>
              <w:t>56</w:t>
            </w:r>
          </w:p>
        </w:tc>
        <w:tc>
          <w:tcPr>
            <w:tcW w:w="1701" w:type="dxa"/>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1.00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Pr>
          <w:p>
            <w:pPr>
              <w:spacing w:line="384" w:lineRule="auto"/>
              <w:jc w:val="center"/>
              <w:rPr>
                <w:rFonts w:ascii="Times New Roman" w:hAnsi="Times New Roman" w:cs="Times New Roman"/>
                <w:sz w:val="22"/>
                <w:szCs w:val="22"/>
              </w:rPr>
            </w:pPr>
            <w:r>
              <w:rPr>
                <w:rFonts w:ascii="Times New Roman" w:hAnsi="Times New Roman" w:cs="Times New Roman"/>
                <w:sz w:val="22"/>
                <w:szCs w:val="22"/>
              </w:rPr>
              <w:t xml:space="preserve">75 to </w:t>
            </w:r>
            <w:r>
              <w:rPr>
                <w:rFonts w:hint="eastAsia" w:ascii="Times New Roman" w:hAnsi="Times New Roman" w:cs="Times New Roman"/>
                <w:sz w:val="22"/>
                <w:szCs w:val="22"/>
              </w:rPr>
              <w:t>&lt;</w:t>
            </w:r>
            <w:r>
              <w:rPr>
                <w:rFonts w:ascii="Times New Roman" w:hAnsi="Times New Roman" w:cs="Times New Roman"/>
                <w:sz w:val="22"/>
                <w:szCs w:val="22"/>
              </w:rPr>
              <w:t>98</w:t>
            </w:r>
          </w:p>
        </w:tc>
        <w:tc>
          <w:tcPr>
            <w:tcW w:w="1559" w:type="dxa"/>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2</w:t>
            </w:r>
            <w:r>
              <w:rPr>
                <w:rFonts w:ascii="Times New Roman" w:hAnsi="Times New Roman" w:cs="Times New Roman"/>
                <w:sz w:val="22"/>
                <w:szCs w:val="22"/>
              </w:rPr>
              <w:t>11</w:t>
            </w:r>
          </w:p>
        </w:tc>
        <w:tc>
          <w:tcPr>
            <w:tcW w:w="1984" w:type="dxa"/>
            <w:vAlign w:val="center"/>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1</w:t>
            </w:r>
            <w:r>
              <w:rPr>
                <w:rFonts w:ascii="Times New Roman" w:hAnsi="Times New Roman" w:cs="Times New Roman"/>
                <w:sz w:val="22"/>
                <w:szCs w:val="22"/>
              </w:rPr>
              <w:t>64</w:t>
            </w:r>
          </w:p>
        </w:tc>
        <w:tc>
          <w:tcPr>
            <w:tcW w:w="1701" w:type="dxa"/>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1</w:t>
            </w:r>
            <w:r>
              <w:rPr>
                <w:rFonts w:ascii="Times New Roman" w:hAnsi="Times New Roman" w:cs="Times New Roman"/>
                <w:sz w:val="22"/>
                <w:szCs w:val="22"/>
              </w:rPr>
              <w:t>.81 (1.23-2.66)</w:t>
            </w:r>
          </w:p>
        </w:tc>
        <w:tc>
          <w:tcPr>
            <w:tcW w:w="2127" w:type="dxa"/>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7</w:t>
            </w:r>
            <w:r>
              <w:rPr>
                <w:rFonts w:ascii="Times New Roman" w:hAnsi="Times New Roman" w:cs="Times New Roman"/>
                <w:sz w:val="22"/>
                <w:szCs w:val="22"/>
              </w:rPr>
              <w:t xml:space="preserve">3 to </w:t>
            </w:r>
            <w:r>
              <w:rPr>
                <w:rFonts w:hint="eastAsia" w:ascii="Times New Roman" w:hAnsi="Times New Roman" w:cs="Times New Roman"/>
                <w:sz w:val="22"/>
                <w:szCs w:val="22"/>
              </w:rPr>
              <w:t>&lt;</w:t>
            </w:r>
            <w:r>
              <w:rPr>
                <w:rFonts w:ascii="Times New Roman" w:hAnsi="Times New Roman" w:cs="Times New Roman"/>
                <w:sz w:val="22"/>
                <w:szCs w:val="22"/>
              </w:rPr>
              <w:t>97</w:t>
            </w:r>
          </w:p>
        </w:tc>
        <w:tc>
          <w:tcPr>
            <w:tcW w:w="1559" w:type="dxa"/>
            <w:vAlign w:val="center"/>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2</w:t>
            </w:r>
            <w:r>
              <w:rPr>
                <w:rFonts w:ascii="Times New Roman" w:hAnsi="Times New Roman" w:cs="Times New Roman"/>
                <w:sz w:val="22"/>
                <w:szCs w:val="22"/>
              </w:rPr>
              <w:t>38</w:t>
            </w:r>
          </w:p>
        </w:tc>
        <w:tc>
          <w:tcPr>
            <w:tcW w:w="1984" w:type="dxa"/>
            <w:vAlign w:val="center"/>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1</w:t>
            </w:r>
            <w:r>
              <w:rPr>
                <w:rFonts w:ascii="Times New Roman" w:hAnsi="Times New Roman" w:cs="Times New Roman"/>
                <w:sz w:val="22"/>
                <w:szCs w:val="22"/>
              </w:rPr>
              <w:t>48</w:t>
            </w:r>
          </w:p>
        </w:tc>
        <w:tc>
          <w:tcPr>
            <w:tcW w:w="1701" w:type="dxa"/>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2</w:t>
            </w:r>
            <w:r>
              <w:rPr>
                <w:rFonts w:ascii="Times New Roman" w:hAnsi="Times New Roman" w:cs="Times New Roman"/>
                <w:sz w:val="22"/>
                <w:szCs w:val="22"/>
              </w:rPr>
              <w:t>.84 (1.92-4.20)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Borders>
              <w:bottom w:val="nil"/>
            </w:tcBorders>
          </w:tcPr>
          <w:p>
            <w:pPr>
              <w:spacing w:line="384" w:lineRule="auto"/>
              <w:jc w:val="center"/>
              <w:rPr>
                <w:rFonts w:ascii="Times New Roman" w:hAnsi="Times New Roman" w:cs="Times New Roman"/>
                <w:sz w:val="22"/>
                <w:szCs w:val="22"/>
              </w:rPr>
            </w:pPr>
            <w:r>
              <w:rPr>
                <w:rFonts w:ascii="Times New Roman" w:hAnsi="Times New Roman" w:cs="Times New Roman"/>
                <w:sz w:val="22"/>
                <w:szCs w:val="22"/>
              </w:rPr>
              <w:t>≥98</w:t>
            </w:r>
          </w:p>
        </w:tc>
        <w:tc>
          <w:tcPr>
            <w:tcW w:w="1559" w:type="dxa"/>
            <w:tcBorders>
              <w:bottom w:val="nil"/>
            </w:tcBorders>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2</w:t>
            </w:r>
            <w:r>
              <w:rPr>
                <w:rFonts w:ascii="Times New Roman" w:hAnsi="Times New Roman" w:cs="Times New Roman"/>
                <w:sz w:val="22"/>
                <w:szCs w:val="22"/>
              </w:rPr>
              <w:t>19</w:t>
            </w:r>
          </w:p>
        </w:tc>
        <w:tc>
          <w:tcPr>
            <w:tcW w:w="1984" w:type="dxa"/>
            <w:tcBorders>
              <w:bottom w:val="nil"/>
            </w:tcBorders>
            <w:vAlign w:val="center"/>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1</w:t>
            </w:r>
            <w:r>
              <w:rPr>
                <w:rFonts w:ascii="Times New Roman" w:hAnsi="Times New Roman" w:cs="Times New Roman"/>
                <w:sz w:val="22"/>
                <w:szCs w:val="22"/>
              </w:rPr>
              <w:t>65</w:t>
            </w:r>
          </w:p>
        </w:tc>
        <w:tc>
          <w:tcPr>
            <w:tcW w:w="1701" w:type="dxa"/>
            <w:tcBorders>
              <w:bottom w:val="nil"/>
            </w:tcBorders>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4</w:t>
            </w:r>
            <w:r>
              <w:rPr>
                <w:rFonts w:ascii="Times New Roman" w:hAnsi="Times New Roman" w:cs="Times New Roman"/>
                <w:sz w:val="22"/>
                <w:szCs w:val="22"/>
              </w:rPr>
              <w:t>.98 (2.96-8.40)</w:t>
            </w:r>
          </w:p>
        </w:tc>
        <w:tc>
          <w:tcPr>
            <w:tcW w:w="2127" w:type="dxa"/>
            <w:tcBorders>
              <w:bottom w:val="nil"/>
            </w:tcBorders>
          </w:tcPr>
          <w:p>
            <w:pPr>
              <w:spacing w:line="384" w:lineRule="auto"/>
              <w:jc w:val="center"/>
              <w:rPr>
                <w:rFonts w:ascii="Times New Roman" w:hAnsi="Times New Roman" w:cs="Times New Roman"/>
                <w:sz w:val="22"/>
                <w:szCs w:val="22"/>
              </w:rPr>
            </w:pPr>
            <w:r>
              <w:rPr>
                <w:rFonts w:ascii="Times New Roman" w:hAnsi="Times New Roman" w:cs="Times New Roman"/>
                <w:sz w:val="22"/>
                <w:szCs w:val="22"/>
              </w:rPr>
              <w:t>≥97</w:t>
            </w:r>
          </w:p>
        </w:tc>
        <w:tc>
          <w:tcPr>
            <w:tcW w:w="1559" w:type="dxa"/>
            <w:tcBorders>
              <w:bottom w:val="nil"/>
            </w:tcBorders>
            <w:vAlign w:val="center"/>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2</w:t>
            </w:r>
            <w:r>
              <w:rPr>
                <w:rFonts w:ascii="Times New Roman" w:hAnsi="Times New Roman" w:cs="Times New Roman"/>
                <w:sz w:val="22"/>
                <w:szCs w:val="22"/>
              </w:rPr>
              <w:t>11</w:t>
            </w:r>
          </w:p>
        </w:tc>
        <w:tc>
          <w:tcPr>
            <w:tcW w:w="1984" w:type="dxa"/>
            <w:tcBorders>
              <w:bottom w:val="nil"/>
            </w:tcBorders>
            <w:vAlign w:val="center"/>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1</w:t>
            </w:r>
            <w:r>
              <w:rPr>
                <w:rFonts w:ascii="Times New Roman" w:hAnsi="Times New Roman" w:cs="Times New Roman"/>
                <w:sz w:val="22"/>
                <w:szCs w:val="22"/>
              </w:rPr>
              <w:t>71</w:t>
            </w:r>
          </w:p>
        </w:tc>
        <w:tc>
          <w:tcPr>
            <w:tcW w:w="1701" w:type="dxa"/>
            <w:tcBorders>
              <w:bottom w:val="nil"/>
            </w:tcBorders>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6</w:t>
            </w:r>
            <w:r>
              <w:rPr>
                <w:rFonts w:ascii="Times New Roman" w:hAnsi="Times New Roman" w:cs="Times New Roman"/>
                <w:sz w:val="22"/>
                <w:szCs w:val="22"/>
              </w:rPr>
              <w:t>.01 (3.50-10.34)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27" w:type="dxa"/>
            <w:tcBorders>
              <w:top w:val="nil"/>
              <w:bottom w:val="single" w:color="auto" w:sz="4" w:space="0"/>
            </w:tcBorders>
          </w:tcPr>
          <w:p>
            <w:pPr>
              <w:spacing w:line="384" w:lineRule="auto"/>
              <w:jc w:val="center"/>
              <w:rPr>
                <w:rFonts w:ascii="Times New Roman" w:hAnsi="Times New Roman" w:cs="Times New Roman"/>
                <w:sz w:val="22"/>
                <w:szCs w:val="22"/>
              </w:rPr>
            </w:pPr>
            <w:r>
              <w:rPr>
                <w:rFonts w:ascii="Times New Roman" w:hAnsi="Times New Roman" w:cs="Times New Roman"/>
                <w:sz w:val="22"/>
                <w:szCs w:val="22"/>
              </w:rPr>
              <w:t>Per 10 μg/m</w:t>
            </w:r>
            <w:r>
              <w:rPr>
                <w:rFonts w:ascii="Times New Roman" w:hAnsi="Times New Roman" w:cs="Times New Roman"/>
                <w:sz w:val="22"/>
                <w:szCs w:val="22"/>
                <w:vertAlign w:val="superscript"/>
              </w:rPr>
              <w:t xml:space="preserve">3 </w:t>
            </w:r>
            <w:r>
              <w:rPr>
                <w:rFonts w:ascii="Times New Roman" w:hAnsi="Times New Roman" w:cs="Times New Roman"/>
                <w:sz w:val="22"/>
                <w:szCs w:val="22"/>
              </w:rPr>
              <w:t>increase</w:t>
            </w:r>
          </w:p>
        </w:tc>
        <w:tc>
          <w:tcPr>
            <w:tcW w:w="1559" w:type="dxa"/>
            <w:tcBorders>
              <w:top w:val="nil"/>
              <w:bottom w:val="single" w:color="auto" w:sz="4" w:space="0"/>
            </w:tcBorders>
          </w:tcPr>
          <w:p>
            <w:pPr>
              <w:spacing w:line="384" w:lineRule="auto"/>
              <w:jc w:val="center"/>
              <w:rPr>
                <w:rFonts w:ascii="Times New Roman" w:hAnsi="Times New Roman" w:cs="Times New Roman"/>
                <w:sz w:val="22"/>
                <w:szCs w:val="22"/>
              </w:rPr>
            </w:pPr>
          </w:p>
        </w:tc>
        <w:tc>
          <w:tcPr>
            <w:tcW w:w="1984" w:type="dxa"/>
            <w:tcBorders>
              <w:top w:val="nil"/>
              <w:bottom w:val="single" w:color="auto" w:sz="4" w:space="0"/>
            </w:tcBorders>
            <w:vAlign w:val="center"/>
          </w:tcPr>
          <w:p>
            <w:pPr>
              <w:spacing w:line="384" w:lineRule="auto"/>
              <w:jc w:val="center"/>
              <w:rPr>
                <w:rFonts w:ascii="Times New Roman" w:hAnsi="Times New Roman" w:cs="Times New Roman"/>
                <w:sz w:val="22"/>
                <w:szCs w:val="22"/>
              </w:rPr>
            </w:pPr>
          </w:p>
        </w:tc>
        <w:tc>
          <w:tcPr>
            <w:tcW w:w="1701" w:type="dxa"/>
            <w:tcBorders>
              <w:top w:val="nil"/>
              <w:bottom w:val="single" w:color="auto" w:sz="4" w:space="0"/>
            </w:tcBorders>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1</w:t>
            </w:r>
            <w:r>
              <w:rPr>
                <w:rFonts w:ascii="Times New Roman" w:hAnsi="Times New Roman" w:cs="Times New Roman"/>
                <w:sz w:val="22"/>
                <w:szCs w:val="22"/>
              </w:rPr>
              <w:t>.19 (1.08-131)</w:t>
            </w:r>
          </w:p>
        </w:tc>
        <w:tc>
          <w:tcPr>
            <w:tcW w:w="2127" w:type="dxa"/>
            <w:tcBorders>
              <w:top w:val="nil"/>
              <w:bottom w:val="single" w:color="auto" w:sz="4" w:space="0"/>
            </w:tcBorders>
          </w:tcPr>
          <w:p>
            <w:pPr>
              <w:spacing w:line="384" w:lineRule="auto"/>
              <w:jc w:val="center"/>
              <w:rPr>
                <w:rFonts w:ascii="Times New Roman" w:hAnsi="Times New Roman" w:cs="Times New Roman"/>
                <w:sz w:val="22"/>
                <w:szCs w:val="22"/>
              </w:rPr>
            </w:pPr>
            <w:r>
              <w:rPr>
                <w:rFonts w:ascii="Times New Roman" w:hAnsi="Times New Roman" w:cs="Times New Roman"/>
                <w:sz w:val="22"/>
                <w:szCs w:val="22"/>
              </w:rPr>
              <w:t>Per 10 μg/m</w:t>
            </w:r>
            <w:r>
              <w:rPr>
                <w:rFonts w:ascii="Times New Roman" w:hAnsi="Times New Roman" w:cs="Times New Roman"/>
                <w:sz w:val="22"/>
                <w:szCs w:val="22"/>
                <w:vertAlign w:val="superscript"/>
              </w:rPr>
              <w:t xml:space="preserve">3 </w:t>
            </w:r>
            <w:r>
              <w:rPr>
                <w:rFonts w:ascii="Times New Roman" w:hAnsi="Times New Roman" w:cs="Times New Roman"/>
                <w:sz w:val="22"/>
                <w:szCs w:val="22"/>
              </w:rPr>
              <w:t>increase</w:t>
            </w:r>
          </w:p>
        </w:tc>
        <w:tc>
          <w:tcPr>
            <w:tcW w:w="1559" w:type="dxa"/>
            <w:tcBorders>
              <w:top w:val="nil"/>
              <w:bottom w:val="single" w:color="auto" w:sz="4" w:space="0"/>
            </w:tcBorders>
            <w:vAlign w:val="center"/>
          </w:tcPr>
          <w:p>
            <w:pPr>
              <w:spacing w:line="384" w:lineRule="auto"/>
              <w:jc w:val="center"/>
              <w:rPr>
                <w:rFonts w:ascii="Times New Roman" w:hAnsi="Times New Roman" w:cs="Times New Roman"/>
                <w:sz w:val="22"/>
                <w:szCs w:val="22"/>
              </w:rPr>
            </w:pPr>
          </w:p>
        </w:tc>
        <w:tc>
          <w:tcPr>
            <w:tcW w:w="1984" w:type="dxa"/>
            <w:tcBorders>
              <w:top w:val="nil"/>
              <w:bottom w:val="single" w:color="auto" w:sz="4" w:space="0"/>
            </w:tcBorders>
            <w:vAlign w:val="center"/>
          </w:tcPr>
          <w:p>
            <w:pPr>
              <w:spacing w:line="384" w:lineRule="auto"/>
              <w:jc w:val="center"/>
              <w:rPr>
                <w:rFonts w:ascii="Times New Roman" w:hAnsi="Times New Roman" w:cs="Times New Roman"/>
                <w:sz w:val="22"/>
                <w:szCs w:val="22"/>
              </w:rPr>
            </w:pPr>
          </w:p>
        </w:tc>
        <w:tc>
          <w:tcPr>
            <w:tcW w:w="1701" w:type="dxa"/>
            <w:tcBorders>
              <w:top w:val="nil"/>
              <w:bottom w:val="single" w:color="auto" w:sz="4" w:space="0"/>
            </w:tcBorders>
          </w:tcPr>
          <w:p>
            <w:pPr>
              <w:spacing w:line="384" w:lineRule="auto"/>
              <w:jc w:val="center"/>
              <w:rPr>
                <w:rFonts w:ascii="Times New Roman" w:hAnsi="Times New Roman" w:cs="Times New Roman"/>
                <w:sz w:val="22"/>
                <w:szCs w:val="22"/>
              </w:rPr>
            </w:pPr>
            <w:r>
              <w:rPr>
                <w:rFonts w:hint="eastAsia" w:ascii="Times New Roman" w:hAnsi="Times New Roman" w:cs="Times New Roman"/>
                <w:sz w:val="22"/>
                <w:szCs w:val="22"/>
              </w:rPr>
              <w:t>1</w:t>
            </w:r>
            <w:r>
              <w:rPr>
                <w:rFonts w:ascii="Times New Roman" w:hAnsi="Times New Roman" w:cs="Times New Roman"/>
                <w:sz w:val="22"/>
                <w:szCs w:val="22"/>
              </w:rPr>
              <w:t>.17 (1.06-1.28)</w:t>
            </w:r>
          </w:p>
        </w:tc>
      </w:tr>
    </w:tbl>
    <w:p>
      <w:pPr>
        <w:spacing w:line="396" w:lineRule="auto"/>
        <w:rPr>
          <w:rFonts w:ascii="Times New Roman" w:hAnsi="Times New Roman" w:cs="Times New Roman"/>
          <w:sz w:val="22"/>
          <w:szCs w:val="22"/>
        </w:rPr>
      </w:pPr>
      <w:r>
        <w:rPr>
          <w:rFonts w:hint="eastAsia" w:ascii="Times New Roman" w:hAnsi="Times New Roman" w:cs="Times New Roman"/>
          <w:sz w:val="22"/>
          <w:szCs w:val="22"/>
        </w:rPr>
        <w:t>A</w:t>
      </w:r>
      <w:r>
        <w:rPr>
          <w:rFonts w:ascii="Times New Roman" w:hAnsi="Times New Roman" w:cs="Times New Roman"/>
          <w:sz w:val="22"/>
          <w:szCs w:val="22"/>
        </w:rPr>
        <w:t>bbreviations: CI: confidence intervals, OR: odds ratio, PM10: particulate matter with an aerodynamic diameter ≤ 10 μm.</w:t>
      </w:r>
    </w:p>
    <w:p>
      <w:pPr>
        <w:spacing w:line="396" w:lineRule="auto"/>
        <w:rPr>
          <w:rFonts w:ascii="Times New Roman" w:hAnsi="Times New Roman" w:cs="Times New Roman"/>
          <w:sz w:val="22"/>
          <w:szCs w:val="22"/>
        </w:rPr>
      </w:pPr>
      <w:r>
        <w:rPr>
          <w:rFonts w:ascii="Times New Roman" w:hAnsi="Times New Roman" w:cs="Times New Roman"/>
          <w:sz w:val="22"/>
          <w:szCs w:val="22"/>
          <w:vertAlign w:val="superscript"/>
        </w:rPr>
        <w:t>a</w:t>
      </w:r>
      <w:r>
        <w:rPr>
          <w:rFonts w:ascii="Times New Roman" w:hAnsi="Times New Roman" w:cs="Times New Roman"/>
          <w:sz w:val="22"/>
          <w:szCs w:val="22"/>
        </w:rPr>
        <w:t xml:space="preserve"> PM10 levels (μg/m³) are based on 24 h average measurements, which are then averaged over different periods of pregnancy and analyzed in tertiles (determined from controls).</w:t>
      </w:r>
    </w:p>
    <w:p>
      <w:pPr>
        <w:spacing w:line="396" w:lineRule="auto"/>
        <w:rPr>
          <w:rFonts w:ascii="Times New Roman" w:hAnsi="Times New Roman" w:cs="Times New Roman"/>
          <w:sz w:val="22"/>
          <w:szCs w:val="22"/>
        </w:rPr>
      </w:pPr>
      <w:r>
        <w:rPr>
          <w:rFonts w:ascii="Times New Roman" w:hAnsi="Times New Roman" w:cs="Times New Roman"/>
          <w:sz w:val="22"/>
          <w:szCs w:val="22"/>
          <w:vertAlign w:val="superscript"/>
        </w:rPr>
        <w:t xml:space="preserve">b </w:t>
      </w:r>
      <w:r>
        <w:rPr>
          <w:rFonts w:ascii="Times New Roman" w:hAnsi="Times New Roman" w:cs="Times New Roman"/>
          <w:sz w:val="22"/>
          <w:szCs w:val="22"/>
        </w:rPr>
        <w:t>The analysis was matched on maternal age, maternal education, parity, sex of infant, and season of conception. Additional adjustment was made for sulfur dioxide and nitrogen dioxide exposure levels during the same period.</w:t>
      </w:r>
    </w:p>
    <w:p>
      <w:pPr>
        <w:rPr>
          <w:sz w:val="22"/>
          <w:szCs w:val="22"/>
        </w:rPr>
      </w:pPr>
    </w:p>
    <w:p>
      <w:pPr>
        <w:rPr>
          <w:sz w:val="22"/>
          <w:szCs w:val="22"/>
        </w:rPr>
        <w:sectPr>
          <w:pgSz w:w="16838" w:h="11906" w:orient="landscape"/>
          <w:pgMar w:top="1800" w:right="1440" w:bottom="1800" w:left="1440" w:header="851" w:footer="992" w:gutter="0"/>
          <w:cols w:space="425" w:num="1"/>
          <w:docGrid w:type="lines" w:linePitch="312" w:charSpace="0"/>
        </w:sectPr>
      </w:pPr>
    </w:p>
    <w:p>
      <w:pPr>
        <w:keepNext w:val="0"/>
        <w:keepLines w:val="0"/>
        <w:widowControl/>
        <w:suppressLineNumbers w:val="0"/>
        <w:jc w:val="left"/>
        <w:rPr>
          <w:rFonts w:hint="default" w:ascii="Times New Roman" w:hAnsi="Times New Roman" w:cs="Times New Roman"/>
          <w:b/>
          <w:bCs/>
          <w:sz w:val="22"/>
          <w:szCs w:val="22"/>
        </w:rPr>
      </w:pPr>
      <w:r>
        <w:rPr>
          <w:rFonts w:hint="default" w:ascii="Times New Roman" w:hAnsi="Times New Roman" w:cs="Times New Roman"/>
          <w:b/>
          <w:bCs/>
          <w:sz w:val="22"/>
          <w:szCs w:val="22"/>
          <w:lang w:val="en-US" w:eastAsia="zh-CN"/>
        </w:rPr>
        <w:t xml:space="preserve">Supplementary Figure 1. </w:t>
      </w:r>
      <w:r>
        <w:rPr>
          <w:rFonts w:hint="default" w:ascii="Times New Roman" w:hAnsi="Times New Roman" w:eastAsia="宋体" w:cs="Times New Roman"/>
          <w:b/>
          <w:bCs/>
          <w:color w:val="000000"/>
          <w:kern w:val="0"/>
          <w:sz w:val="22"/>
          <w:szCs w:val="22"/>
          <w:lang w:val="en-US" w:eastAsia="zh-CN" w:bidi="ar"/>
        </w:rPr>
        <w:t>Monthly mean PM</w:t>
      </w:r>
      <w:r>
        <w:rPr>
          <w:rFonts w:hint="default" w:ascii="Times New Roman" w:hAnsi="Times New Roman" w:eastAsia="宋体" w:cs="Times New Roman"/>
          <w:b/>
          <w:bCs/>
          <w:color w:val="000000"/>
          <w:kern w:val="0"/>
          <w:sz w:val="22"/>
          <w:szCs w:val="22"/>
          <w:vertAlign w:val="subscript"/>
          <w:lang w:val="en-US" w:eastAsia="zh-CN" w:bidi="ar"/>
        </w:rPr>
        <w:t>10</w:t>
      </w:r>
      <w:r>
        <w:rPr>
          <w:rFonts w:hint="default" w:ascii="Times New Roman" w:hAnsi="Times New Roman" w:eastAsia="宋体" w:cs="Times New Roman"/>
          <w:b/>
          <w:bCs/>
          <w:color w:val="000000"/>
          <w:kern w:val="0"/>
          <w:sz w:val="22"/>
          <w:szCs w:val="22"/>
          <w:lang w:val="en-US" w:eastAsia="zh-CN" w:bidi="ar"/>
        </w:rPr>
        <w:t xml:space="preserve"> levels in 14 cities in Liaoning Province, </w:t>
      </w:r>
    </w:p>
    <w:p>
      <w:pPr>
        <w:keepNext w:val="0"/>
        <w:keepLines w:val="0"/>
        <w:widowControl/>
        <w:suppressLineNumbers w:val="0"/>
        <w:jc w:val="left"/>
        <w:rPr>
          <w:rFonts w:hint="default" w:eastAsiaTheme="minorEastAsia"/>
          <w:sz w:val="22"/>
          <w:szCs w:val="22"/>
          <w:lang w:val="en-US" w:eastAsia="zh-CN"/>
        </w:rPr>
      </w:pPr>
      <w:r>
        <w:rPr>
          <w:rFonts w:hint="default" w:ascii="Times New Roman" w:hAnsi="Times New Roman" w:eastAsia="宋体" w:cs="Times New Roman"/>
          <w:b/>
          <w:bCs/>
          <w:color w:val="000000"/>
          <w:kern w:val="0"/>
          <w:sz w:val="22"/>
          <w:szCs w:val="22"/>
          <w:lang w:val="en-US" w:eastAsia="zh-CN" w:bidi="ar"/>
        </w:rPr>
        <w:t>China, during 2010-2015.</w:t>
      </w:r>
      <w:bookmarkStart w:id="0" w:name="_GoBack"/>
      <w:bookmarkEnd w:id="0"/>
    </w:p>
    <w:p>
      <w:pPr>
        <w:rPr>
          <w:rFonts w:hint="eastAsia" w:eastAsiaTheme="minorEastAsia"/>
          <w:sz w:val="22"/>
          <w:szCs w:val="22"/>
          <w:lang w:eastAsia="zh-CN"/>
        </w:rPr>
      </w:pPr>
      <w:r>
        <w:rPr>
          <w:rFonts w:hint="eastAsia" w:eastAsiaTheme="minorEastAsia"/>
          <w:sz w:val="22"/>
          <w:szCs w:val="22"/>
          <w:lang w:eastAsia="zh-CN"/>
        </w:rPr>
        <w:drawing>
          <wp:inline distT="0" distB="0" distL="114300" distR="114300">
            <wp:extent cx="5273040" cy="8051165"/>
            <wp:effectExtent l="0" t="0" r="3810" b="6985"/>
            <wp:docPr id="2" name="图片 2" descr="supplementary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upplementary Figure 1"/>
                    <pic:cNvPicPr>
                      <a:picLocks noChangeAspect="1"/>
                    </pic:cNvPicPr>
                  </pic:nvPicPr>
                  <pic:blipFill>
                    <a:blip r:embed="rId5"/>
                    <a:stretch>
                      <a:fillRect/>
                    </a:stretch>
                  </pic:blipFill>
                  <pic:spPr>
                    <a:xfrm>
                      <a:off x="0" y="0"/>
                      <a:ext cx="5273040" cy="805116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4E19"/>
    <w:rsid w:val="00286925"/>
    <w:rsid w:val="00395C05"/>
    <w:rsid w:val="003C4100"/>
    <w:rsid w:val="00476575"/>
    <w:rsid w:val="00542D8E"/>
    <w:rsid w:val="0068232B"/>
    <w:rsid w:val="00746FB1"/>
    <w:rsid w:val="00814E19"/>
    <w:rsid w:val="008C1FB3"/>
    <w:rsid w:val="00A817E1"/>
    <w:rsid w:val="00A860AE"/>
    <w:rsid w:val="00AE2B42"/>
    <w:rsid w:val="00B06F20"/>
    <w:rsid w:val="00B22700"/>
    <w:rsid w:val="0F63387F"/>
    <w:rsid w:val="2BF97EFC"/>
    <w:rsid w:val="2EB41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0"/>
    <w:unhideWhenUsed/>
    <w:qFormat/>
    <w:uiPriority w:val="99"/>
    <w:pPr>
      <w:jc w:val="left"/>
    </w:pPr>
    <w:rPr>
      <w:szCs w:val="24"/>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文字 Char"/>
    <w:basedOn w:val="7"/>
    <w:link w:val="2"/>
    <w:uiPriority w:val="99"/>
    <w:rPr>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104</Words>
  <Characters>597</Characters>
  <Lines>4</Lines>
  <Paragraphs>1</Paragraphs>
  <TotalTime>2</TotalTime>
  <ScaleCrop>false</ScaleCrop>
  <LinksUpToDate>false</LinksUpToDate>
  <CharactersWithSpaces>700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2020-10-18T13:59:00Z</dcterms:created>
  <dc:creator>Jiang</dc:creator>
  <cp:lastModifiedBy>张铁凝</cp:lastModifiedBy>
  <dcterms:modified xsi:type="dcterms:W3CDTF">2020-11-22T02:20:09Z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