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ECE6" w14:textId="77777777" w:rsidR="00896A4D" w:rsidRPr="0043712A" w:rsidRDefault="00896A4D" w:rsidP="00896A4D">
      <w:pPr>
        <w:ind w:firstLine="0"/>
        <w:rPr>
          <w:b/>
          <w:bCs/>
          <w:color w:val="000000" w:themeColor="text1"/>
        </w:rPr>
      </w:pPr>
      <w:r w:rsidRPr="0043712A">
        <w:rPr>
          <w:b/>
          <w:bCs/>
          <w:color w:val="000000" w:themeColor="text1"/>
        </w:rPr>
        <w:t>Supplementary</w:t>
      </w:r>
      <w:r w:rsidRPr="0043712A">
        <w:rPr>
          <w:rFonts w:hint="eastAsia"/>
          <w:b/>
          <w:bCs/>
          <w:color w:val="000000" w:themeColor="text1"/>
        </w:rPr>
        <w:t xml:space="preserve"> Figures</w:t>
      </w:r>
    </w:p>
    <w:p w14:paraId="1F7701DB" w14:textId="77777777" w:rsidR="00896A4D" w:rsidRPr="00B45A7C" w:rsidRDefault="00896A4D" w:rsidP="00896A4D">
      <w:pPr>
        <w:ind w:firstLine="0"/>
        <w:rPr>
          <w:color w:val="000000" w:themeColor="text1"/>
        </w:rPr>
      </w:pPr>
      <w:r>
        <w:rPr>
          <w:noProof/>
          <w:color w:val="000000" w:themeColor="text1"/>
        </w:rPr>
        <w:drawing>
          <wp:inline distT="0" distB="0" distL="0" distR="0" wp14:anchorId="093711EF" wp14:editId="20B7A6AA">
            <wp:extent cx="5276850" cy="4895850"/>
            <wp:effectExtent l="0" t="0" r="0" b="0"/>
            <wp:docPr id="1354976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6850" cy="4895850"/>
                    </a:xfrm>
                    <a:prstGeom prst="rect">
                      <a:avLst/>
                    </a:prstGeom>
                    <a:noFill/>
                    <a:ln>
                      <a:noFill/>
                    </a:ln>
                  </pic:spPr>
                </pic:pic>
              </a:graphicData>
            </a:graphic>
          </wp:inline>
        </w:drawing>
      </w:r>
    </w:p>
    <w:p w14:paraId="338F0148" w14:textId="77777777" w:rsidR="00896A4D" w:rsidRPr="00B45A7C" w:rsidRDefault="00896A4D" w:rsidP="00896A4D">
      <w:pPr>
        <w:ind w:firstLine="0"/>
        <w:rPr>
          <w:color w:val="000000" w:themeColor="text1"/>
        </w:rPr>
      </w:pPr>
      <w:r w:rsidRPr="00B45A7C">
        <w:rPr>
          <w:rFonts w:hint="eastAsia"/>
          <w:color w:val="000000" w:themeColor="text1"/>
        </w:rPr>
        <w:t>F</w:t>
      </w:r>
      <w:r w:rsidRPr="00B45A7C">
        <w:rPr>
          <w:color w:val="000000" w:themeColor="text1"/>
        </w:rPr>
        <w:t xml:space="preserve">igure S1: The association between antitumor genes and protumor genes. (A) The expressions of almost all antitumor genes were positively related. (B) The expressions of almost all protumor genes were positively related. (C) The expressions of antitumor genes were negatively related to the expressions of protumor genes. (D) The antitumor scores were negatively associated with the protumor scores. </w:t>
      </w:r>
    </w:p>
    <w:p w14:paraId="1030EF04" w14:textId="77777777" w:rsidR="00896A4D" w:rsidRPr="00B45A7C" w:rsidRDefault="00896A4D" w:rsidP="00896A4D">
      <w:pPr>
        <w:rPr>
          <w:color w:val="000000" w:themeColor="text1"/>
        </w:rPr>
      </w:pPr>
      <w:r>
        <w:rPr>
          <w:noProof/>
          <w:color w:val="000000" w:themeColor="text1"/>
        </w:rPr>
        <w:lastRenderedPageBreak/>
        <w:drawing>
          <wp:inline distT="0" distB="0" distL="0" distR="0" wp14:anchorId="40817B02" wp14:editId="4258DEDB">
            <wp:extent cx="5270500" cy="5143500"/>
            <wp:effectExtent l="0" t="0" r="6350" b="0"/>
            <wp:docPr id="39391027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0500" cy="5143500"/>
                    </a:xfrm>
                    <a:prstGeom prst="rect">
                      <a:avLst/>
                    </a:prstGeom>
                    <a:noFill/>
                    <a:ln>
                      <a:noFill/>
                    </a:ln>
                  </pic:spPr>
                </pic:pic>
              </a:graphicData>
            </a:graphic>
          </wp:inline>
        </w:drawing>
      </w:r>
    </w:p>
    <w:p w14:paraId="404E2759" w14:textId="77777777" w:rsidR="00896A4D" w:rsidRPr="00B45A7C" w:rsidRDefault="00896A4D" w:rsidP="00896A4D">
      <w:pPr>
        <w:ind w:firstLine="0"/>
        <w:rPr>
          <w:color w:val="000000" w:themeColor="text1"/>
        </w:rPr>
      </w:pPr>
      <w:r w:rsidRPr="00B45A7C">
        <w:rPr>
          <w:rFonts w:hint="eastAsia"/>
          <w:color w:val="000000" w:themeColor="text1"/>
        </w:rPr>
        <w:t>F</w:t>
      </w:r>
      <w:r w:rsidRPr="00B45A7C">
        <w:rPr>
          <w:color w:val="000000" w:themeColor="text1"/>
        </w:rPr>
        <w:t xml:space="preserve">igure S2: The consensus clustering matrix plots. </w:t>
      </w:r>
    </w:p>
    <w:p w14:paraId="11485255" w14:textId="77777777" w:rsidR="00896A4D" w:rsidRPr="00B45A7C" w:rsidRDefault="00896A4D" w:rsidP="00896A4D">
      <w:pPr>
        <w:rPr>
          <w:color w:val="000000" w:themeColor="text1"/>
        </w:rPr>
      </w:pPr>
      <w:r>
        <w:rPr>
          <w:noProof/>
          <w:color w:val="000000" w:themeColor="text1"/>
        </w:rPr>
        <w:lastRenderedPageBreak/>
        <w:drawing>
          <wp:inline distT="0" distB="0" distL="0" distR="0" wp14:anchorId="666A5D4F" wp14:editId="198A932B">
            <wp:extent cx="4508500" cy="8851900"/>
            <wp:effectExtent l="0" t="0" r="6350" b="6350"/>
            <wp:docPr id="40718314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08500" cy="8851900"/>
                    </a:xfrm>
                    <a:prstGeom prst="rect">
                      <a:avLst/>
                    </a:prstGeom>
                    <a:noFill/>
                    <a:ln>
                      <a:noFill/>
                    </a:ln>
                  </pic:spPr>
                </pic:pic>
              </a:graphicData>
            </a:graphic>
          </wp:inline>
        </w:drawing>
      </w:r>
      <w:r>
        <w:rPr>
          <w:noProof/>
          <w:color w:val="000000" w:themeColor="text1"/>
        </w:rPr>
        <w:lastRenderedPageBreak/>
        <w:drawing>
          <wp:inline distT="0" distB="0" distL="0" distR="0" wp14:anchorId="743C8893" wp14:editId="515052D5">
            <wp:extent cx="5270500" cy="4311650"/>
            <wp:effectExtent l="0" t="0" r="6350" b="0"/>
            <wp:docPr id="840873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4311650"/>
                    </a:xfrm>
                    <a:prstGeom prst="rect">
                      <a:avLst/>
                    </a:prstGeom>
                    <a:noFill/>
                    <a:ln>
                      <a:noFill/>
                    </a:ln>
                  </pic:spPr>
                </pic:pic>
              </a:graphicData>
            </a:graphic>
          </wp:inline>
        </w:drawing>
      </w:r>
    </w:p>
    <w:p w14:paraId="1E8B47EB" w14:textId="77777777" w:rsidR="00896A4D" w:rsidRPr="00B45A7C" w:rsidRDefault="00896A4D" w:rsidP="00896A4D">
      <w:pPr>
        <w:ind w:firstLine="0"/>
        <w:rPr>
          <w:color w:val="000000" w:themeColor="text1"/>
        </w:rPr>
      </w:pPr>
      <w:r w:rsidRPr="00B45A7C">
        <w:rPr>
          <w:rFonts w:hint="eastAsia"/>
          <w:color w:val="000000" w:themeColor="text1"/>
        </w:rPr>
        <w:t>F</w:t>
      </w:r>
      <w:r w:rsidRPr="00B45A7C">
        <w:rPr>
          <w:color w:val="000000" w:themeColor="text1"/>
        </w:rPr>
        <w:t>igure S3: The bio-functional analyses based on downregulated DEGs in TCGA CRC cohort. (A) The enrichKEGG analysis. (B) The molecular function (MF) of enrichGO</w:t>
      </w:r>
      <w:r>
        <w:rPr>
          <w:rFonts w:hint="eastAsia"/>
          <w:color w:val="000000" w:themeColor="text1"/>
        </w:rPr>
        <w:t xml:space="preserve"> </w:t>
      </w:r>
      <w:r w:rsidRPr="00B45A7C">
        <w:rPr>
          <w:color w:val="000000" w:themeColor="text1"/>
        </w:rPr>
        <w:t>analysis. (C) The biological processes (BP) of enrichGO analysis.</w:t>
      </w:r>
    </w:p>
    <w:p w14:paraId="6052CF52" w14:textId="77777777" w:rsidR="00896A4D" w:rsidRPr="00B45A7C" w:rsidRDefault="00896A4D" w:rsidP="00896A4D">
      <w:pPr>
        <w:rPr>
          <w:color w:val="000000" w:themeColor="text1"/>
        </w:rPr>
      </w:pPr>
      <w:r>
        <w:rPr>
          <w:noProof/>
          <w:color w:val="000000" w:themeColor="text1"/>
        </w:rPr>
        <w:lastRenderedPageBreak/>
        <w:drawing>
          <wp:anchor distT="0" distB="0" distL="114300" distR="114300" simplePos="0" relativeHeight="251659264" behindDoc="1" locked="0" layoutInCell="1" allowOverlap="1" wp14:anchorId="118690B8" wp14:editId="726AA66D">
            <wp:simplePos x="0" y="0"/>
            <wp:positionH relativeFrom="column">
              <wp:posOffset>406400</wp:posOffset>
            </wp:positionH>
            <wp:positionV relativeFrom="paragraph">
              <wp:posOffset>109855</wp:posOffset>
            </wp:positionV>
            <wp:extent cx="4400550" cy="8639810"/>
            <wp:effectExtent l="0" t="0" r="0" b="8890"/>
            <wp:wrapTight wrapText="bothSides">
              <wp:wrapPolygon edited="0">
                <wp:start x="0" y="0"/>
                <wp:lineTo x="0" y="21575"/>
                <wp:lineTo x="21506" y="21575"/>
                <wp:lineTo x="21506" y="0"/>
                <wp:lineTo x="0" y="0"/>
              </wp:wrapPolygon>
            </wp:wrapTight>
            <wp:docPr id="2123317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0550" cy="8639810"/>
                    </a:xfrm>
                    <a:prstGeom prst="rect">
                      <a:avLst/>
                    </a:prstGeom>
                    <a:noFill/>
                    <a:ln>
                      <a:noFill/>
                    </a:ln>
                  </pic:spPr>
                </pic:pic>
              </a:graphicData>
            </a:graphic>
          </wp:anchor>
        </w:drawing>
      </w:r>
      <w:r>
        <w:rPr>
          <w:noProof/>
          <w:color w:val="000000" w:themeColor="text1"/>
        </w:rPr>
        <w:drawing>
          <wp:inline distT="0" distB="0" distL="0" distR="0" wp14:anchorId="007F9DA9" wp14:editId="3AD00BD3">
            <wp:extent cx="4540250" cy="8858250"/>
            <wp:effectExtent l="0" t="0" r="0" b="0"/>
            <wp:docPr id="474207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250" cy="8858250"/>
                    </a:xfrm>
                    <a:prstGeom prst="rect">
                      <a:avLst/>
                    </a:prstGeom>
                    <a:noFill/>
                    <a:ln>
                      <a:noFill/>
                    </a:ln>
                  </pic:spPr>
                </pic:pic>
              </a:graphicData>
            </a:graphic>
          </wp:inline>
        </w:drawing>
      </w:r>
    </w:p>
    <w:p w14:paraId="63E86B88" w14:textId="77777777" w:rsidR="00896A4D" w:rsidRPr="00B45A7C" w:rsidRDefault="00896A4D" w:rsidP="00896A4D">
      <w:pPr>
        <w:ind w:firstLine="0"/>
        <w:rPr>
          <w:color w:val="000000" w:themeColor="text1"/>
        </w:rPr>
      </w:pPr>
      <w:r w:rsidRPr="00B45A7C">
        <w:rPr>
          <w:rFonts w:hint="eastAsia"/>
          <w:color w:val="000000" w:themeColor="text1"/>
        </w:rPr>
        <w:lastRenderedPageBreak/>
        <w:t>F</w:t>
      </w:r>
      <w:r w:rsidRPr="00B45A7C">
        <w:rPr>
          <w:color w:val="000000" w:themeColor="text1"/>
        </w:rPr>
        <w:t xml:space="preserve">igure S4: The different expression of ACTA2, TAGLN, TPM2, MYL9, and CNN1 among adjacent normal, early-stage tumor, and advanced-stage tumor tissues. The survival analyses of these genes. (A) The expression of ACTA2 was largest in adjacent normal tissues, followed by the expression in early-stage tumor, and advanced-stage tumor tissues. The low-expression group had better DSS than the high-expression group. (B) The expression of TAGLN was largest in adjacent normal tissues, followed by the expression in early-stage tumor, and advanced-stage tumor tissues. The low-expression group had better OS and DSS than the high-expression group. (C) The expression of TPM2 was largest in adjacent normal tissues, followed by the expression in early-stage tumor, and advanced-stage tumor tissues. The low-expression group had better OS and DSS than the high-expression group. (D) The expression of MYL9 was largest in adjacent normal tissues, followed by the expression in early-stage tumor, and advanced-stage tumor tissues. The low-expression group had better OS and DSS than the high-expression group. (E) The expression of CNN1 was largest in adjacent normal tissues, followed by the expression in early-stage tumor, and advanced-stage tumor tissues. The low-expression group had better OS and DSS than the high-expression group. * represents </w:t>
      </w:r>
      <w:r w:rsidRPr="00B45A7C">
        <w:rPr>
          <w:i/>
          <w:iCs/>
          <w:color w:val="000000" w:themeColor="text1"/>
        </w:rPr>
        <w:t>p</w:t>
      </w:r>
      <w:r w:rsidRPr="00B45A7C">
        <w:rPr>
          <w:color w:val="000000" w:themeColor="text1"/>
        </w:rPr>
        <w:t xml:space="preserve">&lt;0.05, ** represents </w:t>
      </w:r>
      <w:r w:rsidRPr="00B45A7C">
        <w:rPr>
          <w:i/>
          <w:iCs/>
          <w:color w:val="000000" w:themeColor="text1"/>
        </w:rPr>
        <w:t>p</w:t>
      </w:r>
      <w:r w:rsidRPr="00B45A7C">
        <w:rPr>
          <w:color w:val="000000" w:themeColor="text1"/>
        </w:rPr>
        <w:t xml:space="preserve">&lt;0.01, *** represents </w:t>
      </w:r>
      <w:r w:rsidRPr="00B45A7C">
        <w:rPr>
          <w:i/>
          <w:iCs/>
          <w:color w:val="000000" w:themeColor="text1"/>
        </w:rPr>
        <w:t>p</w:t>
      </w:r>
      <w:r w:rsidRPr="00B45A7C">
        <w:rPr>
          <w:color w:val="000000" w:themeColor="text1"/>
        </w:rPr>
        <w:t xml:space="preserve">&lt;0.001, **** represents </w:t>
      </w:r>
      <w:r w:rsidRPr="00B45A7C">
        <w:rPr>
          <w:i/>
          <w:iCs/>
          <w:color w:val="000000" w:themeColor="text1"/>
        </w:rPr>
        <w:t>p</w:t>
      </w:r>
      <w:r w:rsidRPr="00B45A7C">
        <w:rPr>
          <w:color w:val="000000" w:themeColor="text1"/>
        </w:rPr>
        <w:t>&lt;0.0001.</w:t>
      </w:r>
    </w:p>
    <w:p w14:paraId="66722C14" w14:textId="77777777" w:rsidR="00896A4D" w:rsidRPr="00B45A7C" w:rsidRDefault="00896A4D" w:rsidP="00896A4D">
      <w:pPr>
        <w:rPr>
          <w:color w:val="000000" w:themeColor="text1"/>
        </w:rPr>
      </w:pPr>
    </w:p>
    <w:p w14:paraId="4511D5C7" w14:textId="77777777" w:rsidR="00896A4D" w:rsidRPr="00B45A7C" w:rsidRDefault="00896A4D" w:rsidP="00896A4D">
      <w:pPr>
        <w:ind w:firstLine="0"/>
        <w:rPr>
          <w:color w:val="000000" w:themeColor="text1"/>
        </w:rPr>
      </w:pPr>
      <w:r>
        <w:rPr>
          <w:noProof/>
          <w:color w:val="000000" w:themeColor="text1"/>
        </w:rPr>
        <w:lastRenderedPageBreak/>
        <w:drawing>
          <wp:anchor distT="0" distB="0" distL="114300" distR="114300" simplePos="0" relativeHeight="251660288" behindDoc="1" locked="0" layoutInCell="1" allowOverlap="1" wp14:anchorId="5A6276AB" wp14:editId="0E6F5B56">
            <wp:simplePos x="0" y="0"/>
            <wp:positionH relativeFrom="column">
              <wp:posOffset>336550</wp:posOffset>
            </wp:positionH>
            <wp:positionV relativeFrom="paragraph">
              <wp:posOffset>1905</wp:posOffset>
            </wp:positionV>
            <wp:extent cx="4540250" cy="8858250"/>
            <wp:effectExtent l="0" t="0" r="0" b="0"/>
            <wp:wrapTight wrapText="bothSides">
              <wp:wrapPolygon edited="0">
                <wp:start x="0" y="0"/>
                <wp:lineTo x="0" y="21554"/>
                <wp:lineTo x="21479" y="21554"/>
                <wp:lineTo x="21479" y="0"/>
                <wp:lineTo x="0" y="0"/>
              </wp:wrapPolygon>
            </wp:wrapTight>
            <wp:docPr id="15141217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250" cy="8858250"/>
                    </a:xfrm>
                    <a:prstGeom prst="rect">
                      <a:avLst/>
                    </a:prstGeom>
                    <a:noFill/>
                    <a:ln>
                      <a:noFill/>
                    </a:ln>
                  </pic:spPr>
                </pic:pic>
              </a:graphicData>
            </a:graphic>
          </wp:anchor>
        </w:drawing>
      </w:r>
      <w:r w:rsidRPr="00B45A7C">
        <w:rPr>
          <w:rFonts w:hint="eastAsia"/>
          <w:color w:val="000000" w:themeColor="text1"/>
        </w:rPr>
        <w:t>F</w:t>
      </w:r>
      <w:r w:rsidRPr="00B45A7C">
        <w:rPr>
          <w:color w:val="000000" w:themeColor="text1"/>
        </w:rPr>
        <w:t xml:space="preserve">igure S5: The different expression of ACTG2, MYH11, LMOD1, FLNA, and BGN </w:t>
      </w:r>
      <w:r w:rsidRPr="00B45A7C">
        <w:rPr>
          <w:color w:val="000000" w:themeColor="text1"/>
        </w:rPr>
        <w:lastRenderedPageBreak/>
        <w:t xml:space="preserve">among adjacent normal, early-stage tumor, and advanced-stage tumor tissues. The survival analyses of these genes. (A) </w:t>
      </w:r>
      <w:r w:rsidRPr="00B45A7C">
        <w:rPr>
          <w:rFonts w:hint="eastAsia"/>
          <w:color w:val="000000" w:themeColor="text1"/>
        </w:rPr>
        <w:t>T</w:t>
      </w:r>
      <w:r w:rsidRPr="00B45A7C">
        <w:rPr>
          <w:color w:val="000000" w:themeColor="text1"/>
        </w:rPr>
        <w:t xml:space="preserve">he expression of ACTG2 was larger in adjacent normal tissues, and its expression in early-stage tumor was similar to its expression in advanced-stage tumor tissues. </w:t>
      </w:r>
      <w:r w:rsidRPr="00B45A7C">
        <w:rPr>
          <w:rFonts w:hint="eastAsia"/>
          <w:color w:val="000000" w:themeColor="text1"/>
        </w:rPr>
        <w:t>The</w:t>
      </w:r>
      <w:r w:rsidRPr="00B45A7C">
        <w:rPr>
          <w:color w:val="000000" w:themeColor="text1"/>
        </w:rPr>
        <w:t xml:space="preserve"> </w:t>
      </w:r>
      <w:r w:rsidRPr="00B45A7C">
        <w:rPr>
          <w:rFonts w:hint="eastAsia"/>
          <w:color w:val="000000" w:themeColor="text1"/>
        </w:rPr>
        <w:t>differ</w:t>
      </w:r>
      <w:r w:rsidRPr="00B45A7C">
        <w:rPr>
          <w:color w:val="000000" w:themeColor="text1"/>
        </w:rPr>
        <w:t xml:space="preserve">ences between low- and high-expression groups in </w:t>
      </w:r>
      <w:r w:rsidRPr="00B45A7C">
        <w:rPr>
          <w:rFonts w:hint="eastAsia"/>
          <w:color w:val="000000" w:themeColor="text1"/>
        </w:rPr>
        <w:t>OS</w:t>
      </w:r>
      <w:r w:rsidRPr="00B45A7C">
        <w:rPr>
          <w:color w:val="000000" w:themeColor="text1"/>
        </w:rPr>
        <w:t xml:space="preserve"> and DSS had no statistical significance. (B) The expression of </w:t>
      </w:r>
      <w:r w:rsidRPr="00B45A7C">
        <w:rPr>
          <w:rFonts w:hint="eastAsia"/>
          <w:color w:val="000000" w:themeColor="text1"/>
        </w:rPr>
        <w:t>MYH11</w:t>
      </w:r>
      <w:r w:rsidRPr="00B45A7C">
        <w:rPr>
          <w:color w:val="000000" w:themeColor="text1"/>
        </w:rPr>
        <w:t xml:space="preserve"> was larger in adjacent normal tissues, and its expression in early-stage tumor was similar to its expression in advanced-stage tumor tissues. The low-expression group had significant better DSS than the high-expression group. (C) The expression of LMOD1 was larger in adjacent normal tissues, and its expression in early-stage tumor was similar to its expression in advanced-stage tumor tissues. The low-expression group had significant better DSS than the high-expression group. (D) The expression of FLNA was larger in adjacent normal tissues, and its expression in early-stage tumor was similar to its expression in advanced-stage tumor tissues. The low-expression group had significant better OS and DSS than the high-expression group. (E) The expression of BGN increased </w:t>
      </w:r>
      <w:r w:rsidRPr="00B45A7C">
        <w:rPr>
          <w:rFonts w:hint="eastAsia"/>
          <w:color w:val="000000" w:themeColor="text1"/>
        </w:rPr>
        <w:t>with</w:t>
      </w:r>
      <w:r w:rsidRPr="00B45A7C">
        <w:rPr>
          <w:color w:val="000000" w:themeColor="text1"/>
        </w:rPr>
        <w:t xml:space="preserve"> the deterioration of the pathological stage. </w:t>
      </w:r>
      <w:r w:rsidRPr="00B45A7C">
        <w:rPr>
          <w:rFonts w:hint="eastAsia"/>
          <w:color w:val="000000" w:themeColor="text1"/>
        </w:rPr>
        <w:t>The</w:t>
      </w:r>
      <w:r w:rsidRPr="00B45A7C">
        <w:rPr>
          <w:color w:val="000000" w:themeColor="text1"/>
        </w:rPr>
        <w:t xml:space="preserve"> </w:t>
      </w:r>
      <w:r w:rsidRPr="00B45A7C">
        <w:rPr>
          <w:rFonts w:hint="eastAsia"/>
          <w:color w:val="000000" w:themeColor="text1"/>
        </w:rPr>
        <w:t>differ</w:t>
      </w:r>
      <w:r w:rsidRPr="00B45A7C">
        <w:rPr>
          <w:color w:val="000000" w:themeColor="text1"/>
        </w:rPr>
        <w:t xml:space="preserve">ences between low- and high-expression groups in </w:t>
      </w:r>
      <w:r w:rsidRPr="00B45A7C">
        <w:rPr>
          <w:rFonts w:hint="eastAsia"/>
          <w:color w:val="000000" w:themeColor="text1"/>
        </w:rPr>
        <w:t>OS</w:t>
      </w:r>
      <w:r w:rsidRPr="00B45A7C">
        <w:rPr>
          <w:color w:val="000000" w:themeColor="text1"/>
        </w:rPr>
        <w:t xml:space="preserve"> and DSS had no statistical significance. * represents </w:t>
      </w:r>
      <w:r w:rsidRPr="00B45A7C">
        <w:rPr>
          <w:i/>
          <w:iCs/>
          <w:color w:val="000000" w:themeColor="text1"/>
        </w:rPr>
        <w:t>p</w:t>
      </w:r>
      <w:r w:rsidRPr="00B45A7C">
        <w:rPr>
          <w:color w:val="000000" w:themeColor="text1"/>
        </w:rPr>
        <w:t xml:space="preserve">&lt;0.05, ** represents </w:t>
      </w:r>
      <w:r w:rsidRPr="00B45A7C">
        <w:rPr>
          <w:i/>
          <w:iCs/>
          <w:color w:val="000000" w:themeColor="text1"/>
        </w:rPr>
        <w:t>p</w:t>
      </w:r>
      <w:r w:rsidRPr="00B45A7C">
        <w:rPr>
          <w:color w:val="000000" w:themeColor="text1"/>
        </w:rPr>
        <w:t xml:space="preserve">&lt;0.01, *** represents </w:t>
      </w:r>
      <w:r w:rsidRPr="00B45A7C">
        <w:rPr>
          <w:i/>
          <w:iCs/>
          <w:color w:val="000000" w:themeColor="text1"/>
        </w:rPr>
        <w:t>p</w:t>
      </w:r>
      <w:r w:rsidRPr="00B45A7C">
        <w:rPr>
          <w:color w:val="000000" w:themeColor="text1"/>
        </w:rPr>
        <w:t xml:space="preserve">&lt;0.001, **** represents </w:t>
      </w:r>
      <w:r w:rsidRPr="00B45A7C">
        <w:rPr>
          <w:i/>
          <w:iCs/>
          <w:color w:val="000000" w:themeColor="text1"/>
        </w:rPr>
        <w:t>p</w:t>
      </w:r>
      <w:r w:rsidRPr="00B45A7C">
        <w:rPr>
          <w:color w:val="000000" w:themeColor="text1"/>
        </w:rPr>
        <w:t>&lt;0.0001.</w:t>
      </w:r>
    </w:p>
    <w:p w14:paraId="58431D51" w14:textId="77777777" w:rsidR="00896A4D" w:rsidRPr="00B45A7C" w:rsidRDefault="00896A4D" w:rsidP="00896A4D">
      <w:pPr>
        <w:rPr>
          <w:color w:val="000000" w:themeColor="text1"/>
        </w:rPr>
      </w:pPr>
      <w:r>
        <w:rPr>
          <w:noProof/>
          <w:color w:val="000000" w:themeColor="text1"/>
        </w:rPr>
        <w:lastRenderedPageBreak/>
        <w:drawing>
          <wp:inline distT="0" distB="0" distL="0" distR="0" wp14:anchorId="610FA438" wp14:editId="301BD81A">
            <wp:extent cx="5270500" cy="5105400"/>
            <wp:effectExtent l="0" t="0" r="6350" b="0"/>
            <wp:docPr id="21943743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0500" cy="5105400"/>
                    </a:xfrm>
                    <a:prstGeom prst="rect">
                      <a:avLst/>
                    </a:prstGeom>
                    <a:noFill/>
                    <a:ln>
                      <a:noFill/>
                    </a:ln>
                  </pic:spPr>
                </pic:pic>
              </a:graphicData>
            </a:graphic>
          </wp:inline>
        </w:drawing>
      </w:r>
    </w:p>
    <w:p w14:paraId="21C88717" w14:textId="77777777" w:rsidR="00896A4D" w:rsidRPr="00B45A7C" w:rsidRDefault="00896A4D" w:rsidP="00896A4D">
      <w:pPr>
        <w:ind w:firstLine="0"/>
        <w:rPr>
          <w:color w:val="000000" w:themeColor="text1"/>
        </w:rPr>
      </w:pPr>
      <w:r w:rsidRPr="00B45A7C">
        <w:rPr>
          <w:rFonts w:hint="eastAsia"/>
          <w:color w:val="000000" w:themeColor="text1"/>
        </w:rPr>
        <w:t>F</w:t>
      </w:r>
      <w:r w:rsidRPr="00B45A7C">
        <w:rPr>
          <w:color w:val="000000" w:themeColor="text1"/>
        </w:rPr>
        <w:t>igure S6: Using c</w:t>
      </w:r>
      <w:r w:rsidRPr="00B45A7C">
        <w:rPr>
          <w:rFonts w:hint="eastAsia"/>
          <w:color w:val="000000" w:themeColor="text1"/>
        </w:rPr>
        <w:t>olo</w:t>
      </w:r>
      <w:r w:rsidRPr="00B45A7C">
        <w:rPr>
          <w:color w:val="000000" w:themeColor="text1"/>
        </w:rPr>
        <w:t xml:space="preserve">rectal single-cell dataset to identify different expression levels of hub genes in different types of cells. (A) Cells in GSE144735 were divided into normal and tumor groups. (B) These cells were clustered into 6 groups, including T cells, B cells, Mast cells, Stromal cells, Myeloids, and Epithelial cells. The tumor group contained large quantity of epithelial cells; (C) The stromal cells expressed hub genes mostly among 6 cellular groups. (D) The violin plots clearly showed the stromal cells in tumor group expressed hub genes mostly. (E) The stromal cells were subclustered, and these cells also divided into tumor and normal groups. (F) The CAFs almost came from tumor samples. The </w:t>
      </w:r>
      <w:r w:rsidRPr="00B45A7C">
        <w:rPr>
          <w:rFonts w:hint="eastAsia"/>
          <w:color w:val="000000" w:themeColor="text1"/>
        </w:rPr>
        <w:t>stac</w:t>
      </w:r>
      <w:r w:rsidRPr="00B45A7C">
        <w:rPr>
          <w:color w:val="000000" w:themeColor="text1"/>
        </w:rPr>
        <w:t xml:space="preserve">ked column plots showed CAFs mainly came from tumor samples, while the normal samples also contained similar quantity of fibroblasts. (G) Both the smooth muscle cells and CAFs expressed hub genes mostly. (H) The violin plots showed that smooth muscle cells expressed hub genes equally in tumor and normal samples. However, fibroblasts in tumor samples (CAFs) expressed higher level of hub genes than those in normal samples. </w:t>
      </w:r>
    </w:p>
    <w:p w14:paraId="24F34EF4" w14:textId="77777777" w:rsidR="00896A4D" w:rsidRPr="00B45A7C" w:rsidRDefault="00896A4D" w:rsidP="00896A4D">
      <w:pPr>
        <w:rPr>
          <w:color w:val="000000" w:themeColor="text1"/>
        </w:rPr>
      </w:pPr>
      <w:r>
        <w:rPr>
          <w:noProof/>
          <w:color w:val="000000" w:themeColor="text1"/>
        </w:rPr>
        <w:lastRenderedPageBreak/>
        <w:drawing>
          <wp:inline distT="0" distB="0" distL="0" distR="0" wp14:anchorId="373E3C88" wp14:editId="69A4F423">
            <wp:extent cx="3854450" cy="8864600"/>
            <wp:effectExtent l="0" t="0" r="0" b="0"/>
            <wp:docPr id="19795955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4450" cy="8864600"/>
                    </a:xfrm>
                    <a:prstGeom prst="rect">
                      <a:avLst/>
                    </a:prstGeom>
                    <a:noFill/>
                    <a:ln>
                      <a:noFill/>
                    </a:ln>
                  </pic:spPr>
                </pic:pic>
              </a:graphicData>
            </a:graphic>
          </wp:inline>
        </w:drawing>
      </w:r>
    </w:p>
    <w:p w14:paraId="2528B910" w14:textId="77777777" w:rsidR="00896A4D" w:rsidRPr="00B45A7C" w:rsidRDefault="00896A4D" w:rsidP="00896A4D">
      <w:pPr>
        <w:ind w:firstLine="0"/>
        <w:rPr>
          <w:color w:val="000000" w:themeColor="text1"/>
        </w:rPr>
      </w:pPr>
      <w:r w:rsidRPr="00B45A7C">
        <w:rPr>
          <w:rFonts w:hint="eastAsia"/>
          <w:color w:val="000000" w:themeColor="text1"/>
        </w:rPr>
        <w:lastRenderedPageBreak/>
        <w:t>F</w:t>
      </w:r>
      <w:r w:rsidRPr="00B45A7C">
        <w:rPr>
          <w:color w:val="000000" w:themeColor="text1"/>
        </w:rPr>
        <w:t>igure S7: The expression level and specific cellular type of hub genes in GSE132465. (A) The expression level and specific cellular type of hub genes in original clusters. (B) The expression level and specific cellular type of hub genes in subclusters of stromal cells.</w:t>
      </w:r>
    </w:p>
    <w:p w14:paraId="26506D29" w14:textId="77777777" w:rsidR="00896A4D" w:rsidRPr="00B45A7C" w:rsidRDefault="00896A4D" w:rsidP="00896A4D">
      <w:pPr>
        <w:ind w:firstLine="0"/>
        <w:rPr>
          <w:color w:val="000000" w:themeColor="text1"/>
        </w:rPr>
      </w:pPr>
      <w:r>
        <w:rPr>
          <w:noProof/>
          <w:color w:val="000000" w:themeColor="text1"/>
        </w:rPr>
        <w:lastRenderedPageBreak/>
        <w:drawing>
          <wp:inline distT="0" distB="0" distL="0" distR="0" wp14:anchorId="7836CE89" wp14:editId="699E4638">
            <wp:extent cx="3879850" cy="8864600"/>
            <wp:effectExtent l="0" t="0" r="6350" b="0"/>
            <wp:docPr id="210869399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9850" cy="8864600"/>
                    </a:xfrm>
                    <a:prstGeom prst="rect">
                      <a:avLst/>
                    </a:prstGeom>
                    <a:noFill/>
                    <a:ln>
                      <a:noFill/>
                    </a:ln>
                  </pic:spPr>
                </pic:pic>
              </a:graphicData>
            </a:graphic>
          </wp:inline>
        </w:drawing>
      </w:r>
    </w:p>
    <w:p w14:paraId="76788945" w14:textId="77777777" w:rsidR="00896A4D" w:rsidRPr="00B45A7C" w:rsidRDefault="00896A4D" w:rsidP="00896A4D">
      <w:pPr>
        <w:ind w:firstLine="0"/>
        <w:rPr>
          <w:color w:val="000000" w:themeColor="text1"/>
        </w:rPr>
      </w:pPr>
      <w:r w:rsidRPr="00B45A7C">
        <w:rPr>
          <w:rFonts w:hint="eastAsia"/>
          <w:color w:val="000000" w:themeColor="text1"/>
        </w:rPr>
        <w:lastRenderedPageBreak/>
        <w:t>F</w:t>
      </w:r>
      <w:r w:rsidRPr="00B45A7C">
        <w:rPr>
          <w:color w:val="000000" w:themeColor="text1"/>
        </w:rPr>
        <w:t>igure S8: The expression level and specific cellular type of hub genes in GSE132465. (A) The expression level and specific cellular type of hub genes in original clusters. (B) The expression level and specific cellular type of hub genes in subclusters of stromal cells.</w:t>
      </w:r>
    </w:p>
    <w:p w14:paraId="62597641" w14:textId="77777777" w:rsidR="00896A4D" w:rsidRDefault="00896A4D"/>
    <w:sectPr w:rsidR="00896A4D" w:rsidSect="00F013F6">
      <w:pgSz w:w="11906" w:h="16838"/>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正文 CS 字体)">
    <w:altName w:val="宋体"/>
    <w:charset w:val="86"/>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4D"/>
    <w:rsid w:val="00896A4D"/>
    <w:rsid w:val="00F0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51A4"/>
  <w15:chartTrackingRefBased/>
  <w15:docId w15:val="{9474707E-5340-4258-A725-60524603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4D"/>
    <w:pPr>
      <w:spacing w:after="0" w:line="240" w:lineRule="auto"/>
      <w:ind w:firstLine="420"/>
      <w:jc w:val="both"/>
    </w:pPr>
    <w:rPr>
      <w:rFonts w:ascii="Times New Roman" w:eastAsia="SimSun" w:hAnsi="Times New Roman" w:cs="Times New Roman (正文 CS 字体)"/>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96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795</Words>
  <Characters>4538</Characters>
  <Application>Microsoft Office Word</Application>
  <DocSecurity>0</DocSecurity>
  <Lines>37</Lines>
  <Paragraphs>10</Paragraphs>
  <ScaleCrop>false</ScaleCrop>
  <Company>Springer Nature</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2024-04-26T15:15:00Z</dcterms:created>
  <dcterms:modified xsi:type="dcterms:W3CDTF">2024-04-26T15:15:00Z</dcterms:modified>
</cp:coreProperties>
</file>