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Visualizing Cancer Resistance via Nano-quenching and Recovery Detector of CD44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Jialin Zeng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vertAlign w:val="superscript"/>
          <w:lang w:val="en-US" w:eastAsia="zh-CN" w:bidi="ar"/>
        </w:rPr>
        <w:t>1†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, Lingke Zeng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, Lihua Yang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, Chengyu Feng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, Yuepeng Yang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, Yingying Ye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, Wenxin Zhang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lang w:val="en-US" w:eastAsia="zh-CN" w:bidi="ar"/>
        </w:rPr>
        <w:t>*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bookmarkStart w:id="0" w:name="OLE_LINK1"/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Jian He</w:t>
      </w:r>
      <w:bookmarkEnd w:id="0"/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zh-CN"/>
        </w:rPr>
        <w:t>5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lang w:val="en-US" w:eastAsia="zh-CN" w:bidi="ar"/>
        </w:rPr>
        <w:t>*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  <w:t>, Chao Zhang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MyriadPro-Light" w:cs="Times New Roman"/>
          <w:i/>
          <w:iCs/>
          <w:color w:val="000000"/>
          <w:kern w:val="0"/>
          <w:sz w:val="24"/>
          <w:szCs w:val="24"/>
          <w:shd w:val="clear" w:color="auto" w:fill="FDFDFE"/>
          <w:lang w:val="en-US" w:eastAsia="zh-CN" w:bidi="ar"/>
        </w:rPr>
        <w:t>*</w:t>
      </w:r>
    </w:p>
    <w:p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>Department of Oncology, Zhujiang Hospital, Southern Medical University, Guangzhou, Guangdong, 510282, China</w:t>
      </w:r>
    </w:p>
    <w:p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Department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>athology</w:t>
      </w:r>
      <w:r>
        <w:rPr>
          <w:rFonts w:ascii="Times New Roman" w:hAnsi="Times New Roman" w:cs="Times New Roman"/>
          <w:sz w:val="24"/>
          <w:szCs w:val="24"/>
        </w:rPr>
        <w:t>, Zhujiang Hospital, Southern Medical University, Guangzhou, Guangdong, 510282, China</w:t>
      </w:r>
    </w:p>
    <w:p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>Department of Pediatric Hematology, Zhujiang Hospital, Southern Medical University, Guangzhou, Guangdong, 510282, China</w:t>
      </w:r>
    </w:p>
    <w:p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sz w:val="24"/>
          <w:szCs w:val="24"/>
        </w:rPr>
        <w:t>The Second School of Clinical Medicine, Southern Medical University</w:t>
      </w:r>
      <w:r>
        <w:rPr>
          <w:rFonts w:ascii="Times New Roman" w:hAnsi="Times New Roman" w:cs="Times New Roman"/>
          <w:sz w:val="24"/>
          <w:szCs w:val="24"/>
        </w:rPr>
        <w:t>, Guangzhou, Guangdong, 510282, China</w:t>
      </w:r>
    </w:p>
    <w:p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</w:rPr>
        <w:t>Department of Nuclear Medicine, Nanjing Drum Tower Hospital, The Affiliated Hospital of Nanjing University Medical School, Nanjing, 210008, China</w:t>
      </w:r>
    </w:p>
    <w:p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# </w:t>
      </w:r>
      <w:r>
        <w:rPr>
          <w:rFonts w:ascii="Times New Roman" w:hAnsi="Times New Roman" w:cs="Times New Roman"/>
          <w:sz w:val="24"/>
          <w:szCs w:val="24"/>
        </w:rPr>
        <w:t>Corresponding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author</w:t>
      </w:r>
      <w:r>
        <w:rPr>
          <w:rFonts w:ascii="Times New Roman" w:hAnsi="Times New Roman" w:cs="Times New Roman"/>
          <w:color w:val="000000"/>
          <w:sz w:val="24"/>
          <w:szCs w:val="24"/>
        </w:rPr>
        <w:t>. Email Address:</w:t>
      </w:r>
      <w:bookmarkStart w:id="1" w:name="_Hlk76227027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"mailto:czhangsinap@163.com" 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>czhangsinap@163.com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Chao Zhang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"mailto:zwxsakura@gmail.com" 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>zwxsakura@gmail.com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Wenxin Zhang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"mailto:hjxueren@126.com" 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>hjxueren@126.com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Style w:val="9"/>
          <w:rFonts w:ascii="Times New Roman" w:hAnsi="Times New Roman" w:cs="Times New Roman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Jian He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).</w:t>
      </w:r>
    </w:p>
    <w:p>
      <w:pPr>
        <w:spacing w:before="240"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object>
          <v:shape id="_x0000_i1025" o:spt="75" type="#_x0000_t75" style="height:273.55pt;width:335.6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CorelDraw.Graphic.22" ShapeID="_x0000_i1025" DrawAspect="Content" ObjectID="_1468075725" r:id="rId4">
            <o:LockedField>false</o:LockedField>
          </o:OLEObject>
        </w:objec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 S1. </w:t>
      </w:r>
      <w:r>
        <w:rPr>
          <w:rFonts w:ascii="Times New Roman" w:hAnsi="Times New Roman" w:cs="Times New Roman"/>
          <w:sz w:val="24"/>
          <w:szCs w:val="24"/>
        </w:rPr>
        <w:t>The optimized ratio between CD44 aptamer and BP</w:t>
      </w:r>
      <w:r>
        <w:rPr>
          <w:rFonts w:hint="eastAsia" w:ascii="Times New Roman" w:hAnsi="Times New Roman" w:cs="Times New Roman"/>
          <w:sz w:val="24"/>
          <w:szCs w:val="24"/>
        </w:rPr>
        <w:t>NSs</w:t>
      </w:r>
      <w:r>
        <w:rPr>
          <w:rFonts w:ascii="Times New Roman" w:hAnsi="Times New Roman" w:cs="Times New Roman"/>
          <w:sz w:val="24"/>
          <w:szCs w:val="24"/>
        </w:rPr>
        <w:t xml:space="preserve"> was studied by gel retardation quantitative analysis: 1 represents free Apt (100 nM); 2, 3, 4, 5, 6 and 7 respectively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 different concentrations of Apt (110 nM, 90 nM, 70 nM, 50 nM, 30 nM, 0 nM) with the same concentrations of BPNSs.</w:t>
      </w:r>
    </w:p>
    <w:p>
      <w:pPr>
        <w:widowControl/>
        <w:spacing w:line="360" w:lineRule="auto"/>
        <w:jc w:val="left"/>
        <w:rPr>
          <w:rFonts w:hint="eastAsia" w:eastAsiaTheme="minorEastAsia"/>
          <w:sz w:val="24"/>
          <w:szCs w:val="24"/>
          <w:lang w:eastAsia="zh-CN"/>
        </w:rPr>
      </w:pPr>
      <w:r>
        <w:rPr>
          <w:sz w:val="24"/>
          <w:szCs w:val="24"/>
        </w:rPr>
        <w:br w:type="page"/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8595" cy="4146550"/>
            <wp:effectExtent l="0" t="0" r="0" b="0"/>
            <wp:docPr id="9" name="图片 9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2"/>
                    <pic:cNvPicPr>
                      <a:picLocks noChangeAspect="1"/>
                    </pic:cNvPicPr>
                  </pic:nvPicPr>
                  <pic:blipFill>
                    <a:blip r:embed="rId6"/>
                    <a:srcRect t="15256" b="2908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S2.</w:t>
      </w:r>
      <w:r>
        <w:rPr>
          <w:rFonts w:ascii="Times New Roman" w:hAnsi="Times New Roman" w:cs="Times New Roman"/>
          <w:sz w:val="24"/>
          <w:szCs w:val="24"/>
        </w:rPr>
        <w:t xml:space="preserve"> Loading Efficiency Line Chart.</w:t>
      </w:r>
    </w:p>
    <w:p>
      <w:pPr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after="240" w:line="360" w:lineRule="auto"/>
        <w:ind w:firstLine="480" w:firstLineChars="200"/>
        <w:jc w:val="left"/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0" distR="0">
            <wp:extent cx="5269230" cy="449961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Fig S3. </w:t>
      </w:r>
      <w:r>
        <w:rPr>
          <w:rFonts w:ascii="Times New Roman" w:hAnsi="Times New Roman" w:eastAsia="等线" w:cs="Times New Roman"/>
          <w:sz w:val="24"/>
          <w:szCs w:val="24"/>
        </w:rPr>
        <w:t xml:space="preserve">Laser scanning confocal microscope (LSCM) images of H446DDP, H69, H69AR 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cells.</w:t>
      </w:r>
    </w:p>
    <w:p>
      <w:pPr>
        <w:spacing w:after="240" w:line="360" w:lineRule="auto"/>
        <w:ind w:firstLine="480" w:firstLineChars="200"/>
        <w:jc w:val="left"/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drawing>
          <wp:inline distT="0" distB="0" distL="114300" distR="114300">
            <wp:extent cx="4762500" cy="3905885"/>
            <wp:effectExtent l="0" t="0" r="0" b="0"/>
            <wp:docPr id="6" name="图片 6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4"/>
                    <pic:cNvPicPr>
                      <a:picLocks noChangeAspect="1"/>
                    </pic:cNvPicPr>
                  </pic:nvPicPr>
                  <pic:blipFill>
                    <a:blip r:embed="rId8"/>
                    <a:srcRect b="4199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S4.</w:t>
      </w:r>
      <w:r>
        <w:rPr>
          <w:rFonts w:ascii="Times New Roman" w:hAnsi="Times New Roman" w:cs="Times New Roman"/>
          <w:sz w:val="24"/>
          <w:szCs w:val="24"/>
        </w:rPr>
        <w:t xml:space="preserve"> Data analysis of fluorescence intensity of different cell sublines.</w:t>
      </w:r>
      <w:r>
        <w:rPr>
          <w:rFonts w:hint="eastAsia" w:ascii="Times New Roman" w:hAnsi="Times New Roman" w:cs="Times New Roman"/>
          <w:sz w:val="24"/>
          <w:szCs w:val="24"/>
        </w:rPr>
        <w:t xml:space="preserve"> ***p &lt; 0.001, ****p &lt; 0.0001.</w:t>
      </w:r>
    </w:p>
    <w:p>
      <w:pPr>
        <w:widowControl/>
        <w:spacing w:line="360" w:lineRule="auto"/>
        <w:jc w:val="left"/>
        <w:rPr>
          <w:rFonts w:hint="eastAsia" w:eastAsiaTheme="minorEastAsia"/>
          <w:sz w:val="24"/>
          <w:szCs w:val="24"/>
          <w:lang w:eastAsia="zh-CN"/>
        </w:rPr>
      </w:pPr>
      <w:r>
        <w:rPr>
          <w:sz w:val="24"/>
          <w:szCs w:val="24"/>
        </w:rPr>
        <w:br w:type="page"/>
      </w:r>
    </w:p>
    <w:p>
      <w:pPr>
        <w:widowControl/>
        <w:spacing w:after="240" w:line="360" w:lineRule="auto"/>
        <w:jc w:val="lef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5268595" cy="4392295"/>
            <wp:effectExtent l="0" t="0" r="0" b="0"/>
            <wp:docPr id="4" name="图片 4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5"/>
                    <pic:cNvPicPr>
                      <a:picLocks noChangeAspect="1"/>
                    </pic:cNvPicPr>
                  </pic:nvPicPr>
                  <pic:blipFill>
                    <a:blip r:embed="rId9"/>
                    <a:srcRect b="4104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 S5. </w:t>
      </w:r>
      <w:r>
        <w:rPr>
          <w:rFonts w:ascii="Times New Roman" w:hAnsi="Times New Roman" w:cs="Times New Roman"/>
          <w:sz w:val="24"/>
          <w:szCs w:val="24"/>
        </w:rPr>
        <w:t xml:space="preserve">CD44 mRNA expression levels were analyzed by qPCR in H69AR after downregulation. </w:t>
      </w:r>
      <w:r>
        <w:rPr>
          <w:rFonts w:hint="eastAsia" w:ascii="Times New Roman" w:hAnsi="Times New Roman" w:cs="Times New Roman"/>
          <w:sz w:val="24"/>
          <w:szCs w:val="24"/>
        </w:rPr>
        <w:t>****p &lt; 0.0001.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widowControl/>
        <w:spacing w:line="360" w:lineRule="auto"/>
        <w:jc w:val="left"/>
        <w:rPr>
          <w:sz w:val="24"/>
          <w:szCs w:val="24"/>
        </w:rPr>
      </w:pPr>
    </w:p>
    <w:p>
      <w:pPr>
        <w:widowControl/>
        <w:spacing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69230" cy="2949575"/>
            <wp:effectExtent l="0" t="0" r="762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 S6. </w:t>
      </w:r>
      <w:r>
        <w:rPr>
          <w:rFonts w:ascii="Times New Roman" w:hAnsi="Times New Roman" w:cs="Times New Roman"/>
          <w:sz w:val="24"/>
          <w:szCs w:val="24"/>
        </w:rPr>
        <w:t>LSCM images of H69AR and KD H69AR cells.</w:t>
      </w:r>
    </w:p>
    <w:p>
      <w:pPr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widowControl/>
        <w:spacing w:after="240" w:line="360" w:lineRule="auto"/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8595" cy="4621530"/>
            <wp:effectExtent l="0" t="0" r="8255" b="7620"/>
            <wp:docPr id="5" name="图片 5" descr="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7"/>
                    <pic:cNvPicPr>
                      <a:picLocks noChangeAspect="1"/>
                    </pic:cNvPicPr>
                  </pic:nvPicPr>
                  <pic:blipFill>
                    <a:blip r:embed="rId11"/>
                    <a:srcRect b="3797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 S7. </w:t>
      </w:r>
      <w:r>
        <w:rPr>
          <w:rFonts w:ascii="Times New Roman" w:hAnsi="Times New Roman" w:cs="Times New Roman"/>
          <w:sz w:val="24"/>
          <w:szCs w:val="24"/>
        </w:rPr>
        <w:t xml:space="preserve">Analysis of fluorescence intensity in H69AR cell subline before and after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downregulation.</w:t>
      </w:r>
    </w:p>
    <w:p>
      <w:pPr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widowControl/>
        <w:spacing w:line="360" w:lineRule="auto"/>
        <w:jc w:val="left"/>
        <w:rPr>
          <w:sz w:val="24"/>
          <w:szCs w:val="24"/>
        </w:rPr>
      </w:pPr>
    </w:p>
    <w:p>
      <w:pPr>
        <w:widowControl/>
        <w:spacing w:after="240" w:line="360" w:lineRule="auto"/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8595" cy="4445000"/>
            <wp:effectExtent l="0" t="0" r="0" b="0"/>
            <wp:docPr id="14" name="图片 14" descr="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8"/>
                    <pic:cNvPicPr>
                      <a:picLocks noChangeAspect="1"/>
                    </pic:cNvPicPr>
                  </pic:nvPicPr>
                  <pic:blipFill>
                    <a:blip r:embed="rId12"/>
                    <a:srcRect b="4033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S8.</w:t>
      </w:r>
      <w:r>
        <w:rPr>
          <w:rFonts w:ascii="Times New Roman" w:hAnsi="Times New Roman" w:cs="Times New Roman"/>
          <w:sz w:val="24"/>
          <w:szCs w:val="24"/>
        </w:rPr>
        <w:t xml:space="preserve"> Analysis of cell viability with different concentrations of BPNSs.</w:t>
      </w:r>
    </w:p>
    <w:p>
      <w:pPr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widowControl/>
        <w:spacing w:after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>Cy3-Apt</w:t>
      </w:r>
      <w:r>
        <w:rPr>
          <w:rFonts w:hint="eastAsia" w:ascii="Times New Roman" w:hAnsi="Times New Roman" w:cs="Times New Roman"/>
          <w:sz w:val="24"/>
          <w:szCs w:val="24"/>
        </w:rPr>
        <w:t>CD44</w:t>
      </w:r>
      <w:r>
        <w:rPr>
          <w:rFonts w:ascii="Times New Roman" w:hAnsi="Times New Roman" w:cs="Times New Roman"/>
          <w:sz w:val="24"/>
          <w:szCs w:val="24"/>
        </w:rPr>
        <w:t xml:space="preserve"> and Cy3-Ran sequence information sequences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702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Sequences (5’-3’)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271" w:type="dxa"/>
          </w:tcPr>
          <w:p>
            <w:pPr>
              <w:widowControl/>
              <w:spacing w:line="360" w:lineRule="auto"/>
              <w:contextualSpacing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Cy3-Apt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CD44</w:t>
            </w:r>
          </w:p>
        </w:tc>
        <w:tc>
          <w:tcPr>
            <w:tcW w:w="702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C6 SH-GGGAUGGAUCCAAGCUUACUGGCAUCUGGAUUUGCGCGUGCCAGAAUAAAGAGUAUAACGUGUGAAUGGGAAGCUUCGAUAGGAAUUCGG-Cy3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Cy3-Ran</w:t>
            </w:r>
          </w:p>
        </w:tc>
        <w:tc>
          <w:tcPr>
            <w:tcW w:w="702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 C6-AAAAAAAAAAAAAAAAAAAAAAAAAAAAAAAAAAAAAAAAAAAAA AAAAAAAAAAAAAAAAAAAAAAAAAAAAAAAAAAAAAAAAAAAAA-Cy3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360" w:lineRule="auto"/>
        <w:jc w:val="left"/>
        <w:rPr>
          <w:sz w:val="24"/>
          <w:szCs w:val="24"/>
        </w:rPr>
      </w:pPr>
    </w:p>
    <w:p>
      <w:pPr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widowControl/>
        <w:spacing w:after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>
        <w:rPr>
          <w:rFonts w:ascii="Times New Roman" w:hAnsi="Times New Roman" w:cs="Times New Roman"/>
          <w:sz w:val="24"/>
          <w:szCs w:val="24"/>
        </w:rPr>
        <w:t xml:space="preserve"> The RT-qPCR primer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3483"/>
        <w:gridCol w:w="341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76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Forward primer (5’-3’)</w:t>
            </w:r>
          </w:p>
        </w:tc>
        <w:tc>
          <w:tcPr>
            <w:tcW w:w="2766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Reverse primer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(5’-3’)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</w:tc>
        <w:tc>
          <w:tcPr>
            <w:tcW w:w="276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CGGACACCATGGACAAGTTT</w:t>
            </w:r>
          </w:p>
        </w:tc>
        <w:tc>
          <w:tcPr>
            <w:tcW w:w="2766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GCAAAGCGGCAGGTTATATT</w:t>
            </w:r>
          </w:p>
        </w:tc>
      </w:tr>
    </w:tbl>
    <w:p>
      <w:pPr>
        <w:widowControl/>
        <w:spacing w:line="360" w:lineRule="auto"/>
        <w:jc w:val="center"/>
        <w:rPr>
          <w:sz w:val="24"/>
          <w:szCs w:val="24"/>
          <w:lang w:val="el-G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Pro-Bold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yriadPro-Ligh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mNjAzMWJlZjFkMmQwODUwMTJkYzE2ODFiYmFmYTcifQ=="/>
  </w:docVars>
  <w:rsids>
    <w:rsidRoot w:val="002E6DF8"/>
    <w:rsid w:val="0000284D"/>
    <w:rsid w:val="00015296"/>
    <w:rsid w:val="00022EE4"/>
    <w:rsid w:val="00063A00"/>
    <w:rsid w:val="00076E7A"/>
    <w:rsid w:val="000841FF"/>
    <w:rsid w:val="000C2784"/>
    <w:rsid w:val="000D6ADB"/>
    <w:rsid w:val="000D7F1D"/>
    <w:rsid w:val="000E25A2"/>
    <w:rsid w:val="000F6F87"/>
    <w:rsid w:val="001006D4"/>
    <w:rsid w:val="00113FCB"/>
    <w:rsid w:val="001175AF"/>
    <w:rsid w:val="00122B11"/>
    <w:rsid w:val="00130A31"/>
    <w:rsid w:val="00140013"/>
    <w:rsid w:val="001512AA"/>
    <w:rsid w:val="001537B7"/>
    <w:rsid w:val="00154EF5"/>
    <w:rsid w:val="00155F56"/>
    <w:rsid w:val="001776FC"/>
    <w:rsid w:val="0019389C"/>
    <w:rsid w:val="001A2512"/>
    <w:rsid w:val="001A56D5"/>
    <w:rsid w:val="001E2910"/>
    <w:rsid w:val="001E3A27"/>
    <w:rsid w:val="001F2951"/>
    <w:rsid w:val="001F2C44"/>
    <w:rsid w:val="001F3E86"/>
    <w:rsid w:val="001F71E9"/>
    <w:rsid w:val="002123E5"/>
    <w:rsid w:val="00223602"/>
    <w:rsid w:val="00243DE0"/>
    <w:rsid w:val="0025284F"/>
    <w:rsid w:val="0025392A"/>
    <w:rsid w:val="002A4C5C"/>
    <w:rsid w:val="002B2018"/>
    <w:rsid w:val="002B73C2"/>
    <w:rsid w:val="002C505A"/>
    <w:rsid w:val="002C59AF"/>
    <w:rsid w:val="002C68C3"/>
    <w:rsid w:val="002E5CB5"/>
    <w:rsid w:val="002E6DF8"/>
    <w:rsid w:val="002F6B37"/>
    <w:rsid w:val="00301EB3"/>
    <w:rsid w:val="00365519"/>
    <w:rsid w:val="003770B8"/>
    <w:rsid w:val="00385547"/>
    <w:rsid w:val="003878A5"/>
    <w:rsid w:val="00416569"/>
    <w:rsid w:val="004223E6"/>
    <w:rsid w:val="00426A30"/>
    <w:rsid w:val="0043273F"/>
    <w:rsid w:val="00432F18"/>
    <w:rsid w:val="00450B8F"/>
    <w:rsid w:val="00467F94"/>
    <w:rsid w:val="00481F05"/>
    <w:rsid w:val="004907A6"/>
    <w:rsid w:val="00491448"/>
    <w:rsid w:val="004941DB"/>
    <w:rsid w:val="004A1F4A"/>
    <w:rsid w:val="004A27F6"/>
    <w:rsid w:val="004B7A50"/>
    <w:rsid w:val="004D05BC"/>
    <w:rsid w:val="004E43F8"/>
    <w:rsid w:val="00501323"/>
    <w:rsid w:val="0051465E"/>
    <w:rsid w:val="00514DF1"/>
    <w:rsid w:val="00541DCA"/>
    <w:rsid w:val="005C2E26"/>
    <w:rsid w:val="005D4B03"/>
    <w:rsid w:val="005E5C44"/>
    <w:rsid w:val="005F3403"/>
    <w:rsid w:val="0060238A"/>
    <w:rsid w:val="00610234"/>
    <w:rsid w:val="006160AF"/>
    <w:rsid w:val="00632BCE"/>
    <w:rsid w:val="00640E2A"/>
    <w:rsid w:val="006B14A4"/>
    <w:rsid w:val="006C710E"/>
    <w:rsid w:val="006F4F90"/>
    <w:rsid w:val="00706CB8"/>
    <w:rsid w:val="007172F4"/>
    <w:rsid w:val="00734019"/>
    <w:rsid w:val="0073632F"/>
    <w:rsid w:val="00744E5C"/>
    <w:rsid w:val="00747455"/>
    <w:rsid w:val="00751C50"/>
    <w:rsid w:val="0076290B"/>
    <w:rsid w:val="007962E5"/>
    <w:rsid w:val="007A2C9F"/>
    <w:rsid w:val="007A2CD9"/>
    <w:rsid w:val="007B6585"/>
    <w:rsid w:val="007D17DA"/>
    <w:rsid w:val="007D5D1F"/>
    <w:rsid w:val="007E1EC4"/>
    <w:rsid w:val="008274AF"/>
    <w:rsid w:val="008408D1"/>
    <w:rsid w:val="0085134D"/>
    <w:rsid w:val="00885BE2"/>
    <w:rsid w:val="00894631"/>
    <w:rsid w:val="008E5446"/>
    <w:rsid w:val="008F077C"/>
    <w:rsid w:val="009068BA"/>
    <w:rsid w:val="0094539E"/>
    <w:rsid w:val="00973B23"/>
    <w:rsid w:val="00977843"/>
    <w:rsid w:val="00980557"/>
    <w:rsid w:val="009824BD"/>
    <w:rsid w:val="009B127F"/>
    <w:rsid w:val="009C46EE"/>
    <w:rsid w:val="009C4D48"/>
    <w:rsid w:val="009C5946"/>
    <w:rsid w:val="009D77B2"/>
    <w:rsid w:val="009E57D1"/>
    <w:rsid w:val="009F39B8"/>
    <w:rsid w:val="00A022AE"/>
    <w:rsid w:val="00A2371C"/>
    <w:rsid w:val="00A30063"/>
    <w:rsid w:val="00A320AF"/>
    <w:rsid w:val="00A44D4B"/>
    <w:rsid w:val="00A70B65"/>
    <w:rsid w:val="00AA2CD2"/>
    <w:rsid w:val="00AA68B4"/>
    <w:rsid w:val="00AB5F89"/>
    <w:rsid w:val="00AC0EDE"/>
    <w:rsid w:val="00AC45A1"/>
    <w:rsid w:val="00AD69E1"/>
    <w:rsid w:val="00AE1646"/>
    <w:rsid w:val="00AF4C59"/>
    <w:rsid w:val="00B00D45"/>
    <w:rsid w:val="00B15277"/>
    <w:rsid w:val="00B24B88"/>
    <w:rsid w:val="00B433B1"/>
    <w:rsid w:val="00B53B94"/>
    <w:rsid w:val="00B702D8"/>
    <w:rsid w:val="00B716BC"/>
    <w:rsid w:val="00BA6732"/>
    <w:rsid w:val="00BE6469"/>
    <w:rsid w:val="00BF283F"/>
    <w:rsid w:val="00BF3BEE"/>
    <w:rsid w:val="00C0694B"/>
    <w:rsid w:val="00C156DB"/>
    <w:rsid w:val="00C25D97"/>
    <w:rsid w:val="00C36B5F"/>
    <w:rsid w:val="00C3742A"/>
    <w:rsid w:val="00C413D0"/>
    <w:rsid w:val="00C517D2"/>
    <w:rsid w:val="00C73B41"/>
    <w:rsid w:val="00CB268E"/>
    <w:rsid w:val="00CC39FF"/>
    <w:rsid w:val="00CC58AB"/>
    <w:rsid w:val="00CC74E4"/>
    <w:rsid w:val="00CF20EA"/>
    <w:rsid w:val="00D0700C"/>
    <w:rsid w:val="00D14FA3"/>
    <w:rsid w:val="00D31E82"/>
    <w:rsid w:val="00D55F00"/>
    <w:rsid w:val="00D60C11"/>
    <w:rsid w:val="00D77C8A"/>
    <w:rsid w:val="00DA7D35"/>
    <w:rsid w:val="00DB25FD"/>
    <w:rsid w:val="00DB67D1"/>
    <w:rsid w:val="00DC2A36"/>
    <w:rsid w:val="00DE09C7"/>
    <w:rsid w:val="00DE4AE2"/>
    <w:rsid w:val="00E01FE1"/>
    <w:rsid w:val="00E20A24"/>
    <w:rsid w:val="00E461C0"/>
    <w:rsid w:val="00E513ED"/>
    <w:rsid w:val="00E61FB8"/>
    <w:rsid w:val="00E63469"/>
    <w:rsid w:val="00E6476B"/>
    <w:rsid w:val="00E6660D"/>
    <w:rsid w:val="00E81867"/>
    <w:rsid w:val="00E84A90"/>
    <w:rsid w:val="00EA0C3D"/>
    <w:rsid w:val="00EA6F28"/>
    <w:rsid w:val="00EC0B77"/>
    <w:rsid w:val="00EE1346"/>
    <w:rsid w:val="00EF3A64"/>
    <w:rsid w:val="00F02DBB"/>
    <w:rsid w:val="00F07862"/>
    <w:rsid w:val="00F24E48"/>
    <w:rsid w:val="00F31CF8"/>
    <w:rsid w:val="00F33828"/>
    <w:rsid w:val="00F75537"/>
    <w:rsid w:val="00F77278"/>
    <w:rsid w:val="00F90053"/>
    <w:rsid w:val="00FB0DE0"/>
    <w:rsid w:val="00FC0D97"/>
    <w:rsid w:val="00FD67EF"/>
    <w:rsid w:val="0E5A6607"/>
    <w:rsid w:val="525B1A27"/>
    <w:rsid w:val="607A4DEC"/>
    <w:rsid w:val="7EC8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unhideWhenUsed/>
    <w:qFormat/>
    <w:uiPriority w:val="99"/>
    <w:pPr>
      <w:jc w:val="left"/>
    </w:p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4"/>
    <w:autoRedefine/>
    <w:semiHidden/>
    <w:unhideWhenUsed/>
    <w:qFormat/>
    <w:uiPriority w:val="99"/>
    <w:rPr>
      <w:b/>
      <w:bCs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autoRedefine/>
    <w:qFormat/>
    <w:uiPriority w:val="99"/>
  </w:style>
  <w:style w:type="character" w:customStyle="1" w:styleId="14">
    <w:name w:val="批注主题 字符"/>
    <w:basedOn w:val="13"/>
    <w:link w:val="5"/>
    <w:autoRedefine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21E9A-4A20-47F7-8CE0-C21B8740C8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243</Words>
  <Characters>1425</Characters>
  <Lines>22</Lines>
  <Paragraphs>5</Paragraphs>
  <TotalTime>0</TotalTime>
  <ScaleCrop>false</ScaleCrop>
  <LinksUpToDate>false</LinksUpToDate>
  <CharactersWithSpaces>1663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2024-03-08T10:16:00Z</dcterms:created>
  <dc:creator>曾 佳琳</dc:creator>
  <cp:lastModifiedBy>闹木耶波</cp:lastModifiedBy>
  <dcterms:modified xsi:type="dcterms:W3CDTF">2024-04-20T09:17:40Z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D0029E95E3954CA19168024D38C023CD_13</vt:lpwstr>
  </property>
</Properties>
</file>