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05" w:tblpY="1364"/>
        <w:tblOverlap w:val="never"/>
        <w:tblW w:w="112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1"/>
        <w:gridCol w:w="58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5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Inclusion criteria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Exclusion criteria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2" w:hRule="atLeast"/>
        </w:trPr>
        <w:tc>
          <w:tcPr>
            <w:tcW w:w="5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MyriadPro-SemiboldSemiC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Participant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Adults (Age ≥18) admitted with sepsis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Studies whose population was defined more broadly were included only if they had a category of sepsis, severe sepsis, or severe infection with organ dysfunction with separately reported outcomes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Outcomes of Interest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Any 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major cardiovascular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Stroke (ischemic or hemorrhagic)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Myocardial infarction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Heart failure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Cardiovascular death</w:t>
            </w:r>
          </w:p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Study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Cohort studies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Case-control studies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Case-crossover studies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Cross-sectional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Secondary analysis of randomized trials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Study types: case reports, case series with less than 10 patients, review, protocol, animal study, commentaries, and letters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10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Studies including patients with children</w:t>
            </w:r>
            <w:r>
              <w:rPr>
                <w:rStyle w:val="10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 xml:space="preserve">           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Studies exclusively reporting septic cardiomyopathy </w:t>
            </w:r>
            <w:r>
              <w:rPr>
                <w:rStyle w:val="10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 xml:space="preserve">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Studies exclusively reporting Type II myocardial infarction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Studies including standalone troponin as criteria for myocardial infarction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eTable 1 Inclusion and exclusion criteria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tbl>
      <w:tblPr>
        <w:tblStyle w:val="2"/>
        <w:tblW w:w="1003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4"/>
        <w:gridCol w:w="811"/>
        <w:gridCol w:w="673"/>
        <w:gridCol w:w="673"/>
        <w:gridCol w:w="124"/>
        <w:gridCol w:w="112"/>
        <w:gridCol w:w="793"/>
        <w:gridCol w:w="949"/>
        <w:gridCol w:w="240"/>
        <w:gridCol w:w="666"/>
        <w:gridCol w:w="622"/>
        <w:gridCol w:w="14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66" w:type="dxa"/>
          <w:trHeight w:val="342" w:hRule="atLeast"/>
        </w:trPr>
        <w:tc>
          <w:tcPr>
            <w:tcW w:w="2904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Study (year) [inf.]</w:t>
            </w:r>
          </w:p>
        </w:tc>
        <w:tc>
          <w:tcPr>
            <w:tcW w:w="2281" w:type="dxa"/>
            <w:gridSpan w:val="4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Selections</w:t>
            </w:r>
          </w:p>
        </w:tc>
        <w:tc>
          <w:tcPr>
            <w:tcW w:w="1854" w:type="dxa"/>
            <w:gridSpan w:val="3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Comparability</w:t>
            </w:r>
          </w:p>
        </w:tc>
        <w:tc>
          <w:tcPr>
            <w:tcW w:w="240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8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OLE_LINK1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Outcome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Ishani 2005 [27]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Lee 2013 [28]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Yende 2014 [29]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Walkey 2014 [30]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Jafarzadeh 2016 [31]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Ou 2016 [32]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Wang 2017 [33]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Boehme 2017 [34]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Shih 2017 [35]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Cheng 2017 [36]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Cheng 2017 [37]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Lai 2018 [38]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 Geer 2018 [39]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Vallabhajosyula 2018 [40]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Gadre 2019 [41]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Shao 2019 [42]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Hsieh 2019 [43]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Wu 2019 [44]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Sebastian 2019 [45]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Hsiao 2022 [46]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✩ 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Angriman 2022 [10]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Walkey 2023 [47]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Jentzer 2023 [11]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Angriman 2023 [48]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90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Angriman 2023 [49]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62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✩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eTable 2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he </w:t>
      </w:r>
      <w:bookmarkStart w:id="1" w:name="OLE_LINK22"/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Newcastle-Ottawa quality assessment scale</w:t>
      </w:r>
      <w:bookmarkEnd w:id="1"/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of included studies.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Coding manual for cohort studies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: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Selections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,1.</w:t>
      </w:r>
      <w:r>
        <w:rPr>
          <w:rFonts w:hint="default" w:ascii="Times New Roman" w:hAnsi="Times New Roman" w:eastAsia="宋体" w:cs="Times New Roman"/>
          <w:sz w:val="24"/>
          <w:szCs w:val="24"/>
        </w:rPr>
        <w:t>Representativeness of the Exposed Cohort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. 2.Selection of the Non-Exposed Cohort. 3.Ascertainment of Exposure. 4.Demonstration That Outcome of Int</w:t>
      </w:r>
      <w:bookmarkStart w:id="4" w:name="_GoBack"/>
      <w:bookmarkEnd w:id="4"/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erest Was Not Present at Start of Study. 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Comparability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, Comparability of Cohorts on the Basis of the Design or Analysis </w:t>
      </w:r>
      <w:bookmarkStart w:id="2" w:name="OLE_LINK2"/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(A maximum of 2 stars can be allotted in this category ).</w:t>
      </w:r>
      <w:bookmarkEnd w:id="2"/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Outcome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, 1.Assessment of Outcome. 2.Was Follow-Up Long Enough for Outcomes to Occur. 3.Adequacy of Follow Up of Cohorts.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Coding manual for case-control studies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: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Selections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, 1.Is the Case Definition Adequate?. 2. Representativeness of the Cases. 3.Selection of Controls. 4.Definition of Controls. 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Comparability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, Comparability of Cases and Controls on the Basis of the Design or Analysis (A maximum of 2 stars can be allotted in this category ).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Outcome/ Exposure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, 1.Ascertainment of Exposure. 2. same method of Ascertainment for case and control. 3.Non-Response Rate. </w:t>
      </w: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tbl>
      <w:tblPr>
        <w:tblStyle w:val="2"/>
        <w:tblW w:w="16709" w:type="dxa"/>
        <w:tblInd w:w="-133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1044"/>
        <w:gridCol w:w="900"/>
        <w:gridCol w:w="864"/>
        <w:gridCol w:w="1395"/>
        <w:gridCol w:w="1289"/>
        <w:gridCol w:w="1259"/>
        <w:gridCol w:w="1585"/>
        <w:gridCol w:w="1630"/>
        <w:gridCol w:w="1703"/>
        <w:gridCol w:w="1289"/>
        <w:gridCol w:w="1067"/>
        <w:gridCol w:w="12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</w:trPr>
        <w:tc>
          <w:tcPr>
            <w:tcW w:w="1454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Outcome</w:t>
            </w:r>
          </w:p>
        </w:tc>
        <w:tc>
          <w:tcPr>
            <w:tcW w:w="1044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Number of studies</w:t>
            </w:r>
          </w:p>
        </w:tc>
        <w:tc>
          <w:tcPr>
            <w:tcW w:w="900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Study design</w:t>
            </w:r>
          </w:p>
        </w:tc>
        <w:tc>
          <w:tcPr>
            <w:tcW w:w="864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Risk of bias</w:t>
            </w:r>
          </w:p>
        </w:tc>
        <w:tc>
          <w:tcPr>
            <w:tcW w:w="1395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Inconsistency</w:t>
            </w:r>
          </w:p>
        </w:tc>
        <w:tc>
          <w:tcPr>
            <w:tcW w:w="1289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Indirectness</w:t>
            </w:r>
          </w:p>
        </w:tc>
        <w:tc>
          <w:tcPr>
            <w:tcW w:w="1259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Imprecision</w:t>
            </w:r>
          </w:p>
        </w:tc>
        <w:tc>
          <w:tcPr>
            <w:tcW w:w="1585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Publication bias</w:t>
            </w:r>
          </w:p>
        </w:tc>
        <w:tc>
          <w:tcPr>
            <w:tcW w:w="1630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Other (i.e.,dose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response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gradient; and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direction of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confounding)</w:t>
            </w:r>
          </w:p>
        </w:tc>
        <w:tc>
          <w:tcPr>
            <w:tcW w:w="1703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HR (95% CI)</w:t>
            </w:r>
          </w:p>
        </w:tc>
        <w:tc>
          <w:tcPr>
            <w:tcW w:w="1289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Estimated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absolute risk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increase</w:t>
            </w:r>
          </w:p>
        </w:tc>
        <w:tc>
          <w:tcPr>
            <w:tcW w:w="1067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Certainty</w:t>
            </w:r>
          </w:p>
        </w:tc>
        <w:tc>
          <w:tcPr>
            <w:tcW w:w="1230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Importance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Major cardiovascular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Cohort studies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Serious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Serious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Not serious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Not serious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Not serious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1.54 (1.32- 1.79)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9.0%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Critical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Myocardial infarction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Cohort studies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Serious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Serious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Not serious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Not serious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Not serious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1.41 (1.29- 1.54)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2.4%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Critical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Stroke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Cohort studies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Serious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Serious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Not serious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Not serious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Not serious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1.45 (1.32- 1.60)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4.9%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Critical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5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Congestive heart failure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Cohort studies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Serious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Serious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Serious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Not serious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Not serious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1.51 (1.46- 1.56)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8.6%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Very low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Important</w:t>
            </w:r>
          </w:p>
        </w:tc>
      </w:tr>
    </w:tbl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sectPr>
          <w:pgSz w:w="16838" w:h="11906" w:orient="landscape"/>
          <w:pgMar w:top="1800" w:right="1440" w:bottom="1800" w:left="144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eTable 3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Summary of outcomes and certainty assessment</w:t>
      </w:r>
    </w:p>
    <w:tbl>
      <w:tblPr>
        <w:tblStyle w:val="2"/>
        <w:tblW w:w="14232" w:type="dxa"/>
        <w:tblInd w:w="-32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1500"/>
        <w:gridCol w:w="1224"/>
        <w:gridCol w:w="1932"/>
        <w:gridCol w:w="1519"/>
        <w:gridCol w:w="1430"/>
        <w:gridCol w:w="2439"/>
        <w:gridCol w:w="1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808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Study (year) [inf.]</w:t>
            </w:r>
          </w:p>
        </w:tc>
        <w:tc>
          <w:tcPr>
            <w:tcW w:w="1500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Study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participation</w:t>
            </w:r>
          </w:p>
        </w:tc>
        <w:tc>
          <w:tcPr>
            <w:tcW w:w="1224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Study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attrition</w:t>
            </w:r>
          </w:p>
        </w:tc>
        <w:tc>
          <w:tcPr>
            <w:tcW w:w="1932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Prognostic factor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measurement</w:t>
            </w:r>
          </w:p>
        </w:tc>
        <w:tc>
          <w:tcPr>
            <w:tcW w:w="1519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Outcome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measurement</w:t>
            </w:r>
          </w:p>
        </w:tc>
        <w:tc>
          <w:tcPr>
            <w:tcW w:w="1430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Study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confounding</w:t>
            </w:r>
          </w:p>
        </w:tc>
        <w:tc>
          <w:tcPr>
            <w:tcW w:w="2439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Statistical analysis and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reporting</w:t>
            </w:r>
          </w:p>
        </w:tc>
        <w:tc>
          <w:tcPr>
            <w:tcW w:w="1380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Overall risk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of bias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Ishani 2005 [27]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Lee 2013 [28]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Yende 2014 [29]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Walkey 2014 [30]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Jafarzadeh 2016 [31]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Ou 2016 [32]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Wang 2017 [33]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Boehme 2017 [34]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Shih 2017 [35]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Cheng 2017 [36]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Cheng 2017 [37]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Lai 2018 [38]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 Geer 2018 [39]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Vallabhajosyula 2018 [40]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Gadre 2019 [41]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Shao 2019 [42]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Hsieh 2019 [43]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Wu 2019 [44]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Sebastian 2019 [45]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Hsiao 2022 [46]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Angriman 2022 [10]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Walkey 2023 [47]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Jentzer 2023 [11]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Angriman 2023 [48]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80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Angriman 2023 [49]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51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243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Moderate</w:t>
            </w:r>
          </w:p>
        </w:tc>
      </w:tr>
    </w:tbl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eTable 4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Quality in prognostic Factor Studies (QUIPS) checklist for individual studies.</w:t>
      </w: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2"/>
        <w:tblW w:w="838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4"/>
        <w:gridCol w:w="1450"/>
        <w:gridCol w:w="2544"/>
        <w:gridCol w:w="1282"/>
        <w:gridCol w:w="11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004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Follow-up times</w:t>
            </w:r>
          </w:p>
        </w:tc>
        <w:tc>
          <w:tcPr>
            <w:tcW w:w="1450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NO.(studies)</w:t>
            </w:r>
          </w:p>
        </w:tc>
        <w:tc>
          <w:tcPr>
            <w:tcW w:w="2544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Hazard ratio (95% CI)</w:t>
            </w:r>
          </w:p>
        </w:tc>
        <w:tc>
          <w:tcPr>
            <w:tcW w:w="1282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value</w:t>
            </w:r>
          </w:p>
        </w:tc>
        <w:tc>
          <w:tcPr>
            <w:tcW w:w="1103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 to 2 years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1.86 (1.30, 2.65)    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0.001 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to 5 years 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1.58 (1.20, 2.09)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0.001 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more than 5 years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 (1.21, 1.29)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00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Overall 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5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1.45 (1.32, 1.60)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94.80%</w:t>
            </w:r>
          </w:p>
        </w:tc>
      </w:tr>
    </w:tbl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sectPr>
          <w:pgSz w:w="16838" w:h="11906" w:orient="landscape"/>
          <w:pgMar w:top="1800" w:right="1440" w:bottom="1800" w:left="144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eTable 5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The risk of post-discharge cardiovascular events </w:t>
      </w:r>
      <w:bookmarkStart w:id="3" w:name="OLE_LINK61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at different follow-up time</w:t>
      </w:r>
      <w:bookmarkEnd w:id="3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.</w:t>
      </w: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sectPr>
          <w:pgSz w:w="16838" w:h="11906" w:orient="landscape"/>
          <w:pgMar w:top="1800" w:right="1440" w:bottom="1800" w:left="144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yriadPro-SemiboldSemi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kZGRmZGNkZGQxYzk4ZTdkYWU4Mjg0NTNhM2Q1M2YifQ=="/>
  </w:docVars>
  <w:rsids>
    <w:rsidRoot w:val="5F201703"/>
    <w:rsid w:val="020A1AA9"/>
    <w:rsid w:val="0DC13250"/>
    <w:rsid w:val="0E0B0E8F"/>
    <w:rsid w:val="12B94EC3"/>
    <w:rsid w:val="1B4B4456"/>
    <w:rsid w:val="2B0C5D11"/>
    <w:rsid w:val="34F6184E"/>
    <w:rsid w:val="387346E9"/>
    <w:rsid w:val="49A278C2"/>
    <w:rsid w:val="5D2A2DEF"/>
    <w:rsid w:val="5F201703"/>
    <w:rsid w:val="5FFD5B08"/>
    <w:rsid w:val="70B841B5"/>
    <w:rsid w:val="7F5D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autoRedefine/>
    <w:qFormat/>
    <w:uiPriority w:val="0"/>
    <w:rPr>
      <w:rFonts w:ascii="Courier New" w:hAnsi="Courier New" w:cs="Courier New"/>
      <w:color w:val="000000"/>
      <w:sz w:val="24"/>
      <w:szCs w:val="24"/>
      <w:u w:val="none"/>
    </w:rPr>
  </w:style>
  <w:style w:type="character" w:customStyle="1" w:styleId="5">
    <w:name w:val="font21"/>
    <w:basedOn w:val="3"/>
    <w:autoRedefine/>
    <w:qFormat/>
    <w:uiPriority w:val="0"/>
    <w:rPr>
      <w:rFonts w:ascii="Calibri" w:hAnsi="Calibri" w:cs="Calibri"/>
      <w:color w:val="000000"/>
      <w:sz w:val="24"/>
      <w:szCs w:val="24"/>
      <w:u w:val="single"/>
    </w:rPr>
  </w:style>
  <w:style w:type="character" w:customStyle="1" w:styleId="6">
    <w:name w:val="font31"/>
    <w:basedOn w:val="3"/>
    <w:autoRedefine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7">
    <w:name w:val="font41"/>
    <w:basedOn w:val="3"/>
    <w:autoRedefine/>
    <w:qFormat/>
    <w:uiPriority w:val="0"/>
    <w:rPr>
      <w:rFonts w:hint="default" w:ascii="Arial" w:hAnsi="Arial" w:cs="Arial"/>
      <w:color w:val="000000"/>
      <w:sz w:val="19"/>
      <w:szCs w:val="19"/>
      <w:u w:val="none"/>
    </w:rPr>
  </w:style>
  <w:style w:type="character" w:customStyle="1" w:styleId="8">
    <w:name w:val="font51"/>
    <w:basedOn w:val="3"/>
    <w:autoRedefine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9">
    <w:name w:val="font61"/>
    <w:basedOn w:val="3"/>
    <w:autoRedefine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character" w:customStyle="1" w:styleId="10">
    <w:name w:val="font71"/>
    <w:basedOn w:val="3"/>
    <w:autoRedefine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2024-04-04T04:17:00Z</dcterms:created>
  <dc:creator>吾辈</dc:creator>
  <cp:lastModifiedBy>吾辈</cp:lastModifiedBy>
  <dcterms:modified xsi:type="dcterms:W3CDTF">2024-04-18T03:50:56Z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80E80760DFC64C599864CE147F6532E1_11</vt:lpwstr>
  </property>
</Properties>
</file>