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8310B" w14:textId="77777777" w:rsidR="00842053" w:rsidRDefault="00842053" w:rsidP="00842053">
      <w:pPr>
        <w:pStyle w:val="heading1"/>
        <w:spacing w:before="120"/>
      </w:pPr>
      <w:r>
        <w:t>Appendix</w:t>
      </w:r>
    </w:p>
    <w:p w14:paraId="2A2E378F" w14:textId="77777777" w:rsidR="00842053" w:rsidRDefault="00842053" w:rsidP="00842053">
      <w:bookmarkStart w:id="0" w:name="_Hlk138756788"/>
      <w:r>
        <w:t>The</w:t>
      </w:r>
      <w:r>
        <w:rPr>
          <w:rFonts w:hint="eastAsia"/>
        </w:rPr>
        <w:t xml:space="preserve"> metrics</w:t>
      </w:r>
      <w:r>
        <w:t xml:space="preserve"> used for the classification</w:t>
      </w:r>
      <w:r>
        <w:rPr>
          <w:rFonts w:hint="eastAsia"/>
        </w:rPr>
        <w:t>, including Accuracy, Precision, Recall rate, F1-scores, AUC,</w:t>
      </w:r>
      <w:r>
        <w:t xml:space="preserve"> are defined as the follows:</w:t>
      </w:r>
    </w:p>
    <w:p w14:paraId="4A162424" w14:textId="77777777" w:rsidR="00842053" w:rsidRDefault="00842053" w:rsidP="00842053">
      <w:pPr>
        <w:pStyle w:val="equation"/>
      </w:pPr>
      <m:oMathPara>
        <m:oMath>
          <m:eqArr>
            <m:eqArrPr>
              <m:maxDist m:val="1"/>
              <m:ctrlPr>
                <w:rPr>
                  <w:rFonts w:ascii="Cambria Math" w:hAnsi="Cambria Math"/>
                </w:rPr>
              </m:ctrlPr>
            </m:eqArrPr>
            <m:e>
              <m:r>
                <m:rPr>
                  <m:sty m:val="p"/>
                </m:rPr>
                <w:rPr>
                  <w:rFonts w:ascii="Cambria Math" w:hAnsi="Cambria Math"/>
                </w:rPr>
                <m:t>Accuracy=</m:t>
              </m:r>
              <m:f>
                <m:fPr>
                  <m:ctrlPr>
                    <w:rPr>
                      <w:rFonts w:ascii="Cambria Math" w:hAnsi="Cambria Math"/>
                    </w:rPr>
                  </m:ctrlPr>
                </m:fPr>
                <m:num>
                  <m:r>
                    <m:rPr>
                      <m:sty m:val="p"/>
                    </m:rPr>
                    <w:rPr>
                      <w:rFonts w:ascii="Cambria Math" w:hAnsi="Cambria Math"/>
                    </w:rPr>
                    <m:t>TP+TN</m:t>
                  </m:r>
                </m:num>
                <m:den>
                  <m:r>
                    <m:rPr>
                      <m:sty m:val="p"/>
                    </m:rPr>
                    <w:rPr>
                      <w:rFonts w:ascii="Cambria Math" w:hAnsi="Cambria Math"/>
                    </w:rPr>
                    <m:t>TP+FP+TN+FN</m:t>
                  </m:r>
                </m:den>
              </m:f>
              <m:r>
                <m:rPr>
                  <m:sty m:val="p"/>
                </m:rPr>
                <w:rPr>
                  <w:rFonts w:ascii="Cambria Math" w:hAnsi="Cambria Math"/>
                </w:rPr>
                <m:t>#</m:t>
              </m:r>
              <m:d>
                <m:dPr>
                  <m:ctrlPr>
                    <w:rPr>
                      <w:rFonts w:ascii="Cambria Math" w:hAnsi="Cambria Math"/>
                    </w:rPr>
                  </m:ctrlPr>
                </m:dPr>
                <m:e>
                  <m:r>
                    <m:rPr>
                      <m:sty m:val="p"/>
                    </m:rPr>
                    <w:rPr>
                      <w:rFonts w:ascii="Cambria Math" w:hAnsi="Cambria Math"/>
                    </w:rPr>
                    <m:t>1</m:t>
                  </m:r>
                </m:e>
              </m:d>
            </m:e>
          </m:eqArr>
        </m:oMath>
      </m:oMathPara>
    </w:p>
    <w:p w14:paraId="4E7565F3" w14:textId="77777777" w:rsidR="00842053" w:rsidRDefault="00842053" w:rsidP="00842053">
      <w:pPr>
        <w:pStyle w:val="equation"/>
      </w:pPr>
      <m:oMathPara>
        <m:oMath>
          <m:eqArr>
            <m:eqArrPr>
              <m:maxDist m:val="1"/>
              <m:ctrlPr>
                <w:rPr>
                  <w:rFonts w:ascii="Cambria Math" w:hAnsi="Cambria Math"/>
                </w:rPr>
              </m:ctrlPr>
            </m:eqArrPr>
            <m:e>
              <m:r>
                <m:rPr>
                  <m:sty m:val="p"/>
                </m:rPr>
                <w:rPr>
                  <w:rFonts w:ascii="Cambria Math" w:hAnsi="Cambria Math"/>
                </w:rPr>
                <m:t>Precision=</m:t>
              </m:r>
              <m:f>
                <m:fPr>
                  <m:ctrlPr>
                    <w:rPr>
                      <w:rFonts w:ascii="Cambria Math" w:hAnsi="Cambria Math"/>
                    </w:rPr>
                  </m:ctrlPr>
                </m:fPr>
                <m:num>
                  <m:r>
                    <m:rPr>
                      <m:sty m:val="p"/>
                    </m:rPr>
                    <w:rPr>
                      <w:rFonts w:ascii="Cambria Math" w:hAnsi="Cambria Math"/>
                    </w:rPr>
                    <m:t>TP</m:t>
                  </m:r>
                </m:num>
                <m:den>
                  <m:r>
                    <m:rPr>
                      <m:sty m:val="p"/>
                    </m:rPr>
                    <w:rPr>
                      <w:rFonts w:ascii="Cambria Math" w:hAnsi="Cambria Math"/>
                    </w:rPr>
                    <m:t>TP+FP</m:t>
                  </m:r>
                </m:den>
              </m:f>
              <m:r>
                <m:rPr>
                  <m:sty m:val="p"/>
                </m:rPr>
                <w:rPr>
                  <w:rFonts w:ascii="Cambria Math" w:hAnsi="Cambria Math"/>
                </w:rPr>
                <m:t>#</m:t>
              </m:r>
              <m:d>
                <m:dPr>
                  <m:ctrlPr>
                    <w:rPr>
                      <w:rFonts w:ascii="Cambria Math" w:hAnsi="Cambria Math"/>
                    </w:rPr>
                  </m:ctrlPr>
                </m:dPr>
                <m:e>
                  <m:r>
                    <m:rPr>
                      <m:sty m:val="p"/>
                    </m:rPr>
                    <w:rPr>
                      <w:rFonts w:ascii="Cambria Math" w:hAnsi="Cambria Math"/>
                    </w:rPr>
                    <m:t>2</m:t>
                  </m:r>
                </m:e>
              </m:d>
            </m:e>
          </m:eqArr>
        </m:oMath>
      </m:oMathPara>
    </w:p>
    <w:p w14:paraId="08D4F233" w14:textId="77777777" w:rsidR="00842053" w:rsidRDefault="00842053" w:rsidP="00842053">
      <w:pPr>
        <w:pStyle w:val="equation"/>
      </w:pPr>
      <m:oMathPara>
        <m:oMath>
          <m:eqArr>
            <m:eqArrPr>
              <m:maxDist m:val="1"/>
              <m:ctrlPr>
                <w:rPr>
                  <w:rFonts w:ascii="Cambria Math" w:hAnsi="Cambria Math"/>
                </w:rPr>
              </m:ctrlPr>
            </m:eqArrPr>
            <m:e>
              <m:r>
                <m:rPr>
                  <m:sty m:val="p"/>
                </m:rPr>
                <w:rPr>
                  <w:rFonts w:ascii="Cambria Math" w:hAnsi="Cambria Math"/>
                </w:rPr>
                <m:t>Recall=</m:t>
              </m:r>
              <m:f>
                <m:fPr>
                  <m:ctrlPr>
                    <w:rPr>
                      <w:rFonts w:ascii="Cambria Math" w:hAnsi="Cambria Math"/>
                    </w:rPr>
                  </m:ctrlPr>
                </m:fPr>
                <m:num>
                  <m:r>
                    <m:rPr>
                      <m:sty m:val="p"/>
                    </m:rPr>
                    <w:rPr>
                      <w:rFonts w:ascii="Cambria Math" w:hAnsi="Cambria Math"/>
                    </w:rPr>
                    <m:t>TP</m:t>
                  </m:r>
                </m:num>
                <m:den>
                  <m:r>
                    <m:rPr>
                      <m:sty m:val="p"/>
                    </m:rPr>
                    <w:rPr>
                      <w:rFonts w:ascii="Cambria Math" w:hAnsi="Cambria Math"/>
                    </w:rPr>
                    <m:t>TP+FN</m:t>
                  </m:r>
                </m:den>
              </m:f>
              <m:r>
                <m:rPr>
                  <m:sty m:val="p"/>
                </m:rPr>
                <w:rPr>
                  <w:rFonts w:ascii="Cambria Math" w:hAnsi="Cambria Math"/>
                </w:rPr>
                <m:t>#</m:t>
              </m:r>
              <m:d>
                <m:dPr>
                  <m:ctrlPr>
                    <w:rPr>
                      <w:rFonts w:ascii="Cambria Math" w:hAnsi="Cambria Math"/>
                    </w:rPr>
                  </m:ctrlPr>
                </m:dPr>
                <m:e>
                  <m:r>
                    <m:rPr>
                      <m:sty m:val="p"/>
                    </m:rPr>
                    <w:rPr>
                      <w:rFonts w:ascii="Cambria Math" w:hAnsi="Cambria Math"/>
                    </w:rPr>
                    <m:t>3</m:t>
                  </m:r>
                </m:e>
              </m:d>
            </m:e>
          </m:eqArr>
        </m:oMath>
      </m:oMathPara>
    </w:p>
    <w:bookmarkEnd w:id="0"/>
    <w:p w14:paraId="6C5C369D" w14:textId="77777777" w:rsidR="00842053" w:rsidRDefault="00842053" w:rsidP="00842053">
      <w:pPr>
        <w:pStyle w:val="equation"/>
      </w:pPr>
      <m:oMathPara>
        <m:oMath>
          <m:eqArr>
            <m:eqArrPr>
              <m:maxDist m:val="1"/>
              <m:ctrlPr>
                <w:rPr>
                  <w:rFonts w:ascii="Cambria Math" w:hAnsi="Cambria Math"/>
                </w:rPr>
              </m:ctrlPr>
            </m:eqArrPr>
            <m:e>
              <m:r>
                <m:rPr>
                  <m:sty m:val="p"/>
                </m:rPr>
                <w:rPr>
                  <w:rFonts w:ascii="Cambria Math" w:hAnsi="Cambria Math"/>
                </w:rPr>
                <m:t>F1-score=2×</m:t>
              </m:r>
              <m:f>
                <m:fPr>
                  <m:ctrlPr>
                    <w:rPr>
                      <w:rFonts w:ascii="Cambria Math" w:hAnsi="Cambria Math"/>
                    </w:rPr>
                  </m:ctrlPr>
                </m:fPr>
                <m:num>
                  <m:r>
                    <m:rPr>
                      <m:sty m:val="p"/>
                    </m:rPr>
                    <w:rPr>
                      <w:rFonts w:ascii="Cambria Math" w:hAnsi="Cambria Math"/>
                    </w:rPr>
                    <m:t>Precision×Recall</m:t>
                  </m:r>
                </m:num>
                <m:den>
                  <m:r>
                    <m:rPr>
                      <m:sty m:val="p"/>
                    </m:rPr>
                    <w:rPr>
                      <w:rFonts w:ascii="Cambria Math" w:hAnsi="Cambria Math"/>
                    </w:rPr>
                    <m:t>Precision+Recall</m:t>
                  </m:r>
                </m:den>
              </m:f>
              <m:r>
                <m:rPr>
                  <m:sty m:val="p"/>
                </m:rPr>
                <w:rPr>
                  <w:rFonts w:ascii="Cambria Math" w:hAnsi="Cambria Math"/>
                </w:rPr>
                <m:t>#</m:t>
              </m:r>
              <m:d>
                <m:dPr>
                  <m:ctrlPr>
                    <w:rPr>
                      <w:rFonts w:ascii="Cambria Math" w:hAnsi="Cambria Math"/>
                    </w:rPr>
                  </m:ctrlPr>
                </m:dPr>
                <m:e>
                  <m:r>
                    <m:rPr>
                      <m:sty m:val="p"/>
                    </m:rPr>
                    <w:rPr>
                      <w:rFonts w:ascii="Cambria Math" w:hAnsi="Cambria Math"/>
                    </w:rPr>
                    <m:t>4</m:t>
                  </m:r>
                </m:e>
              </m:d>
            </m:e>
          </m:eqArr>
        </m:oMath>
      </m:oMathPara>
    </w:p>
    <w:p w14:paraId="28A805B2" w14:textId="77777777" w:rsidR="00842053" w:rsidRDefault="00842053" w:rsidP="00842053">
      <w:r>
        <w:t>TP: True &amp; Positive (positive indicates a positive sample, true indicates a correct prediction, i.e. a prediction of positive is correct)</w:t>
      </w:r>
    </w:p>
    <w:p w14:paraId="50EF3D6D" w14:textId="77777777" w:rsidR="00842053" w:rsidRDefault="00842053" w:rsidP="00842053">
      <w:r>
        <w:t>FP: False &amp; Positive (positive means positive sample, false means the prediction is wrong, i.e. it is wrong to predict positive)</w:t>
      </w:r>
    </w:p>
    <w:p w14:paraId="05146E8B" w14:textId="77777777" w:rsidR="00842053" w:rsidRDefault="00842053" w:rsidP="00842053">
      <w:r>
        <w:t>FN: False &amp; Negative (negative means negative sample, false means prediction error, i.e. it is wrong to predict negative)</w:t>
      </w:r>
    </w:p>
    <w:p w14:paraId="7BE18C34" w14:textId="77777777" w:rsidR="00842053" w:rsidRDefault="00842053" w:rsidP="00842053">
      <w:r>
        <w:t>TN: True &amp; Negative (negative indicates a negative sample, true indicates a correct prediction, i.e. it is correct to predict negative)</w:t>
      </w:r>
    </w:p>
    <w:p w14:paraId="16CCB28F" w14:textId="77777777" w:rsidR="00842053" w:rsidRDefault="00842053" w:rsidP="00842053">
      <w:pPr>
        <w:pStyle w:val="1"/>
      </w:pPr>
      <w:r>
        <w:t>Area Under Curve (AUC) is defined as the area under the Receiver Operating Characteristic (ROC) curve. It measures the ability of the model to distinguish between positive and negative samples. The larger the value of AUC, the better the performance of the model. The probabilistic interpretation of this is that AUC represents the probability that the model will rank positive samples ahead of negative samples.</w:t>
      </w:r>
    </w:p>
    <w:p w14:paraId="45EAE19B" w14:textId="77777777" w:rsidR="00842053" w:rsidRDefault="00842053" w:rsidP="00842053">
      <w:pPr>
        <w:pStyle w:val="1"/>
      </w:pPr>
      <w:r>
        <w:t>A brief description of the classifiers mentioned in the figure is given below:</w:t>
      </w:r>
    </w:p>
    <w:p w14:paraId="5EDDBFFD" w14:textId="77777777" w:rsidR="00842053" w:rsidRDefault="00842053" w:rsidP="00842053">
      <w:pPr>
        <w:pStyle w:val="1"/>
      </w:pPr>
      <w:r>
        <w:t>Naive Bayes: based on Bayes theorem, classification is done by calculating conditional probabilities of features.</w:t>
      </w:r>
    </w:p>
    <w:p w14:paraId="7C1B2E17" w14:textId="77777777" w:rsidR="00842053" w:rsidRDefault="00842053" w:rsidP="00842053">
      <w:pPr>
        <w:pStyle w:val="1"/>
      </w:pPr>
      <w:r>
        <w:lastRenderedPageBreak/>
        <w:t>Decision Tree: performs classification and regression by constructing a tree structure where each node of the tree represents a feature for decision making.</w:t>
      </w:r>
    </w:p>
    <w:p w14:paraId="39C418C0" w14:textId="77777777" w:rsidR="00842053" w:rsidRDefault="00842053" w:rsidP="00842053">
      <w:pPr>
        <w:pStyle w:val="1"/>
      </w:pPr>
      <w:r>
        <w:t>AdaBoost: Adaptive enhancement algorithm that improves the overall classification performance by integrating multiple weak classifiers and adjusting the sample weights each time.</w:t>
      </w:r>
    </w:p>
    <w:p w14:paraId="32F642E9" w14:textId="77777777" w:rsidR="00842053" w:rsidRDefault="00842053" w:rsidP="00842053">
      <w:pPr>
        <w:pStyle w:val="1"/>
      </w:pPr>
      <w:r>
        <w:t>Logistic Regression: a linear model for binary classification, by linearly combining the weights of the input features and then applying a logistic function to classify them.</w:t>
      </w:r>
    </w:p>
    <w:p w14:paraId="2C71B139" w14:textId="77777777" w:rsidR="00842053" w:rsidRDefault="00842053" w:rsidP="00842053">
      <w:pPr>
        <w:pStyle w:val="1"/>
      </w:pPr>
      <w:r>
        <w:t>Bagging: an integrated approach based on Bootstrap sampling for building multiple base learners.</w:t>
      </w:r>
    </w:p>
    <w:p w14:paraId="20A8A39D" w14:textId="77777777" w:rsidR="00842053" w:rsidRDefault="00842053" w:rsidP="00842053">
      <w:pPr>
        <w:pStyle w:val="1"/>
      </w:pPr>
      <w:r>
        <w:t>SVM: Classification by finding the optimal hyperplane that maximises the spacing between categories, suitable for both linear and non-linear classification problems.</w:t>
      </w:r>
    </w:p>
    <w:p w14:paraId="00997197" w14:textId="77777777" w:rsidR="00842053" w:rsidRDefault="00842053" w:rsidP="00842053">
      <w:pPr>
        <w:pStyle w:val="1"/>
      </w:pPr>
      <w:r>
        <w:t>Gradient Boosting: improves overall performance by iteratively training weak classifiers, each time adjusting the weights based on the previous error.</w:t>
      </w:r>
    </w:p>
    <w:p w14:paraId="19A76023" w14:textId="77777777" w:rsidR="00842053" w:rsidRDefault="00842053" w:rsidP="00842053">
      <w:pPr>
        <w:pStyle w:val="1"/>
      </w:pPr>
      <w:r>
        <w:t>XGBoost: an efficient gradient boosting algorithm that improves performance by using a tree model.</w:t>
      </w:r>
    </w:p>
    <w:p w14:paraId="451FCD9F" w14:textId="77777777" w:rsidR="00842053" w:rsidRDefault="00842053" w:rsidP="00842053">
      <w:pPr>
        <w:pStyle w:val="1"/>
      </w:pPr>
      <w:r>
        <w:t>Random Forest: a decision tree based integration method that reduces overfitting by randomly selecting features and samples to build multiple trees.</w:t>
      </w:r>
    </w:p>
    <w:p w14:paraId="702026DC" w14:textId="77777777" w:rsidR="00842053" w:rsidRDefault="00842053" w:rsidP="00842053">
      <w:pPr>
        <w:pStyle w:val="1"/>
      </w:pPr>
      <w:r>
        <w:t>LightGBM: a lightweight gradient boosting framework with efficient performance and distributed computing capabilities for large-scale datasets.</w:t>
      </w:r>
    </w:p>
    <w:p w14:paraId="1C7FC334" w14:textId="77777777" w:rsidR="00842053" w:rsidRDefault="00842053" w:rsidP="00842053">
      <w:pPr>
        <w:pStyle w:val="1"/>
      </w:pPr>
      <w:r>
        <w:t>KNN: Classification based on distance between samples, typically used for small-scale datasets and non-linear problems.</w:t>
      </w:r>
    </w:p>
    <w:p w14:paraId="6C707057" w14:textId="77777777" w:rsidR="00842053" w:rsidRDefault="00842053" w:rsidP="00842053">
      <w:pPr>
        <w:pStyle w:val="1"/>
      </w:pPr>
      <w:r>
        <w:t>CatBoost: a gradient boosting algorithm specifically designed to handle classification features and missing values with high performance.</w:t>
      </w:r>
    </w:p>
    <w:p w14:paraId="30929A44" w14:textId="77777777" w:rsidR="00842053" w:rsidRDefault="00842053" w:rsidP="00842053">
      <w:pPr>
        <w:pStyle w:val="1"/>
      </w:pPr>
      <w:r>
        <w:t>Extra Trees: a decision tree integration method, similar to Random Forest but more randomised to reduce overfitting.</w:t>
      </w:r>
    </w:p>
    <w:p w14:paraId="4FE692A3" w14:textId="77777777" w:rsidR="00F35240" w:rsidRDefault="00F35240"/>
    <w:sectPr w:rsidR="00F35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053"/>
    <w:rsid w:val="00342DA6"/>
    <w:rsid w:val="005868F4"/>
    <w:rsid w:val="00703469"/>
    <w:rsid w:val="00753CA0"/>
    <w:rsid w:val="007D23AF"/>
    <w:rsid w:val="00842053"/>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10353"/>
  <w15:chartTrackingRefBased/>
  <w15:docId w15:val="{11D2F736-5763-44D2-AC08-DE137B948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842053"/>
    <w:pPr>
      <w:overflowPunct w:val="0"/>
      <w:autoSpaceDE w:val="0"/>
      <w:autoSpaceDN w:val="0"/>
      <w:adjustRightInd w:val="0"/>
      <w:spacing w:beforeLines="50" w:before="120" w:after="0" w:line="360" w:lineRule="auto"/>
      <w:textAlignment w:val="baseline"/>
    </w:pPr>
    <w:rPr>
      <w:rFonts w:ascii="Times New Roman" w:eastAsia="Times New Roman" w:hAnsi="Times New Roman" w:cs="Times New Roman"/>
      <w:kern w:val="0"/>
      <w:sz w:val="24"/>
      <w:szCs w:val="20"/>
      <w:lang w:eastAsia="de-D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
    <w:name w:val="heading1"/>
    <w:basedOn w:val="Normal"/>
    <w:next w:val="Normal"/>
    <w:link w:val="heading1Char"/>
    <w:autoRedefine/>
    <w:qFormat/>
    <w:rsid w:val="00842053"/>
    <w:pPr>
      <w:keepNext/>
      <w:spacing w:before="240" w:after="180"/>
    </w:pPr>
    <w:rPr>
      <w:rFonts w:ascii="Arial" w:hAnsi="Arial"/>
      <w:b/>
      <w:sz w:val="32"/>
    </w:rPr>
  </w:style>
  <w:style w:type="paragraph" w:customStyle="1" w:styleId="equation">
    <w:name w:val="equation"/>
    <w:basedOn w:val="Normal"/>
    <w:next w:val="Normal"/>
    <w:autoRedefine/>
    <w:qFormat/>
    <w:rsid w:val="00842053"/>
    <w:pPr>
      <w:spacing w:after="120"/>
      <w:jc w:val="center"/>
    </w:pPr>
  </w:style>
  <w:style w:type="paragraph" w:customStyle="1" w:styleId="1">
    <w:name w:val="样式1"/>
    <w:basedOn w:val="Normal"/>
    <w:next w:val="Normal"/>
    <w:autoRedefine/>
    <w:qFormat/>
    <w:rsid w:val="00842053"/>
    <w:pPr>
      <w:outlineLvl w:val="1"/>
    </w:pPr>
    <w:rPr>
      <w:rFonts w:eastAsia="SimSun"/>
      <w:szCs w:val="24"/>
    </w:rPr>
  </w:style>
  <w:style w:type="character" w:customStyle="1" w:styleId="heading1Char">
    <w:name w:val="heading1 Char"/>
    <w:link w:val="heading1"/>
    <w:autoRedefine/>
    <w:qFormat/>
    <w:rsid w:val="00842053"/>
    <w:rPr>
      <w:rFonts w:ascii="Arial" w:eastAsia="Times New Roman" w:hAnsi="Arial" w:cs="Times New Roman"/>
      <w:b/>
      <w:kern w:val="0"/>
      <w:sz w:val="32"/>
      <w:szCs w:val="2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462</Words>
  <Characters>2639</Characters>
  <Application>Microsoft Office Word</Application>
  <DocSecurity>0</DocSecurity>
  <Lines>21</Lines>
  <Paragraphs>6</Paragraphs>
  <ScaleCrop>false</ScaleCrop>
  <Company>Springer Nature</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2024-04-29T05:15:00Z</dcterms:created>
  <dcterms:modified xsi:type="dcterms:W3CDTF">2024-04-29T05:15:00Z</dcterms:modified>
</cp:coreProperties>
</file>