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4662" w:rsidRDefault="00D04662" w:rsidP="00D04662">
      <w:pPr>
        <w:keepNext/>
        <w:keepLines/>
        <w:spacing w:after="0" w:line="240" w:lineRule="auto"/>
        <w:jc w:val="both"/>
        <w:outlineLvl w:val="0"/>
        <w:rPr>
          <w:rFonts w:ascii="Times New Roman" w:eastAsiaTheme="majorEastAsia" w:hAnsi="Times New Roman" w:cstheme="majorBidi"/>
          <w:b/>
          <w:color w:val="000000" w:themeColor="text1"/>
          <w:sz w:val="24"/>
          <w:szCs w:val="32"/>
          <w:lang w:val="en-US"/>
        </w:rPr>
      </w:pPr>
      <w:r>
        <w:rPr>
          <w:rFonts w:ascii="Times New Roman" w:eastAsiaTheme="majorEastAsia" w:hAnsi="Times New Roman" w:cstheme="majorBidi"/>
          <w:b/>
          <w:color w:val="000000" w:themeColor="text1"/>
          <w:sz w:val="24"/>
          <w:szCs w:val="32"/>
          <w:lang w:val="en-US"/>
        </w:rPr>
        <w:t>Supplementary information to:</w:t>
      </w:r>
    </w:p>
    <w:p w:rsidR="00D04662" w:rsidRDefault="00D04662" w:rsidP="00D04662">
      <w:pPr>
        <w:keepNext/>
        <w:keepLines/>
        <w:spacing w:after="0" w:line="240" w:lineRule="auto"/>
        <w:jc w:val="both"/>
        <w:outlineLvl w:val="0"/>
        <w:rPr>
          <w:rFonts w:ascii="Times New Roman" w:eastAsiaTheme="majorEastAsia" w:hAnsi="Times New Roman" w:cstheme="majorBidi"/>
          <w:b/>
          <w:color w:val="000000" w:themeColor="text1"/>
          <w:sz w:val="24"/>
          <w:szCs w:val="32"/>
          <w:lang w:val="en-US"/>
        </w:rPr>
      </w:pPr>
    </w:p>
    <w:p w:rsidR="00D04662" w:rsidRPr="00D04662" w:rsidRDefault="00D04662" w:rsidP="00D04662">
      <w:pPr>
        <w:keepNext/>
        <w:keepLines/>
        <w:spacing w:after="0" w:line="240" w:lineRule="auto"/>
        <w:jc w:val="both"/>
        <w:outlineLvl w:val="0"/>
        <w:rPr>
          <w:rFonts w:ascii="Times New Roman" w:eastAsiaTheme="majorEastAsia" w:hAnsi="Times New Roman" w:cstheme="majorBidi"/>
          <w:b/>
          <w:color w:val="000000" w:themeColor="text1"/>
          <w:sz w:val="24"/>
          <w:szCs w:val="32"/>
          <w:lang w:val="en-US"/>
        </w:rPr>
      </w:pPr>
      <w:r w:rsidRPr="00D04662">
        <w:rPr>
          <w:rFonts w:ascii="Times New Roman" w:eastAsiaTheme="majorEastAsia" w:hAnsi="Times New Roman" w:cstheme="majorBidi"/>
          <w:b/>
          <w:color w:val="000000" w:themeColor="text1"/>
          <w:sz w:val="24"/>
          <w:szCs w:val="32"/>
          <w:lang w:val="en-US"/>
        </w:rPr>
        <w:t>Long-term adjustment of the South America Atlantic Forest to atmospheric carbon dioxide concentration</w:t>
      </w:r>
    </w:p>
    <w:p w:rsidR="00D04662" w:rsidRPr="00D04662" w:rsidRDefault="00D04662" w:rsidP="00D04662">
      <w:pPr>
        <w:spacing w:before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4662">
        <w:rPr>
          <w:rFonts w:ascii="Times New Roman" w:hAnsi="Times New Roman"/>
          <w:sz w:val="24"/>
        </w:rPr>
        <w:t>Thiago P. Santos</w:t>
      </w:r>
      <w:r w:rsidRPr="00D04662">
        <w:rPr>
          <w:rFonts w:ascii="Times New Roman" w:hAnsi="Times New Roman"/>
          <w:sz w:val="24"/>
          <w:vertAlign w:val="superscript"/>
        </w:rPr>
        <w:t>1*</w:t>
      </w:r>
      <w:r w:rsidRPr="00D04662">
        <w:rPr>
          <w:rFonts w:ascii="Times New Roman" w:hAnsi="Times New Roman"/>
          <w:sz w:val="24"/>
        </w:rPr>
        <w:t xml:space="preserve">, </w:t>
      </w:r>
      <w:proofErr w:type="spellStart"/>
      <w:r w:rsidRPr="00D04662">
        <w:rPr>
          <w:rFonts w:ascii="Times New Roman" w:hAnsi="Times New Roman" w:cs="Times New Roman"/>
          <w:sz w:val="24"/>
          <w:szCs w:val="24"/>
        </w:rPr>
        <w:t>Ioanna</w:t>
      </w:r>
      <w:proofErr w:type="spellEnd"/>
      <w:r w:rsidRPr="00D04662">
        <w:rPr>
          <w:rFonts w:ascii="Times New Roman" w:hAnsi="Times New Roman" w:cs="Times New Roman"/>
          <w:sz w:val="24"/>
          <w:szCs w:val="24"/>
        </w:rPr>
        <w:t xml:space="preserve"> Bouloubassi</w:t>
      </w:r>
      <w:r w:rsidRPr="00D04662">
        <w:rPr>
          <w:rFonts w:ascii="Times New Roman" w:hAnsi="Times New Roman"/>
          <w:sz w:val="24"/>
          <w:vertAlign w:val="superscript"/>
        </w:rPr>
        <w:t>2</w:t>
      </w:r>
      <w:r w:rsidRPr="00D04662">
        <w:rPr>
          <w:rFonts w:ascii="Times New Roman" w:hAnsi="Times New Roman"/>
          <w:sz w:val="24"/>
        </w:rPr>
        <w:t>,</w:t>
      </w:r>
      <w:r w:rsidRPr="00D04662">
        <w:rPr>
          <w:rFonts w:ascii="Times New Roman" w:hAnsi="Times New Roman" w:cs="Times New Roman"/>
          <w:sz w:val="24"/>
          <w:szCs w:val="24"/>
        </w:rPr>
        <w:t xml:space="preserve"> Joana F. Cruz</w:t>
      </w:r>
      <w:r w:rsidRPr="00D0466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D04662">
        <w:rPr>
          <w:rFonts w:ascii="Times New Roman" w:hAnsi="Times New Roman"/>
          <w:sz w:val="24"/>
        </w:rPr>
        <w:t>, Alice M. S. Rodrigues</w:t>
      </w:r>
      <w:r w:rsidRPr="00D04662">
        <w:rPr>
          <w:rFonts w:ascii="Times New Roman" w:hAnsi="Times New Roman"/>
          <w:sz w:val="24"/>
          <w:vertAlign w:val="superscript"/>
        </w:rPr>
        <w:t>3</w:t>
      </w:r>
      <w:r w:rsidRPr="00D04662">
        <w:rPr>
          <w:rFonts w:ascii="Times New Roman" w:hAnsi="Times New Roman"/>
          <w:sz w:val="24"/>
        </w:rPr>
        <w:t>, Marie-Pierre Ledru</w:t>
      </w:r>
      <w:r w:rsidRPr="00D04662">
        <w:rPr>
          <w:rFonts w:ascii="Times New Roman" w:hAnsi="Times New Roman"/>
          <w:sz w:val="24"/>
          <w:vertAlign w:val="superscript"/>
        </w:rPr>
        <w:t>4</w:t>
      </w:r>
      <w:r w:rsidRPr="00D04662">
        <w:rPr>
          <w:rFonts w:ascii="Times New Roman" w:hAnsi="Times New Roman"/>
          <w:sz w:val="24"/>
        </w:rPr>
        <w:t>, Arnaud Huguet</w:t>
      </w:r>
      <w:r w:rsidRPr="00D04662">
        <w:rPr>
          <w:rFonts w:ascii="Times New Roman" w:hAnsi="Times New Roman"/>
          <w:sz w:val="24"/>
          <w:vertAlign w:val="superscript"/>
        </w:rPr>
        <w:t>5</w:t>
      </w:r>
      <w:r w:rsidRPr="00D04662">
        <w:rPr>
          <w:rFonts w:ascii="Times New Roman" w:hAnsi="Times New Roman"/>
          <w:sz w:val="24"/>
        </w:rPr>
        <w:t>, Marília H. Shimizu</w:t>
      </w:r>
      <w:r w:rsidRPr="00D04662">
        <w:rPr>
          <w:rFonts w:ascii="Times New Roman" w:hAnsi="Times New Roman"/>
          <w:sz w:val="24"/>
          <w:vertAlign w:val="superscript"/>
        </w:rPr>
        <w:t>6,8</w:t>
      </w:r>
      <w:r w:rsidRPr="00D04662">
        <w:rPr>
          <w:rFonts w:ascii="Times New Roman" w:hAnsi="Times New Roman"/>
          <w:sz w:val="24"/>
        </w:rPr>
        <w:t xml:space="preserve">, </w:t>
      </w:r>
      <w:proofErr w:type="spellStart"/>
      <w:r w:rsidRPr="00D04662">
        <w:rPr>
          <w:rFonts w:ascii="Times New Roman" w:hAnsi="Times New Roman"/>
          <w:sz w:val="24"/>
        </w:rPr>
        <w:t>Murílo</w:t>
      </w:r>
      <w:proofErr w:type="spellEnd"/>
      <w:r w:rsidRPr="00D04662">
        <w:rPr>
          <w:rFonts w:ascii="Times New Roman" w:hAnsi="Times New Roman"/>
          <w:sz w:val="24"/>
        </w:rPr>
        <w:t xml:space="preserve"> R. Lemes</w:t>
      </w:r>
      <w:r w:rsidRPr="00D04662">
        <w:rPr>
          <w:rFonts w:ascii="Times New Roman" w:hAnsi="Times New Roman"/>
          <w:sz w:val="24"/>
          <w:vertAlign w:val="superscript"/>
        </w:rPr>
        <w:t>6</w:t>
      </w:r>
      <w:r w:rsidRPr="00D04662">
        <w:rPr>
          <w:rFonts w:ascii="Times New Roman" w:hAnsi="Times New Roman"/>
          <w:sz w:val="24"/>
        </w:rPr>
        <w:t>, Rodrigo A. Nascimento</w:t>
      </w:r>
      <w:r w:rsidRPr="00D04662">
        <w:rPr>
          <w:rFonts w:ascii="Times New Roman" w:hAnsi="Times New Roman"/>
          <w:sz w:val="24"/>
          <w:vertAlign w:val="superscript"/>
        </w:rPr>
        <w:t>7,8</w:t>
      </w:r>
      <w:r w:rsidRPr="00D04662">
        <w:rPr>
          <w:rFonts w:ascii="Times New Roman" w:hAnsi="Times New Roman"/>
          <w:sz w:val="24"/>
        </w:rPr>
        <w:t>, Igor M. Venancio</w:t>
      </w:r>
      <w:r w:rsidRPr="00D04662">
        <w:rPr>
          <w:rFonts w:ascii="Times New Roman" w:hAnsi="Times New Roman"/>
          <w:sz w:val="24"/>
          <w:vertAlign w:val="superscript"/>
        </w:rPr>
        <w:t>3</w:t>
      </w:r>
      <w:r w:rsidRPr="00D04662">
        <w:rPr>
          <w:rFonts w:ascii="Times New Roman" w:hAnsi="Times New Roman"/>
          <w:sz w:val="24"/>
        </w:rPr>
        <w:t>, Rodrigo L. Sobrinho</w:t>
      </w:r>
      <w:r w:rsidRPr="00D04662">
        <w:rPr>
          <w:rFonts w:ascii="Times New Roman" w:hAnsi="Times New Roman"/>
          <w:sz w:val="24"/>
          <w:vertAlign w:val="superscript"/>
        </w:rPr>
        <w:t>8</w:t>
      </w:r>
      <w:r w:rsidRPr="00D04662">
        <w:rPr>
          <w:rFonts w:ascii="Times New Roman" w:hAnsi="Times New Roman"/>
          <w:sz w:val="24"/>
        </w:rPr>
        <w:t>, Marcelo C. Bernardes</w:t>
      </w:r>
      <w:r w:rsidR="00BC1DCF">
        <w:rPr>
          <w:rFonts w:ascii="Times New Roman" w:hAnsi="Times New Roman"/>
          <w:sz w:val="24"/>
          <w:vertAlign w:val="superscript"/>
        </w:rPr>
        <w:t>³</w:t>
      </w:r>
      <w:bookmarkStart w:id="0" w:name="_GoBack"/>
      <w:bookmarkEnd w:id="0"/>
      <w:r w:rsidRPr="00D04662">
        <w:rPr>
          <w:rFonts w:ascii="Times New Roman" w:hAnsi="Times New Roman"/>
          <w:sz w:val="24"/>
        </w:rPr>
        <w:t xml:space="preserve">, </w:t>
      </w:r>
      <w:r w:rsidRPr="00D04662">
        <w:rPr>
          <w:rFonts w:ascii="Times New Roman" w:hAnsi="Times New Roman" w:cs="Times New Roman"/>
          <w:sz w:val="24"/>
        </w:rPr>
        <w:t>Ana</w:t>
      </w:r>
      <w:r w:rsidRPr="00D04662">
        <w:rPr>
          <w:rFonts w:ascii="Times New Roman" w:hAnsi="Times New Roman" w:cs="Times New Roman"/>
          <w:sz w:val="24"/>
          <w:szCs w:val="24"/>
        </w:rPr>
        <w:t xml:space="preserve"> Luiza S. Albuquerque</w:t>
      </w:r>
      <w:r w:rsidRPr="00D04662">
        <w:rPr>
          <w:rFonts w:ascii="Times New Roman" w:hAnsi="Times New Roman" w:cs="Times New Roman"/>
          <w:sz w:val="24"/>
          <w:szCs w:val="24"/>
          <w:vertAlign w:val="superscript"/>
        </w:rPr>
        <w:t>8</w:t>
      </w:r>
    </w:p>
    <w:p w:rsidR="00D04662" w:rsidRPr="00D04662" w:rsidRDefault="00D04662" w:rsidP="00D04662">
      <w:pPr>
        <w:spacing w:after="0" w:line="240" w:lineRule="auto"/>
        <w:jc w:val="both"/>
        <w:rPr>
          <w:rFonts w:ascii="Times New Roman" w:hAnsi="Times New Roman"/>
          <w:sz w:val="24"/>
          <w:lang w:val="en-US"/>
        </w:rPr>
      </w:pPr>
      <w:r w:rsidRPr="00D04662">
        <w:rPr>
          <w:rFonts w:ascii="Times New Roman" w:hAnsi="Times New Roman"/>
          <w:sz w:val="24"/>
          <w:vertAlign w:val="superscript"/>
          <w:lang w:val="en-US"/>
        </w:rPr>
        <w:t xml:space="preserve">1 </w:t>
      </w:r>
      <w:r w:rsidRPr="00D04662">
        <w:rPr>
          <w:rFonts w:ascii="Times New Roman" w:hAnsi="Times New Roman"/>
          <w:sz w:val="24"/>
          <w:lang w:val="en-US"/>
        </w:rPr>
        <w:t xml:space="preserve">School of Arts, Sciences and Humanities, University of São Paulo, </w:t>
      </w:r>
      <w:proofErr w:type="spellStart"/>
      <w:r w:rsidRPr="00D04662">
        <w:rPr>
          <w:rFonts w:ascii="Times New Roman" w:hAnsi="Times New Roman"/>
          <w:sz w:val="24"/>
          <w:lang w:val="en-US"/>
        </w:rPr>
        <w:t>Sãoo</w:t>
      </w:r>
      <w:proofErr w:type="spellEnd"/>
      <w:r w:rsidRPr="00D04662">
        <w:rPr>
          <w:rFonts w:ascii="Times New Roman" w:hAnsi="Times New Roman"/>
          <w:sz w:val="24"/>
          <w:lang w:val="en-US"/>
        </w:rPr>
        <w:t xml:space="preserve"> Paulo, Brazil.</w:t>
      </w:r>
    </w:p>
    <w:p w:rsidR="00D04662" w:rsidRPr="00D04662" w:rsidRDefault="00D04662" w:rsidP="00D04662">
      <w:pPr>
        <w:spacing w:after="0" w:line="240" w:lineRule="auto"/>
        <w:jc w:val="both"/>
        <w:rPr>
          <w:rFonts w:ascii="Times New Roman" w:hAnsi="Times New Roman"/>
          <w:sz w:val="24"/>
          <w:lang w:val="en-US"/>
        </w:rPr>
      </w:pPr>
      <w:r w:rsidRPr="00D04662">
        <w:rPr>
          <w:rFonts w:ascii="Times New Roman" w:hAnsi="Times New Roman"/>
          <w:sz w:val="24"/>
          <w:vertAlign w:val="superscript"/>
          <w:lang w:val="en-US"/>
        </w:rPr>
        <w:t>2</w:t>
      </w:r>
      <w:r w:rsidRPr="00D04662">
        <w:rPr>
          <w:rFonts w:ascii="Times New Roman" w:hAnsi="Times New Roman"/>
          <w:sz w:val="24"/>
          <w:lang w:val="fr-FR"/>
        </w:rPr>
        <w:t xml:space="preserve"> Laboratoire d'Océanographie et du Climat: Expérimentations et approches numériques (LOCEAN/IPSL), Sorbonne Université, Campus Pierre et Marie Curie, Paris, France. </w:t>
      </w:r>
    </w:p>
    <w:p w:rsidR="00D04662" w:rsidRPr="00D04662" w:rsidRDefault="00D04662" w:rsidP="00D04662">
      <w:pPr>
        <w:spacing w:after="0" w:line="240" w:lineRule="auto"/>
        <w:jc w:val="both"/>
        <w:rPr>
          <w:rFonts w:ascii="Times New Roman" w:hAnsi="Times New Roman"/>
          <w:sz w:val="24"/>
          <w:lang w:val="fr-FR"/>
        </w:rPr>
      </w:pPr>
      <w:r w:rsidRPr="00D04662">
        <w:rPr>
          <w:rFonts w:ascii="Times New Roman" w:hAnsi="Times New Roman"/>
          <w:sz w:val="24"/>
          <w:vertAlign w:val="superscript"/>
          <w:lang w:val="fr-FR"/>
        </w:rPr>
        <w:t xml:space="preserve">3 </w:t>
      </w:r>
      <w:r w:rsidRPr="00D04662">
        <w:rPr>
          <w:rFonts w:ascii="Times New Roman" w:hAnsi="Times New Roman"/>
          <w:sz w:val="24"/>
        </w:rPr>
        <w:t xml:space="preserve">Programa de Geociências (Geoquímica), Universidade Federal Fluminense, Niterói, </w:t>
      </w:r>
      <w:proofErr w:type="spellStart"/>
      <w:r w:rsidRPr="00D04662">
        <w:rPr>
          <w:rFonts w:ascii="Times New Roman" w:hAnsi="Times New Roman"/>
          <w:sz w:val="24"/>
        </w:rPr>
        <w:t>Brazil</w:t>
      </w:r>
      <w:proofErr w:type="spellEnd"/>
      <w:r w:rsidRPr="00D04662">
        <w:rPr>
          <w:rFonts w:ascii="Times New Roman" w:hAnsi="Times New Roman"/>
          <w:sz w:val="24"/>
        </w:rPr>
        <w:t xml:space="preserve">. </w:t>
      </w:r>
    </w:p>
    <w:p w:rsidR="00D04662" w:rsidRPr="00D04662" w:rsidRDefault="00D04662" w:rsidP="00D04662">
      <w:pPr>
        <w:spacing w:after="0" w:line="240" w:lineRule="auto"/>
        <w:jc w:val="both"/>
        <w:rPr>
          <w:rFonts w:ascii="Times New Roman" w:hAnsi="Times New Roman"/>
          <w:sz w:val="24"/>
          <w:lang w:val="fr-FR"/>
        </w:rPr>
      </w:pPr>
      <w:r w:rsidRPr="00D04662">
        <w:rPr>
          <w:rFonts w:ascii="Times New Roman" w:hAnsi="Times New Roman"/>
          <w:sz w:val="24"/>
          <w:vertAlign w:val="superscript"/>
          <w:lang w:val="fr-FR"/>
        </w:rPr>
        <w:t xml:space="preserve">4 </w:t>
      </w:r>
      <w:r w:rsidRPr="00D04662">
        <w:rPr>
          <w:rFonts w:ascii="Times New Roman" w:hAnsi="Times New Roman"/>
          <w:sz w:val="24"/>
          <w:lang w:val="fr-FR"/>
        </w:rPr>
        <w:t xml:space="preserve">ISEM, Univ Montpellier, CNRS, EPHE, IRD, 34095, Montpellier, France. </w:t>
      </w:r>
    </w:p>
    <w:p w:rsidR="00D04662" w:rsidRPr="00D04662" w:rsidRDefault="00D04662" w:rsidP="00D04662">
      <w:pPr>
        <w:spacing w:after="0" w:line="240" w:lineRule="auto"/>
        <w:jc w:val="both"/>
        <w:rPr>
          <w:rFonts w:ascii="Times New Roman" w:hAnsi="Times New Roman"/>
          <w:sz w:val="24"/>
          <w:lang w:val="en-US"/>
        </w:rPr>
      </w:pPr>
      <w:r w:rsidRPr="00D04662">
        <w:rPr>
          <w:rFonts w:ascii="Times New Roman" w:hAnsi="Times New Roman"/>
          <w:sz w:val="24"/>
          <w:vertAlign w:val="superscript"/>
          <w:lang w:val="en-US"/>
        </w:rPr>
        <w:t xml:space="preserve">5 </w:t>
      </w:r>
      <w:r w:rsidRPr="00D04662">
        <w:rPr>
          <w:rFonts w:ascii="Times New Roman" w:hAnsi="Times New Roman"/>
          <w:sz w:val="24"/>
          <w:lang w:val="fr-FR"/>
        </w:rPr>
        <w:t>Sorbonne Université, CNRS, EPHE, PSL, UMR METIS, Paris, France.</w:t>
      </w:r>
      <w:r w:rsidRPr="00D04662">
        <w:rPr>
          <w:rFonts w:ascii="Times New Roman" w:hAnsi="Times New Roman"/>
          <w:sz w:val="24"/>
          <w:lang w:val="en-US"/>
        </w:rPr>
        <w:t xml:space="preserve"> </w:t>
      </w:r>
    </w:p>
    <w:p w:rsidR="00D04662" w:rsidRPr="00D04662" w:rsidRDefault="00D04662" w:rsidP="00D04662">
      <w:pPr>
        <w:spacing w:after="0" w:line="240" w:lineRule="auto"/>
        <w:jc w:val="both"/>
        <w:rPr>
          <w:rFonts w:ascii="Times New Roman" w:hAnsi="Times New Roman"/>
          <w:sz w:val="24"/>
          <w:lang w:val="fr-FR"/>
        </w:rPr>
      </w:pPr>
      <w:r w:rsidRPr="00D04662">
        <w:rPr>
          <w:rFonts w:ascii="Times New Roman" w:hAnsi="Times New Roman"/>
          <w:sz w:val="24"/>
          <w:vertAlign w:val="superscript"/>
          <w:lang w:val="fr-FR"/>
        </w:rPr>
        <w:t xml:space="preserve">6 </w:t>
      </w:r>
      <w:r w:rsidRPr="00D04662">
        <w:rPr>
          <w:rFonts w:ascii="Times New Roman" w:hAnsi="Times New Roman"/>
          <w:sz w:val="24"/>
          <w:lang w:val="en-US"/>
        </w:rPr>
        <w:t xml:space="preserve">General Coordination of Earth Science, National Institute for Space Research, São José dos Campos, Brazil. </w:t>
      </w:r>
    </w:p>
    <w:p w:rsidR="00D04662" w:rsidRPr="00D04662" w:rsidRDefault="00D04662" w:rsidP="00D04662">
      <w:pPr>
        <w:spacing w:after="0" w:line="240" w:lineRule="auto"/>
        <w:jc w:val="both"/>
        <w:rPr>
          <w:rFonts w:ascii="Times New Roman" w:hAnsi="Times New Roman"/>
          <w:sz w:val="24"/>
          <w:lang w:val="en-US"/>
        </w:rPr>
      </w:pPr>
      <w:r w:rsidRPr="00D04662">
        <w:rPr>
          <w:rFonts w:ascii="Times New Roman" w:hAnsi="Times New Roman"/>
          <w:sz w:val="24"/>
          <w:vertAlign w:val="superscript"/>
          <w:lang w:val="en-US"/>
        </w:rPr>
        <w:t xml:space="preserve">7 </w:t>
      </w:r>
      <w:r w:rsidRPr="00D04662">
        <w:rPr>
          <w:rFonts w:ascii="Times New Roman" w:hAnsi="Times New Roman"/>
          <w:sz w:val="24"/>
          <w:lang w:val="fr-FR"/>
        </w:rPr>
        <w:t xml:space="preserve">Laboratoire des Sciences du Climat et de l’Environnement/Institut Pierre Simon Laplace, CEA-CNRS-UVSQ, Université Paris Saclay, Gif sur Yvette, France. </w:t>
      </w:r>
    </w:p>
    <w:p w:rsidR="00D04662" w:rsidRPr="00D04662" w:rsidRDefault="00D04662" w:rsidP="00D04662">
      <w:pPr>
        <w:spacing w:after="0" w:line="240" w:lineRule="auto"/>
        <w:jc w:val="both"/>
        <w:rPr>
          <w:rFonts w:ascii="Times New Roman" w:hAnsi="Times New Roman"/>
          <w:sz w:val="24"/>
          <w:lang w:val="fr-FR"/>
        </w:rPr>
      </w:pPr>
      <w:r w:rsidRPr="00D04662">
        <w:rPr>
          <w:rFonts w:ascii="Times New Roman" w:hAnsi="Times New Roman"/>
          <w:sz w:val="24"/>
          <w:vertAlign w:val="superscript"/>
          <w:lang w:val="fr-FR"/>
        </w:rPr>
        <w:t>8</w:t>
      </w:r>
      <w:r w:rsidRPr="00D04662">
        <w:rPr>
          <w:rFonts w:ascii="Times New Roman" w:hAnsi="Times New Roman"/>
          <w:sz w:val="24"/>
        </w:rPr>
        <w:t xml:space="preserve"> Programa de Pós-Graduação em Dinâmica dos Oceanos e da Terra, Universidade Federal Fluminense, Niterói, </w:t>
      </w:r>
      <w:proofErr w:type="spellStart"/>
      <w:r w:rsidRPr="00D04662">
        <w:rPr>
          <w:rFonts w:ascii="Times New Roman" w:hAnsi="Times New Roman"/>
          <w:sz w:val="24"/>
        </w:rPr>
        <w:t>Brazil</w:t>
      </w:r>
      <w:proofErr w:type="spellEnd"/>
      <w:r w:rsidRPr="00D04662">
        <w:rPr>
          <w:rFonts w:ascii="Times New Roman" w:hAnsi="Times New Roman"/>
          <w:sz w:val="24"/>
        </w:rPr>
        <w:t>.</w:t>
      </w:r>
    </w:p>
    <w:p w:rsidR="00A72F7A" w:rsidRDefault="00A72F7A">
      <w:pPr>
        <w:rPr>
          <w:lang w:val="fr-FR"/>
        </w:rPr>
      </w:pPr>
    </w:p>
    <w:p w:rsidR="00D04662" w:rsidRPr="00D04662" w:rsidRDefault="00D04662" w:rsidP="00D04662">
      <w:pPr>
        <w:spacing w:line="240" w:lineRule="auto"/>
        <w:jc w:val="both"/>
        <w:rPr>
          <w:rFonts w:ascii="Times New Roman" w:eastAsia="Calibri" w:hAnsi="Times New Roman" w:cs="Times New Roman"/>
          <w:b/>
          <w:kern w:val="2"/>
          <w:sz w:val="24"/>
          <w:szCs w:val="24"/>
          <w:lang w:val="en-US"/>
          <w14:ligatures w14:val="standardContextual"/>
        </w:rPr>
      </w:pPr>
      <w:r w:rsidRPr="00D04662">
        <w:rPr>
          <w:rFonts w:ascii="Times New Roman" w:eastAsia="Calibri" w:hAnsi="Times New Roman" w:cs="Times New Roman"/>
          <w:b/>
          <w:kern w:val="2"/>
          <w:sz w:val="24"/>
          <w:szCs w:val="24"/>
          <w:lang w:val="en-US"/>
          <w14:ligatures w14:val="standardContextual"/>
        </w:rPr>
        <w:t>Supplementary Text</w:t>
      </w:r>
    </w:p>
    <w:p w:rsidR="00D04662" w:rsidRPr="00D04662" w:rsidRDefault="00D04662" w:rsidP="00D046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</w:pP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brGDGTs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are commonly used to trace terrestrial organic matter (e.g.</w:t>
      </w:r>
      <w:r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,</w:t>
      </w:r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Yedema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et al., 2023; Zhang et al., 2024) and to reconstruct continental paleoenvironments, notably the mean annual air temperature (MAAT) and soil pH (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Coffinet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et al., 2018; Zhang et al., 2023). Their application as continental paleo</w:t>
      </w:r>
      <w:r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</w:t>
      </w:r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proxies in marine sediments might</w:t>
      </w:r>
      <w:r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,</w:t>
      </w:r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however</w:t>
      </w:r>
      <w:r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,</w:t>
      </w:r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be complicated by the overprint from marine-sourced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brGDGTs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(e.g.</w:t>
      </w:r>
      <w:r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,</w:t>
      </w:r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Xiao et al., 2020; Wang et al., 2023)</w:t>
      </w:r>
    </w:p>
    <w:p w:rsidR="00D04662" w:rsidRPr="00D04662" w:rsidRDefault="00D04662" w:rsidP="00D046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</w:pPr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To constrain the origin of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brGDGTs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in core GL-1090</w:t>
      </w:r>
      <w:r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,</w:t>
      </w:r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we examined specific indices such as the weighted average number of cyclopentane moieties for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tetramethylated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</w:t>
      </w:r>
      <w:proofErr w:type="spellStart"/>
      <w:proofErr w:type="gram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brGDGTs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 (</w:t>
      </w:r>
      <w:proofErr w:type="gram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#</w:t>
      </w:r>
      <w:r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R</w:t>
      </w:r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ings</w:t>
      </w:r>
      <w:r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-</w:t>
      </w:r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tetra, 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Sinninghe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Damsté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, 2016) and the ratio of the abundance of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hexamethylated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brGDGT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IIIa vs.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pentamethylated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homolog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IIa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 (IIIa /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IIa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index, Xiao et al</w:t>
      </w:r>
      <w:r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.</w:t>
      </w:r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, 2016). </w:t>
      </w:r>
    </w:p>
    <w:p w:rsidR="00D04662" w:rsidRPr="00D04662" w:rsidRDefault="00D04662" w:rsidP="00D0466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</w:pPr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The #Rings-tetra index shows values between 0.1 and 0.43 (mean 0.26; </w:t>
      </w:r>
      <w:r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Supplementary Figure 1</w:t>
      </w:r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) which are clearly lower than those reported for marine-derived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brGDGTs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(&gt;0.7,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Sinninghe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Damsté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et al., 2016). </w:t>
      </w:r>
    </w:p>
    <w:p w:rsidR="00D04662" w:rsidRDefault="00D04662" w:rsidP="00D046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</w:pPr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The IIIa/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IIa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index varies between 0.28 and 2.23 (mean 0.68). In over 90% of global soils</w:t>
      </w:r>
      <w:r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,</w:t>
      </w:r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the IIIa/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IIa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index remains lower than 0.59 and varies between 0.59 in marine sediments with significant terrestrial input (commonly nearshore sediments) and &gt; 0.9 in deep</w:t>
      </w:r>
      <w:r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-</w:t>
      </w:r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sea sediments receiving no significant terrestrial inputs (Xiao et al., 2016). The higher values of this ratio along core GL-1090 suggest that some intervals could be affected by the presence of non-continental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brGDGTs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. These intervals overall correspond to periods of lower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brGDGT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abundances (e.g.</w:t>
      </w:r>
      <w:r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,</w:t>
      </w:r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during 5e, 5c</w:t>
      </w:r>
      <w:r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,</w:t>
      </w:r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and partly 5a)</w:t>
      </w:r>
      <w:r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,</w:t>
      </w:r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marking weak continental inputs and lower rainfall.</w:t>
      </w:r>
    </w:p>
    <w:p w:rsidR="00D04662" w:rsidRDefault="00D04662" w:rsidP="00D046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</w:pPr>
    </w:p>
    <w:p w:rsidR="00D04662" w:rsidRPr="00D04662" w:rsidRDefault="00D04662" w:rsidP="00D046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kern w:val="2"/>
          <w:sz w:val="24"/>
          <w:szCs w:val="24"/>
          <w:lang w:val="en-US"/>
          <w14:ligatures w14:val="standardContextual"/>
        </w:rPr>
      </w:pPr>
      <w:r w:rsidRPr="00D04662">
        <w:rPr>
          <w:rFonts w:ascii="Times New Roman" w:eastAsia="Calibri" w:hAnsi="Times New Roman" w:cs="Times New Roman"/>
          <w:b/>
          <w:kern w:val="2"/>
          <w:sz w:val="24"/>
          <w:szCs w:val="24"/>
          <w:lang w:val="en-US"/>
          <w14:ligatures w14:val="standardContextual"/>
        </w:rPr>
        <w:t>References</w:t>
      </w:r>
    </w:p>
    <w:p w:rsidR="00D04662" w:rsidRPr="00D04662" w:rsidRDefault="00D04662" w:rsidP="00D046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</w:pPr>
    </w:p>
    <w:p w:rsidR="00D04662" w:rsidRPr="00D04662" w:rsidRDefault="00D04662" w:rsidP="00D04662">
      <w:pPr>
        <w:autoSpaceDE w:val="0"/>
        <w:autoSpaceDN w:val="0"/>
        <w:adjustRightInd w:val="0"/>
        <w:spacing w:after="0" w:line="240" w:lineRule="auto"/>
        <w:ind w:left="706" w:hanging="706"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</w:pP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lastRenderedPageBreak/>
        <w:t>Coffinet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, S.,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Huguet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, A.,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Bergonzini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, L.,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Pedentchouk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, N., Williamson, D., Anquetil, C.,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Gałka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, M.,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Kołaczek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, P.,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Karpińska-Kołaczek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, M.,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Majule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, A.,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Laggoun-Défarge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, F., Wagner, T.,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Derenne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, S. (2018).  Impact of climate change on the ecology of the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Kyambangunguru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crater marsh in southwestern Tanzania during the Late Holocene. Quaternary Science Reviews 196, 100-117.</w:t>
      </w:r>
      <w:r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</w:t>
      </w:r>
      <w:hyperlink r:id="rId4" w:history="1">
        <w:r w:rsidRPr="00EC0E3F">
          <w:rPr>
            <w:rStyle w:val="Hyperlink"/>
            <w:rFonts w:ascii="Times New Roman" w:eastAsia="Calibri" w:hAnsi="Times New Roman" w:cs="Times New Roman"/>
            <w:kern w:val="2"/>
            <w:sz w:val="24"/>
            <w:szCs w:val="24"/>
            <w:lang w:val="en-US"/>
            <w14:ligatures w14:val="standardContextual"/>
          </w:rPr>
          <w:t>https://doi.org/10.1016/j.quascirev.2018.07.038</w:t>
        </w:r>
      </w:hyperlink>
    </w:p>
    <w:p w:rsidR="00D04662" w:rsidRPr="00D04662" w:rsidRDefault="00D04662" w:rsidP="00D04662">
      <w:pPr>
        <w:autoSpaceDE w:val="0"/>
        <w:autoSpaceDN w:val="0"/>
        <w:adjustRightInd w:val="0"/>
        <w:spacing w:after="0" w:line="240" w:lineRule="auto"/>
        <w:ind w:left="706" w:hanging="706"/>
        <w:jc w:val="both"/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</w:pP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Sinninghe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Damsté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, J.S., 2016. Spatial heterogeneity of sources of branched tetraethers in shelf systems: the geochemistry of tetraethers in the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Berau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River delta (Kalimantan, Indonesia).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Geochem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.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Cosmochim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. Acta 186, 13e31. https://doi.org/10.1016/j.gca.2016.04.033.</w:t>
      </w:r>
    </w:p>
    <w:p w:rsidR="00D04662" w:rsidRDefault="00D04662" w:rsidP="00D04662">
      <w:pPr>
        <w:autoSpaceDE w:val="0"/>
        <w:autoSpaceDN w:val="0"/>
        <w:adjustRightInd w:val="0"/>
        <w:spacing w:after="0" w:line="240" w:lineRule="auto"/>
        <w:ind w:left="706" w:hanging="706"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</w:pPr>
      <w:r w:rsidRPr="00D04662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Wang, M.,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Zhou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, Q.,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Cao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, J., Jia, G. (2023). </w:t>
      </w:r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Upper intermediate layer-derived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brGDGTs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revealed from surface sediments along an elevation transect of a seamount. Chemical Geology 619, 121318. </w:t>
      </w:r>
      <w:hyperlink r:id="rId5" w:tgtFrame="_blank" w:tooltip="Persistent link using digital object identifier" w:history="1">
        <w:r w:rsidRPr="00D04662">
          <w:rPr>
            <w:rStyle w:val="Hyperlink"/>
            <w:rFonts w:ascii="Times New Roman" w:eastAsia="Calibri" w:hAnsi="Times New Roman" w:cs="Times New Roman"/>
            <w:kern w:val="2"/>
            <w:sz w:val="24"/>
            <w:szCs w:val="24"/>
            <w:lang w:val="fr-FR"/>
            <w14:ligatures w14:val="standardContextual"/>
          </w:rPr>
          <w:t>https://doi.org/10.1016/j.chemgeo.2023.121318</w:t>
        </w:r>
      </w:hyperlink>
    </w:p>
    <w:p w:rsidR="00D04662" w:rsidRPr="00D04662" w:rsidRDefault="00D04662" w:rsidP="00D04662">
      <w:pPr>
        <w:autoSpaceDE w:val="0"/>
        <w:autoSpaceDN w:val="0"/>
        <w:adjustRightInd w:val="0"/>
        <w:spacing w:after="0" w:line="240" w:lineRule="auto"/>
        <w:ind w:left="706" w:hanging="706"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</w:pPr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Xiao, </w:t>
      </w:r>
      <w:proofErr w:type="spellStart"/>
      <w:proofErr w:type="gram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W.,Wang</w:t>
      </w:r>
      <w:proofErr w:type="spellEnd"/>
      <w:proofErr w:type="gram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, Y., Zhou, S., Yang, L. H., Yang, H., and Xu, Y. (2016). Ubiquitous</w:t>
      </w:r>
      <w:r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</w:t>
      </w:r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Production of Branched Glycerol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Dialkyl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Glycerol Tetraethers (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brGDGTs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) in</w:t>
      </w:r>
      <w:r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</w:t>
      </w:r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Global marine Environments: </w:t>
      </w:r>
      <w:proofErr w:type="gram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a</w:t>
      </w:r>
      <w:proofErr w:type="gram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New Source Indicator for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brGDGTs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.</w:t>
      </w:r>
      <w:r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Biogeosciences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13, 5883–5894. doi:10.5194/bg-13-5883-2016</w:t>
      </w:r>
    </w:p>
    <w:p w:rsidR="00D04662" w:rsidRPr="00D04662" w:rsidRDefault="00D04662" w:rsidP="00D04662">
      <w:pPr>
        <w:autoSpaceDE w:val="0"/>
        <w:autoSpaceDN w:val="0"/>
        <w:adjustRightInd w:val="0"/>
        <w:spacing w:after="0" w:line="240" w:lineRule="auto"/>
        <w:ind w:left="706" w:hanging="706"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fr-FR"/>
          <w14:ligatures w14:val="standardContextual"/>
        </w:rPr>
      </w:pPr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Xiao, W., Wang, Y., Liu, Y., Zhang, X., Shi, L., Xu, Y. (2020). Predominance of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hexamethylated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6-methyl branched glycerol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dialkyl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glycerol tetraethers in the Mariana Trench: source and environmental implication.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Biogeosciences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117, 2135-2148. </w:t>
      </w:r>
      <w:hyperlink r:id="rId6" w:history="1">
        <w:r w:rsidRPr="00D04662">
          <w:rPr>
            <w:rStyle w:val="Hyperlink"/>
            <w:rFonts w:ascii="Times New Roman" w:eastAsia="Calibri" w:hAnsi="Times New Roman" w:cs="Times New Roman"/>
            <w:kern w:val="2"/>
            <w:sz w:val="24"/>
            <w:szCs w:val="24"/>
            <w:lang w:val="fr-FR"/>
            <w14:ligatures w14:val="standardContextual"/>
          </w:rPr>
          <w:t>https://doi.org/10.5194/bg-17-2135-2020</w:t>
        </w:r>
      </w:hyperlink>
    </w:p>
    <w:p w:rsidR="00D04662" w:rsidRPr="00D04662" w:rsidRDefault="00D04662" w:rsidP="00D04662">
      <w:pPr>
        <w:autoSpaceDE w:val="0"/>
        <w:autoSpaceDN w:val="0"/>
        <w:adjustRightInd w:val="0"/>
        <w:spacing w:after="0" w:line="240" w:lineRule="auto"/>
        <w:ind w:left="706" w:hanging="706"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fr-FR"/>
          <w14:ligatures w14:val="standardContextual"/>
        </w:rPr>
      </w:pP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Yedema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, Y.W.,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Sangiorgi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, F.,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Sluijs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, A.,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Sinninghe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Damsté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, J.S.,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Peterse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, F. (2023). </w:t>
      </w:r>
      <w:r w:rsidRPr="00D04662">
        <w:rPr>
          <w:rFonts w:ascii="Times New Roman" w:eastAsia="Calibri" w:hAnsi="Times New Roman" w:cs="Times New Roman"/>
          <w:bCs/>
          <w:kern w:val="2"/>
          <w:sz w:val="24"/>
          <w:szCs w:val="24"/>
          <w:lang w:val="en-US"/>
          <w14:ligatures w14:val="standardContextual"/>
        </w:rPr>
        <w:t>T</w:t>
      </w:r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he dispersal of fluvially discharged and marine, shelf-produced particulate organic matter in the northern Gulf of Mexico. </w:t>
      </w:r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fr-FR"/>
          <w14:ligatures w14:val="standardContextual"/>
        </w:rPr>
        <w:t>Biogeosciences 20, 663-686. https://doi.org/10.5194/bg-20-663-2023</w:t>
      </w:r>
    </w:p>
    <w:p w:rsidR="00D04662" w:rsidRPr="00D04662" w:rsidRDefault="00D04662" w:rsidP="00D04662">
      <w:pPr>
        <w:autoSpaceDE w:val="0"/>
        <w:autoSpaceDN w:val="0"/>
        <w:adjustRightInd w:val="0"/>
        <w:spacing w:after="0" w:line="240" w:lineRule="auto"/>
        <w:ind w:left="706" w:hanging="706"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</w:pPr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Zhang, S., Yang, S., Jiang, W., Huang, X., Wang, Y., Sun, M., Guo, L., Yang, X., Ding, Z., (2023).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BrGDGTs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-based temperature and hydrological reconstruction from loess-paleosol deposits in the Eastern European Plain since 200 ka. Quaternary Science Reviews 316, 108275. </w:t>
      </w:r>
      <w:hyperlink r:id="rId7" w:tgtFrame="_blank" w:tooltip="Persistent link using digital object identifier" w:history="1">
        <w:r w:rsidRPr="00D04662">
          <w:rPr>
            <w:rStyle w:val="Hyperlink"/>
            <w:rFonts w:ascii="Times New Roman" w:eastAsia="Calibri" w:hAnsi="Times New Roman" w:cs="Times New Roman"/>
            <w:kern w:val="2"/>
            <w:sz w:val="24"/>
            <w:szCs w:val="24"/>
            <w:lang w:val="fr-FR"/>
            <w14:ligatures w14:val="standardContextual"/>
          </w:rPr>
          <w:t>https://doi.org/10.1016/j.quascirev.2023.108275</w:t>
        </w:r>
      </w:hyperlink>
    </w:p>
    <w:p w:rsidR="00D04662" w:rsidRDefault="00D04662" w:rsidP="00D04662">
      <w:pPr>
        <w:autoSpaceDE w:val="0"/>
        <w:autoSpaceDN w:val="0"/>
        <w:adjustRightInd w:val="0"/>
        <w:spacing w:after="0" w:line="240" w:lineRule="auto"/>
        <w:ind w:left="706" w:hanging="706"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</w:pPr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Zhang, Z.-X.,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Parlanti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, E., Anquetil, C.,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Morelle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, J.,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Laverman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, A., Thibault, A.,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Bou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, E.,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Huguet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, A., accepted. Environmental controls on the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brGDGT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and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brGMGT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 distributions across the Seine River basin (NW France): Implications for bacterial tetraethers as a proxy for riverine runoff. </w:t>
      </w:r>
      <w:proofErr w:type="spellStart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>Biogeosciences</w:t>
      </w:r>
      <w:proofErr w:type="spellEnd"/>
      <w:r w:rsidRPr="00D04662"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  <w:t xml:space="preserve">. </w:t>
      </w:r>
    </w:p>
    <w:p w:rsidR="00D04662" w:rsidRPr="00D04662" w:rsidRDefault="00D04662" w:rsidP="00D046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fr-FR"/>
          <w14:ligatures w14:val="standardContextual"/>
        </w:rPr>
      </w:pPr>
    </w:p>
    <w:p w:rsidR="00D04662" w:rsidRPr="00D04662" w:rsidRDefault="00D04662" w:rsidP="00D046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val="en-US"/>
          <w14:ligatures w14:val="standardContextual"/>
        </w:rPr>
      </w:pPr>
    </w:p>
    <w:p w:rsidR="00D04662" w:rsidRPr="00D04662" w:rsidRDefault="00D04662" w:rsidP="00D0466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Times New Roman"/>
          <w:kern w:val="2"/>
          <w:sz w:val="24"/>
          <w:szCs w:val="24"/>
          <w:lang w:val="en-US"/>
          <w14:ligatures w14:val="standardContextual"/>
        </w:rPr>
      </w:pPr>
    </w:p>
    <w:p w:rsidR="00D04662" w:rsidRPr="00D04662" w:rsidRDefault="00D04662" w:rsidP="00D0466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Times New Roman"/>
          <w:kern w:val="2"/>
          <w:sz w:val="24"/>
          <w:szCs w:val="24"/>
          <w:lang w:val="en-US"/>
          <w14:ligatures w14:val="standardContextual"/>
        </w:rPr>
      </w:pPr>
    </w:p>
    <w:p w:rsidR="00D04662" w:rsidRPr="00D04662" w:rsidRDefault="00D04662" w:rsidP="00D0466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Times New Roman"/>
          <w:kern w:val="2"/>
          <w:sz w:val="24"/>
          <w:szCs w:val="24"/>
          <w:lang w:val="en-US"/>
          <w14:ligatures w14:val="standardContextual"/>
        </w:rPr>
      </w:pPr>
    </w:p>
    <w:p w:rsidR="00D04662" w:rsidRPr="00D04662" w:rsidRDefault="00D04662" w:rsidP="00D04662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Times New Roman"/>
          <w:kern w:val="2"/>
          <w:sz w:val="24"/>
          <w:szCs w:val="24"/>
          <w:lang w:val="en-US"/>
          <w14:ligatures w14:val="standardContextual"/>
        </w:rPr>
      </w:pPr>
    </w:p>
    <w:p w:rsidR="00D04662" w:rsidRPr="00D04662" w:rsidRDefault="00D04662">
      <w:pPr>
        <w:rPr>
          <w:lang w:val="en-US"/>
        </w:rPr>
      </w:pPr>
    </w:p>
    <w:sectPr w:rsidR="00D04662" w:rsidRPr="00D0466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bU0MTE3NjAyNzEztjRS0lEKTi0uzszPAykwrAUA7yydFCwAAAA="/>
  </w:docVars>
  <w:rsids>
    <w:rsidRoot w:val="00D04662"/>
    <w:rsid w:val="00122417"/>
    <w:rsid w:val="00A72F7A"/>
    <w:rsid w:val="00BC1DCF"/>
    <w:rsid w:val="00D04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CE26C7"/>
  <w15:chartTrackingRefBased/>
  <w15:docId w15:val="{AC38BEDD-821F-42CC-BFF8-D89221F85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D04662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D046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oi.org/10.1016/j.quascirev.2023.10827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5194/bg-17-2135-2020" TargetMode="External"/><Relationship Id="rId5" Type="http://schemas.openxmlformats.org/officeDocument/2006/relationships/hyperlink" Target="https://doi.org/10.1016/j.chemgeo.2023.121318" TargetMode="External"/><Relationship Id="rId4" Type="http://schemas.openxmlformats.org/officeDocument/2006/relationships/hyperlink" Target="https://doi.org/10.1016/j.quascirev.2018.07.038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893</Words>
  <Characters>4824</Characters>
  <Application>Microsoft Office Word</Application>
  <DocSecurity>0</DocSecurity>
  <Lines>40</Lines>
  <Paragraphs>11</Paragraphs>
  <ScaleCrop>false</ScaleCrop>
  <Company/>
  <LinksUpToDate>false</LinksUpToDate>
  <CharactersWithSpaces>5706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2024-03-26T16:38:00Z</dcterms:created>
  <dcterms:modified xsi:type="dcterms:W3CDTF">2024-04-19T19:14:00Z</dcterms:modified>
</cp:coreProperties>
</file>