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AA43F" w14:textId="615D6FFF" w:rsidR="00060AD2" w:rsidRDefault="00060AD2" w:rsidP="00366B7E">
      <w:pPr>
        <w:pStyle w:val="1"/>
        <w:spacing w:before="312" w:after="312"/>
      </w:pPr>
      <w:r>
        <w:rPr>
          <w:rFonts w:hint="eastAsia"/>
        </w:rPr>
        <w:t>S</w:t>
      </w:r>
      <w:r>
        <w:t xml:space="preserve">upplementary File 1. </w:t>
      </w:r>
      <w:r w:rsidRPr="00060AD2">
        <w:t>Supplementary Explanation of</w:t>
      </w:r>
      <w:r>
        <w:t xml:space="preserve"> Patients and Methods</w:t>
      </w:r>
    </w:p>
    <w:p w14:paraId="35EB633D" w14:textId="77777777" w:rsidR="00060AD2" w:rsidRPr="00326295" w:rsidRDefault="00060AD2" w:rsidP="00366B7E">
      <w:pPr>
        <w:pStyle w:val="2"/>
      </w:pPr>
      <w:r w:rsidRPr="00326295">
        <w:t>Participants</w:t>
      </w:r>
    </w:p>
    <w:p w14:paraId="679B80FD" w14:textId="77777777" w:rsidR="00D93BA2" w:rsidRPr="00050D03" w:rsidRDefault="00D93BA2" w:rsidP="00366B7E">
      <w:pPr>
        <w:pStyle w:val="3"/>
      </w:pPr>
      <w:r w:rsidRPr="00050D03">
        <w:t>Data source</w:t>
      </w:r>
    </w:p>
    <w:p w14:paraId="2EC77008" w14:textId="77777777" w:rsidR="00D93BA2" w:rsidRPr="00050D03" w:rsidRDefault="00D93BA2" w:rsidP="009D59BB">
      <w:pPr>
        <w:pStyle w:val="1234"/>
      </w:pPr>
      <w:r w:rsidRPr="00050D03">
        <w:t>Raw read counts and transcript per million (TPM) normalised counts of TCGA bladder carcinoma (TCGA-BLCA) patients (platform: Illumina HiSeq 2000), somatic mutation data in mutation annotation format (MAF) format, gene-level copy number variation [CNV, Affymetrix single nucleotide polymorphism (SNP) Array 6.0], and the corresponding clinical information were also obtained from the Genomic Data Commons (GDC) Data Portal (</w:t>
      </w:r>
      <w:hyperlink r:id="rId8" w:history="1">
        <w:r w:rsidRPr="009D59BB">
          <w:rPr>
            <w:rStyle w:val="a7"/>
          </w:rPr>
          <w:t>https://portal.gdc.cancer.gov/</w:t>
        </w:r>
      </w:hyperlink>
      <w:r w:rsidRPr="00050D03">
        <w:t xml:space="preserve">). The tumour samples of the TCGA cohort, with the paired histologically normal tissue adjacent to the tumour (NAT) samples, served as a training cohort for the development of prognostic model. The clinical traits of interest from TCGA were Vital status (Status), OS time, Age at diagnosis (Age), Gender, Race, TNM </w:t>
      </w:r>
      <w:r w:rsidRPr="00050D03">
        <w:rPr>
          <w:rFonts w:hint="eastAsia"/>
        </w:rPr>
        <w:t>sta</w:t>
      </w:r>
      <w:r w:rsidRPr="00050D03">
        <w:t xml:space="preserve">ge, T stage, </w:t>
      </w:r>
      <w:bookmarkStart w:id="0" w:name="_Hlk158552831"/>
      <w:r w:rsidRPr="00050D03">
        <w:t>Lymph node status (inferred from N stage), and Distant metastatic status</w:t>
      </w:r>
      <w:bookmarkEnd w:id="0"/>
      <w:r w:rsidRPr="00050D03">
        <w:t xml:space="preserve"> (inferred from M stage). The segmental CNV data of the TCGA-GBM cohort was also downloaded from the cBioPortal database</w:t>
      </w:r>
      <w:bookmarkStart w:id="1" w:name="_Hlk163754217"/>
      <w:r w:rsidRPr="00050D03">
        <w:t xml:space="preserve"> (</w:t>
      </w:r>
      <w:hyperlink r:id="rId9" w:history="1">
        <w:r w:rsidRPr="009D59BB">
          <w:rPr>
            <w:rStyle w:val="a7"/>
          </w:rPr>
          <w:t>https://www.cbioportal.org/</w:t>
        </w:r>
      </w:hyperlink>
      <w:r w:rsidRPr="00050D03">
        <w:t>)</w:t>
      </w:r>
      <w:bookmarkEnd w:id="1"/>
      <w:r w:rsidRPr="00050D03">
        <w:t>.</w:t>
      </w:r>
    </w:p>
    <w:p w14:paraId="3421B2EE" w14:textId="3F939D92" w:rsidR="00D93BA2" w:rsidRPr="00050D03" w:rsidRDefault="00D93BA2" w:rsidP="009D59BB">
      <w:pPr>
        <w:pStyle w:val="1234"/>
      </w:pPr>
      <w:r w:rsidRPr="00050D03">
        <w:t>For external validation of the prognostic model established in the TCGA cohort, probe intensity matrix from BLCA patients with clinical information for GSE13507 (primary bladder cancer samples, normalised data, platform: GPL6102, Illumina human-6 v2.0 expression beadchip) and GSE32894 (urothelial carcinomas, raw data, GPL6947, Illumina HumanHT-12 V3.0 expression beadchip) datasets were directly obtained from GEO (</w:t>
      </w:r>
      <w:hyperlink r:id="rId10" w:history="1">
        <w:r w:rsidR="009D59BB" w:rsidRPr="009200E2">
          <w:rPr>
            <w:rStyle w:val="a7"/>
          </w:rPr>
          <w:t>https://www.ncbi.nlm.nih.gov/geo/</w:t>
        </w:r>
      </w:hyperlink>
      <w:r w:rsidRPr="00050D03">
        <w:t>).</w:t>
      </w:r>
      <w:r w:rsidR="009D59BB">
        <w:t xml:space="preserve"> </w:t>
      </w:r>
      <w:r w:rsidR="009D59BB" w:rsidRPr="009D59BB">
        <w:t xml:space="preserve">Due to the small number of </w:t>
      </w:r>
      <w:r w:rsidR="009D59BB">
        <w:rPr>
          <w:rFonts w:hint="eastAsia"/>
        </w:rPr>
        <w:t>pati</w:t>
      </w:r>
      <w:r w:rsidR="009D59BB">
        <w:t>ents</w:t>
      </w:r>
      <w:r w:rsidR="009D59BB" w:rsidRPr="009D59BB">
        <w:t xml:space="preserve"> with T3/4 in </w:t>
      </w:r>
      <w:r w:rsidR="009D59BB" w:rsidRPr="009D59BB">
        <w:lastRenderedPageBreak/>
        <w:t>GSE32894 dataset, the prognostic model was externally validated using GSE13507 only.</w:t>
      </w:r>
    </w:p>
    <w:p w14:paraId="0BDA2E01" w14:textId="4611BD8E" w:rsidR="00D93BA2" w:rsidRPr="00050D03" w:rsidRDefault="00D365F9" w:rsidP="00D93BA2">
      <w:pPr>
        <w:pStyle w:val="3"/>
        <w:rPr>
          <w:color w:val="000000" w:themeColor="text1"/>
        </w:rPr>
      </w:pPr>
      <w:r w:rsidRPr="00050D03">
        <w:rPr>
          <w:color w:val="000000" w:themeColor="text1"/>
        </w:rPr>
        <w:t>Inclusion and exclusion criteria</w:t>
      </w:r>
    </w:p>
    <w:p w14:paraId="4C239229" w14:textId="77777777" w:rsidR="00D93BA2" w:rsidRPr="00050D03" w:rsidRDefault="00D93BA2" w:rsidP="00D93BA2">
      <w:pPr>
        <w:pStyle w:val="1234"/>
        <w:rPr>
          <w:color w:val="000000" w:themeColor="text1"/>
        </w:rPr>
      </w:pPr>
      <w:r w:rsidRPr="00050D03">
        <w:rPr>
          <w:color w:val="000000" w:themeColor="text1"/>
        </w:rPr>
        <w:t>Patients are eligible to be included in the study only if they met all of the following criteria:</w:t>
      </w:r>
    </w:p>
    <w:p w14:paraId="0BAB18C6" w14:textId="77777777" w:rsidR="00D93BA2" w:rsidRPr="00050D03" w:rsidRDefault="00D93BA2" w:rsidP="00D93BA2">
      <w:pPr>
        <w:pStyle w:val="1234"/>
        <w:numPr>
          <w:ilvl w:val="0"/>
          <w:numId w:val="2"/>
        </w:numPr>
        <w:rPr>
          <w:color w:val="000000" w:themeColor="text1"/>
        </w:rPr>
      </w:pPr>
      <w:r w:rsidRPr="00050D03">
        <w:rPr>
          <w:color w:val="000000" w:themeColor="text1"/>
        </w:rPr>
        <w:t>Patients with complete survival status records and an OS time of more than1 month (30 days).</w:t>
      </w:r>
    </w:p>
    <w:p w14:paraId="3DE20A4B" w14:textId="77777777" w:rsidR="00D93BA2" w:rsidRPr="00050D03" w:rsidRDefault="00D93BA2" w:rsidP="00D93BA2">
      <w:pPr>
        <w:pStyle w:val="1234"/>
        <w:numPr>
          <w:ilvl w:val="0"/>
          <w:numId w:val="2"/>
        </w:numPr>
        <w:rPr>
          <w:color w:val="000000" w:themeColor="text1"/>
        </w:rPr>
      </w:pPr>
      <w:r w:rsidRPr="00050D03">
        <w:rPr>
          <w:color w:val="000000" w:themeColor="text1"/>
        </w:rPr>
        <w:t>Patients whose histological type was “Muscle Invasive Urothelial Carcinoma (PT2 or above)” (for the TCGA cohort only).</w:t>
      </w:r>
    </w:p>
    <w:p w14:paraId="23B1B916" w14:textId="77777777" w:rsidR="00D93BA2" w:rsidRPr="00050D03" w:rsidRDefault="00D93BA2" w:rsidP="00D93BA2">
      <w:pPr>
        <w:pStyle w:val="Para"/>
        <w:ind w:firstLine="480"/>
        <w:rPr>
          <w:color w:val="000000" w:themeColor="text1"/>
        </w:rPr>
      </w:pPr>
      <w:r w:rsidRPr="00050D03">
        <w:rPr>
          <w:color w:val="000000" w:themeColor="text1"/>
        </w:rPr>
        <w:t>Patients will be excluded from the study if they met any of the following criteria:</w:t>
      </w:r>
    </w:p>
    <w:p w14:paraId="741652A9" w14:textId="77777777" w:rsidR="00D93BA2" w:rsidRPr="00050D03" w:rsidRDefault="00D93BA2" w:rsidP="00D93BA2">
      <w:pPr>
        <w:pStyle w:val="a8"/>
        <w:numPr>
          <w:ilvl w:val="0"/>
          <w:numId w:val="1"/>
        </w:numPr>
        <w:ind w:firstLineChars="0"/>
        <w:rPr>
          <w:color w:val="000000" w:themeColor="text1"/>
        </w:rPr>
      </w:pPr>
      <w:r w:rsidRPr="00050D03">
        <w:rPr>
          <w:color w:val="000000" w:themeColor="text1"/>
        </w:rPr>
        <w:t>Patients whose cancer tissue of origin were not located at bladder.</w:t>
      </w:r>
    </w:p>
    <w:p w14:paraId="176E1D26" w14:textId="173E18E4" w:rsidR="00D93BA2" w:rsidRPr="00050D03" w:rsidRDefault="00D93BA2" w:rsidP="00D93BA2">
      <w:pPr>
        <w:pStyle w:val="a8"/>
        <w:numPr>
          <w:ilvl w:val="0"/>
          <w:numId w:val="1"/>
        </w:numPr>
        <w:ind w:firstLineChars="0"/>
        <w:rPr>
          <w:color w:val="000000" w:themeColor="text1"/>
        </w:rPr>
      </w:pPr>
      <w:r w:rsidRPr="00050D03">
        <w:rPr>
          <w:color w:val="000000" w:themeColor="text1"/>
        </w:rPr>
        <w:t xml:space="preserve">Patients with unknown TNM </w:t>
      </w:r>
      <w:r w:rsidR="00103549">
        <w:rPr>
          <w:color w:val="000000" w:themeColor="text1"/>
        </w:rPr>
        <w:t>s</w:t>
      </w:r>
      <w:r w:rsidRPr="00050D03">
        <w:rPr>
          <w:color w:val="000000" w:themeColor="text1"/>
        </w:rPr>
        <w:t>tage.</w:t>
      </w:r>
    </w:p>
    <w:p w14:paraId="7661091A" w14:textId="0935629C" w:rsidR="00D93BA2" w:rsidRPr="00050D03" w:rsidRDefault="00D93BA2" w:rsidP="00D93BA2">
      <w:pPr>
        <w:pStyle w:val="a8"/>
        <w:numPr>
          <w:ilvl w:val="0"/>
          <w:numId w:val="1"/>
        </w:numPr>
        <w:ind w:firstLineChars="0"/>
        <w:rPr>
          <w:color w:val="000000" w:themeColor="text1"/>
        </w:rPr>
      </w:pPr>
      <w:r w:rsidRPr="00050D03">
        <w:rPr>
          <w:color w:val="000000" w:themeColor="text1"/>
        </w:rPr>
        <w:t xml:space="preserve">Patients with unknown </w:t>
      </w:r>
      <w:r w:rsidR="00103549">
        <w:rPr>
          <w:color w:val="000000" w:themeColor="text1"/>
        </w:rPr>
        <w:t>g</w:t>
      </w:r>
      <w:r w:rsidRPr="00050D03">
        <w:rPr>
          <w:color w:val="000000" w:themeColor="text1"/>
        </w:rPr>
        <w:t>rade.</w:t>
      </w:r>
    </w:p>
    <w:p w14:paraId="43485150" w14:textId="77777777" w:rsidR="00D93BA2" w:rsidRPr="00050D03" w:rsidRDefault="00D93BA2" w:rsidP="00D93BA2">
      <w:pPr>
        <w:pStyle w:val="3"/>
        <w:rPr>
          <w:color w:val="000000" w:themeColor="text1"/>
        </w:rPr>
      </w:pPr>
      <w:r w:rsidRPr="00050D03">
        <w:rPr>
          <w:color w:val="000000" w:themeColor="text1"/>
        </w:rPr>
        <w:t>Data processing</w:t>
      </w:r>
    </w:p>
    <w:p w14:paraId="4864477F" w14:textId="7A71697F" w:rsidR="00D93BA2" w:rsidRPr="00050D03" w:rsidRDefault="00D93BA2" w:rsidP="00D93BA2">
      <w:pPr>
        <w:pStyle w:val="Para"/>
        <w:ind w:firstLine="480"/>
        <w:rPr>
          <w:rFonts w:cs="Times New Roman"/>
          <w:color w:val="000000" w:themeColor="text1"/>
        </w:rPr>
      </w:pPr>
      <w:bookmarkStart w:id="2" w:name="_Hlk157783792"/>
      <w:r w:rsidRPr="00050D03">
        <w:rPr>
          <w:rFonts w:cs="Times New Roman"/>
          <w:color w:val="000000" w:themeColor="text1"/>
        </w:rPr>
        <w:t xml:space="preserve">The duplicate ensembles/probes mapping to the same gene symbol were averaged by the “avereps” function from the “limma” package </w:t>
      </w:r>
      <w:r w:rsidRPr="00050D03">
        <w:rPr>
          <w:rFonts w:cs="Times New Roman"/>
          <w:color w:val="000000" w:themeColor="text1"/>
        </w:rPr>
        <w:fldChar w:fldCharType="begin"/>
      </w:r>
      <w:r w:rsidR="00DB577B" w:rsidRPr="00050D03">
        <w:rPr>
          <w:rFonts w:cs="Times New Roman"/>
          <w:color w:val="000000" w:themeColor="text1"/>
        </w:rPr>
        <w:instrText xml:space="preserve"> ADDIN EN.CITE &lt;EndNote&gt;&lt;Cite&gt;&lt;Author&gt;Ritchie&lt;/Author&gt;&lt;Year&gt;2015&lt;/Year&gt;&lt;RecNum&gt;154&lt;/RecNum&gt;&lt;DisplayText&gt;[1]&lt;/DisplayText&gt;&lt;record&gt;&lt;rec-number&gt;154&lt;/rec-number&gt;&lt;foreign-keys&gt;&lt;key app="EN" db-id="rerpde5ruf2es6epsexpvat8draer99axvt0" timestamp="1687882194"&gt;154&lt;/key&gt;&lt;/foreign-keys&gt;&lt;ref-type name="Journal Article"&gt;17&lt;/ref-type&gt;&lt;contributors&gt;&lt;authors&gt;&lt;author&gt;Ritchie, Matthew E.&lt;/author&gt;&lt;author&gt;Phipson, Belinda&lt;/author&gt;&lt;author&gt;Wu, Di&lt;/author&gt;&lt;author&gt;Hu, Yifang&lt;/author&gt;&lt;author&gt;Law, Charity W.&lt;/author&gt;&lt;author&gt;Shi, Wei&lt;/author&gt;&lt;author&gt;Smyth, Gordon K.&lt;/author&gt;&lt;/authors&gt;&lt;/contributors&gt;&lt;auth-address&gt;Molecular Medicine Division, The Walter and Eliza Hall Institute of Medical Research, 1G Royal Parade, Parkville, Victoria 3052, Australia Department of Mathematics and Statistics, The University of Melbourne, Parkville, Victoria 3010, Australia.&lt;/auth-address&gt;&lt;titles&gt;&lt;title&gt;&lt;style face="italic" font="default" size="100%"&gt;limma&lt;/style&gt;&lt;style face="normal" font="default" size="100%"&gt; powers differential expression analyses for RNA-sequencing and microarray studies&lt;/style&gt;&lt;/title&gt;&lt;secondary-title&gt;Nucleic acids research&lt;/secondary-title&gt;&lt;alt-title&gt;Nucleic Acids Res&lt;/alt-title&gt;&lt;/titles&gt;&lt;pages&gt;e47&lt;/pages&gt;&lt;volume&gt;43&lt;/volume&gt;&lt;number&gt;7&lt;/number&gt;&lt;keywords&gt;&lt;keyword&gt;Oligonucleotide Array Sequence Analysis&lt;/keyword&gt;&lt;keyword&gt;Sequence Analysis, RNA&lt;/keyword&gt;&lt;keyword&gt;Gene Expression Regulation&lt;/keyword&gt;&lt;keyword&gt;Software&lt;/keyword&gt;&lt;/keywords&gt;&lt;dates&gt;&lt;year&gt;2015&lt;/year&gt;&lt;pub-dates&gt;&lt;date&gt;2015/04//&lt;/date&gt;&lt;/pub-dates&gt;&lt;/dates&gt;&lt;isbn&gt;0305-1048&lt;/isbn&gt;&lt;accession-num&gt;25605792&lt;/accession-num&gt;&lt;urls&gt;&lt;related-urls&gt;&lt;url&gt;http://europepmc.org/abstract/MED/25605792&lt;/url&gt;&lt;url&gt;https://doi.org/10.1093/nar/gkv007&lt;/url&gt;&lt;url&gt;https://europepmc.org/articles/PMC4402510&lt;/url&gt;&lt;url&gt;https://europepmc.org/articles/PMC4402510?pdf=render&lt;/url&gt;&lt;/related-urls&gt;&lt;/urls&gt;&lt;electronic-resource-num&gt;10.1093/nar/gkv007&lt;/electronic-resource-num&gt;&lt;remote-database-name&gt;PubMed&lt;/remote-database-name&gt;&lt;language&gt;eng&lt;/language&gt;&lt;/record&gt;&lt;/Cite&gt;&lt;/EndNote&gt;</w:instrText>
      </w:r>
      <w:r w:rsidRPr="00050D03">
        <w:rPr>
          <w:rFonts w:cs="Times New Roman"/>
          <w:color w:val="000000" w:themeColor="text1"/>
        </w:rPr>
        <w:fldChar w:fldCharType="separate"/>
      </w:r>
      <w:r w:rsidR="00DB577B" w:rsidRPr="00050D03">
        <w:rPr>
          <w:rFonts w:cs="Times New Roman"/>
          <w:noProof/>
          <w:color w:val="000000" w:themeColor="text1"/>
        </w:rPr>
        <w:t>[1]</w:t>
      </w:r>
      <w:r w:rsidRPr="00050D03">
        <w:rPr>
          <w:rFonts w:cs="Times New Roman"/>
          <w:color w:val="000000" w:themeColor="text1"/>
        </w:rPr>
        <w:fldChar w:fldCharType="end"/>
      </w:r>
      <w:r w:rsidRPr="00050D03">
        <w:rPr>
          <w:rFonts w:cs="Times New Roman"/>
          <w:color w:val="000000" w:themeColor="text1"/>
        </w:rPr>
        <w:t>.</w:t>
      </w:r>
      <w:r w:rsidRPr="00050D03">
        <w:rPr>
          <w:color w:val="000000" w:themeColor="text1"/>
        </w:rPr>
        <w:t xml:space="preserve"> If multiple samples exist within the TCGA cohort, retain the one with a sample code that comes earliest in ascending order. </w:t>
      </w:r>
      <w:bookmarkStart w:id="3" w:name="_Hlk143521581"/>
      <w:r w:rsidRPr="00050D03">
        <w:rPr>
          <w:rFonts w:cs="Times New Roman"/>
          <w:color w:val="000000" w:themeColor="text1"/>
        </w:rPr>
        <w:t>log</w:t>
      </w:r>
      <w:r w:rsidRPr="00050D03">
        <w:rPr>
          <w:rFonts w:cs="Times New Roman"/>
          <w:color w:val="000000" w:themeColor="text1"/>
          <w:vertAlign w:val="subscript"/>
        </w:rPr>
        <w:t>2</w:t>
      </w:r>
      <w:r w:rsidRPr="00050D03">
        <w:rPr>
          <w:rFonts w:cs="Times New Roman"/>
          <w:color w:val="000000" w:themeColor="text1"/>
        </w:rPr>
        <w:t>-ratio transformed</w:t>
      </w:r>
      <w:bookmarkEnd w:id="3"/>
      <w:r w:rsidRPr="00050D03">
        <w:rPr>
          <w:rFonts w:cs="Times New Roman"/>
          <w:color w:val="000000" w:themeColor="text1"/>
        </w:rPr>
        <w:t xml:space="preserve"> TPM matrix of the TCGA samples were subjected to quantile normalisation using the “normali</w:t>
      </w:r>
      <w:r w:rsidRPr="00050D03">
        <w:rPr>
          <w:rFonts w:cs="Times New Roman" w:hint="eastAsia"/>
          <w:color w:val="000000" w:themeColor="text1"/>
        </w:rPr>
        <w:t>z</w:t>
      </w:r>
      <w:r w:rsidRPr="00050D03">
        <w:rPr>
          <w:rFonts w:cs="Times New Roman"/>
          <w:color w:val="000000" w:themeColor="text1"/>
        </w:rPr>
        <w:t xml:space="preserve">eBetweenArrays” function from the “limma” package </w:t>
      </w:r>
      <w:r w:rsidRPr="00050D03">
        <w:rPr>
          <w:rFonts w:cs="Times New Roman"/>
          <w:color w:val="000000" w:themeColor="text1"/>
        </w:rPr>
        <w:fldChar w:fldCharType="begin"/>
      </w:r>
      <w:r w:rsidR="00DB577B" w:rsidRPr="00050D03">
        <w:rPr>
          <w:rFonts w:cs="Times New Roman"/>
          <w:color w:val="000000" w:themeColor="text1"/>
        </w:rPr>
        <w:instrText xml:space="preserve"> ADDIN EN.CITE &lt;EndNote&gt;&lt;Cite&gt;&lt;Author&gt;Ritchie&lt;/Author&gt;&lt;Year&gt;2015&lt;/Year&gt;&lt;RecNum&gt;154&lt;/RecNum&gt;&lt;DisplayText&gt;[1]&lt;/DisplayText&gt;&lt;record&gt;&lt;rec-number&gt;154&lt;/rec-number&gt;&lt;foreign-keys&gt;&lt;key app="EN" db-id="rerpde5ruf2es6epsexpvat8draer99axvt0" timestamp="1687882194"&gt;154&lt;/key&gt;&lt;/foreign-keys&gt;&lt;ref-type name="Journal Article"&gt;17&lt;/ref-type&gt;&lt;contributors&gt;&lt;authors&gt;&lt;author&gt;Ritchie, Matthew E.&lt;/author&gt;&lt;author&gt;Phipson, Belinda&lt;/author&gt;&lt;author&gt;Wu, Di&lt;/author&gt;&lt;author&gt;Hu, Yifang&lt;/author&gt;&lt;author&gt;Law, Charity W.&lt;/author&gt;&lt;author&gt;Shi, Wei&lt;/author&gt;&lt;author&gt;Smyth, Gordon K.&lt;/author&gt;&lt;/authors&gt;&lt;/contributors&gt;&lt;auth-address&gt;Molecular Medicine Division, The Walter and Eliza Hall Institute of Medical Research, 1G Royal Parade, Parkville, Victoria 3052, Australia Department of Mathematics and Statistics, The University of Melbourne, Parkville, Victoria 3010, Australia.&lt;/auth-address&gt;&lt;titles&gt;&lt;title&gt;&lt;style face="italic" font="default" size="100%"&gt;limma&lt;/style&gt;&lt;style face="normal" font="default" size="100%"&gt; powers differential expression analyses for RNA-sequencing and microarray studies&lt;/style&gt;&lt;/title&gt;&lt;secondary-title&gt;Nucleic acids research&lt;/secondary-title&gt;&lt;alt-title&gt;Nucleic Acids Res&lt;/alt-title&gt;&lt;/titles&gt;&lt;pages&gt;e47&lt;/pages&gt;&lt;volume&gt;43&lt;/volume&gt;&lt;number&gt;7&lt;/number&gt;&lt;keywords&gt;&lt;keyword&gt;Oligonucleotide Array Sequence Analysis&lt;/keyword&gt;&lt;keyword&gt;Sequence Analysis, RNA&lt;/keyword&gt;&lt;keyword&gt;Gene Expression Regulation&lt;/keyword&gt;&lt;keyword&gt;Software&lt;/keyword&gt;&lt;/keywords&gt;&lt;dates&gt;&lt;year&gt;2015&lt;/year&gt;&lt;pub-dates&gt;&lt;date&gt;2015/04//&lt;/date&gt;&lt;/pub-dates&gt;&lt;/dates&gt;&lt;isbn&gt;0305-1048&lt;/isbn&gt;&lt;accession-num&gt;25605792&lt;/accession-num&gt;&lt;urls&gt;&lt;related-urls&gt;&lt;url&gt;http://europepmc.org/abstract/MED/25605792&lt;/url&gt;&lt;url&gt;https://doi.org/10.1093/nar/gkv007&lt;/url&gt;&lt;url&gt;https://europepmc.org/articles/PMC4402510&lt;/url&gt;&lt;url&gt;https://europepmc.org/articles/PMC4402510?pdf=render&lt;/url&gt;&lt;/related-urls&gt;&lt;/urls&gt;&lt;electronic-resource-num&gt;10.1093/nar/gkv007&lt;/electronic-resource-num&gt;&lt;remote-database-name&gt;PubMed&lt;/remote-database-name&gt;&lt;language&gt;eng&lt;/language&gt;&lt;/record&gt;&lt;/Cite&gt;&lt;/EndNote&gt;</w:instrText>
      </w:r>
      <w:r w:rsidRPr="00050D03">
        <w:rPr>
          <w:rFonts w:cs="Times New Roman"/>
          <w:color w:val="000000" w:themeColor="text1"/>
        </w:rPr>
        <w:fldChar w:fldCharType="separate"/>
      </w:r>
      <w:r w:rsidR="00DB577B" w:rsidRPr="00050D03">
        <w:rPr>
          <w:rFonts w:cs="Times New Roman"/>
          <w:noProof/>
          <w:color w:val="000000" w:themeColor="text1"/>
        </w:rPr>
        <w:t>[1]</w:t>
      </w:r>
      <w:r w:rsidRPr="00050D03">
        <w:rPr>
          <w:rFonts w:cs="Times New Roman"/>
          <w:color w:val="000000" w:themeColor="text1"/>
        </w:rPr>
        <w:fldChar w:fldCharType="end"/>
      </w:r>
      <w:r w:rsidRPr="00050D03">
        <w:rPr>
          <w:rFonts w:cs="Times New Roman"/>
          <w:color w:val="000000" w:themeColor="text1"/>
        </w:rPr>
        <w:t xml:space="preserve">. </w:t>
      </w:r>
      <w:bookmarkEnd w:id="2"/>
      <w:r w:rsidRPr="00050D03">
        <w:rPr>
          <w:rFonts w:cs="Times New Roman"/>
          <w:color w:val="000000" w:themeColor="text1"/>
        </w:rPr>
        <w:t>For GSE32894 dataset, the “lumi” package</w:t>
      </w:r>
      <w:r w:rsidR="00DB577B" w:rsidRPr="00050D03">
        <w:rPr>
          <w:rFonts w:cs="Times New Roman"/>
          <w:color w:val="000000" w:themeColor="text1"/>
        </w:rPr>
        <w:t xml:space="preserve"> </w:t>
      </w:r>
      <w:r w:rsidR="00DB577B" w:rsidRPr="00050D03">
        <w:rPr>
          <w:rFonts w:cs="Times New Roman"/>
          <w:color w:val="000000" w:themeColor="text1"/>
        </w:rPr>
        <w:fldChar w:fldCharType="begin">
          <w:fldData xml:space="preserve">PEVuZE5vdGU+PENpdGU+PEF1dGhvcj5EdTwvQXV0aG9yPjxZZWFyPjIwMDg8L1llYXI+PFJlY051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</w:fldData>
        </w:fldChar>
      </w:r>
      <w:r w:rsidR="00DB577B" w:rsidRPr="00050D03">
        <w:rPr>
          <w:rFonts w:cs="Times New Roman"/>
          <w:color w:val="000000" w:themeColor="text1"/>
        </w:rPr>
        <w:instrText xml:space="preserve"> ADDIN EN.CITE </w:instrText>
      </w:r>
      <w:r w:rsidR="00DB577B" w:rsidRPr="00050D03">
        <w:rPr>
          <w:rFonts w:cs="Times New Roman"/>
          <w:color w:val="000000" w:themeColor="text1"/>
        </w:rPr>
        <w:fldChar w:fldCharType="begin">
          <w:fldData xml:space="preserve">PEVuZE5vdGU+PENpdGU+PEF1dGhvcj5EdTwvQXV0aG9yPjxZZWFyPjIwMDg8L1llYXI+PFJlY051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</w:fldData>
        </w:fldChar>
      </w:r>
      <w:r w:rsidR="00DB577B" w:rsidRPr="00050D03">
        <w:rPr>
          <w:rFonts w:cs="Times New Roman"/>
          <w:color w:val="000000" w:themeColor="text1"/>
        </w:rPr>
        <w:instrText xml:space="preserve"> ADDIN EN.CITE.DATA </w:instrText>
      </w:r>
      <w:r w:rsidR="00DB577B" w:rsidRPr="00050D03">
        <w:rPr>
          <w:rFonts w:cs="Times New Roman"/>
          <w:color w:val="000000" w:themeColor="text1"/>
        </w:rPr>
      </w:r>
      <w:r w:rsidR="00DB577B" w:rsidRPr="00050D03">
        <w:rPr>
          <w:rFonts w:cs="Times New Roman"/>
          <w:color w:val="000000" w:themeColor="text1"/>
        </w:rPr>
        <w:fldChar w:fldCharType="end"/>
      </w:r>
      <w:r w:rsidR="00DB577B" w:rsidRPr="00050D03">
        <w:rPr>
          <w:rFonts w:cs="Times New Roman"/>
          <w:color w:val="000000" w:themeColor="text1"/>
        </w:rPr>
      </w:r>
      <w:r w:rsidR="00DB577B" w:rsidRPr="00050D03">
        <w:rPr>
          <w:rFonts w:cs="Times New Roman"/>
          <w:color w:val="000000" w:themeColor="text1"/>
        </w:rPr>
        <w:fldChar w:fldCharType="separate"/>
      </w:r>
      <w:r w:rsidR="00DB577B" w:rsidRPr="00050D03">
        <w:rPr>
          <w:rFonts w:cs="Times New Roman"/>
          <w:noProof/>
          <w:color w:val="000000" w:themeColor="text1"/>
        </w:rPr>
        <w:t>[2]</w:t>
      </w:r>
      <w:r w:rsidR="00DB577B" w:rsidRPr="00050D03">
        <w:rPr>
          <w:rFonts w:cs="Times New Roman"/>
          <w:color w:val="000000" w:themeColor="text1"/>
        </w:rPr>
        <w:fldChar w:fldCharType="end"/>
      </w:r>
      <w:r w:rsidRPr="00050D03">
        <w:rPr>
          <w:rFonts w:cs="Times New Roman"/>
          <w:color w:val="000000" w:themeColor="text1"/>
        </w:rPr>
        <w:t xml:space="preserve"> was used to carry out basic preprocessing of the raw probe intensity data, including background correcting and normalising.</w:t>
      </w:r>
    </w:p>
    <w:p w14:paraId="7D6A50D5" w14:textId="1F4A3653" w:rsidR="00D93BA2" w:rsidRPr="00050D03" w:rsidRDefault="00D93BA2" w:rsidP="00D93BA2">
      <w:pPr>
        <w:pStyle w:val="Para"/>
        <w:ind w:firstLine="480"/>
        <w:rPr>
          <w:rFonts w:cs="Times New Roman"/>
          <w:color w:val="000000" w:themeColor="text1"/>
        </w:rPr>
      </w:pPr>
      <w:r w:rsidRPr="00050D03">
        <w:rPr>
          <w:rFonts w:cs="Times New Roman"/>
          <w:color w:val="000000" w:themeColor="text1"/>
        </w:rPr>
        <w:t xml:space="preserve">The final training cohort included a total of 384 tumour samples and 17 NAT tissues in the TCGA project. GSE13507 dataset contains 165 mRNA profiles of tumour samples, and </w:t>
      </w:r>
      <w:r w:rsidRPr="00050D03">
        <w:rPr>
          <w:rFonts w:cs="Times New Roman"/>
          <w:color w:val="000000" w:themeColor="text1"/>
        </w:rPr>
        <w:lastRenderedPageBreak/>
        <w:t xml:space="preserve">GSE32894 has 224. </w:t>
      </w:r>
    </w:p>
    <w:p w14:paraId="3792008F" w14:textId="77777777" w:rsidR="00D93BA2" w:rsidRPr="00050D03" w:rsidRDefault="00D93BA2" w:rsidP="00D93BA2">
      <w:pPr>
        <w:pStyle w:val="2"/>
        <w:rPr>
          <w:color w:val="000000" w:themeColor="text1"/>
        </w:rPr>
      </w:pPr>
      <w:bookmarkStart w:id="4" w:name="_Hlk163990126"/>
      <w:r w:rsidRPr="00050D03">
        <w:rPr>
          <w:color w:val="000000" w:themeColor="text1"/>
        </w:rPr>
        <w:t>Statistical analysis</w:t>
      </w:r>
    </w:p>
    <w:p w14:paraId="772C3A00" w14:textId="77777777" w:rsidR="00D93BA2" w:rsidRPr="00050D03" w:rsidRDefault="00D93BA2" w:rsidP="00D93BA2">
      <w:pPr>
        <w:pStyle w:val="Para"/>
        <w:ind w:firstLine="480"/>
        <w:rPr>
          <w:rFonts w:cs="Times New Roman"/>
          <w:color w:val="000000" w:themeColor="text1"/>
        </w:rPr>
      </w:pPr>
      <w:r w:rsidRPr="00050D03">
        <w:rPr>
          <w:rFonts w:cs="Times New Roman"/>
          <w:color w:val="000000" w:themeColor="text1"/>
        </w:rPr>
        <w:t xml:space="preserve">The </w:t>
      </w:r>
      <w:bookmarkStart w:id="5" w:name="_Hlk160289005"/>
      <w:r w:rsidRPr="00050D03">
        <w:rPr>
          <w:rFonts w:cs="Times New Roman"/>
          <w:color w:val="000000" w:themeColor="text1"/>
        </w:rPr>
        <w:t>Kaplan–Meier</w:t>
      </w:r>
      <w:bookmarkEnd w:id="5"/>
      <w:r w:rsidRPr="00050D03">
        <w:rPr>
          <w:rFonts w:cs="Times New Roman"/>
          <w:color w:val="000000" w:themeColor="text1"/>
        </w:rPr>
        <w:t xml:space="preserve"> (K–M) plot of survival and the Cox’s proportional hazards (PH) regression model are widely used to identify factors associated with a time-to-event response variable. The primary endpoint was overall survival (OS), defined as the time from diagnosis to death from any cause. Hazard ratio values from </w:t>
      </w:r>
      <w:bookmarkStart w:id="6" w:name="_Hlk129472595"/>
      <w:r w:rsidRPr="00050D03">
        <w:rPr>
          <w:rFonts w:cs="Times New Roman"/>
          <w:color w:val="000000" w:themeColor="text1"/>
        </w:rPr>
        <w:t>K–M</w:t>
      </w:r>
      <w:bookmarkEnd w:id="6"/>
      <w:r w:rsidRPr="00050D03">
        <w:rPr>
          <w:rFonts w:cs="Times New Roman"/>
          <w:color w:val="000000" w:themeColor="text1"/>
        </w:rPr>
        <w:t xml:space="preserve"> survival curves or Cox’s PH model were used to represent the relative difference between the exposed group and the reference group. An HR value greater than 1 suggests a higher risk, while an HR value less than 1 implies a reduced risk.</w:t>
      </w:r>
    </w:p>
    <w:p w14:paraId="1F36EEEF" w14:textId="494D43A0" w:rsidR="00DB577B" w:rsidRPr="00050D03" w:rsidRDefault="00D93BA2" w:rsidP="00D93BA2">
      <w:pPr>
        <w:pStyle w:val="Para"/>
        <w:ind w:firstLine="480"/>
        <w:rPr>
          <w:rFonts w:cs="Times New Roman"/>
          <w:color w:val="000000" w:themeColor="text1"/>
        </w:rPr>
      </w:pPr>
      <w:r w:rsidRPr="00050D03">
        <w:rPr>
          <w:rFonts w:cs="Times New Roman"/>
          <w:color w:val="000000" w:themeColor="text1"/>
        </w:rPr>
        <w:t>Quantitative variables are presented using the mean and the standard deviation (SD) if they are normally distributed or the median and the interquartile range (IQR) if they follow a non-normal distribution. Shapiro–Wilk test was used for testing normality. Cox’s</w:t>
      </w:r>
      <w:r w:rsidRPr="00050D03">
        <w:rPr>
          <w:color w:val="000000" w:themeColor="text1"/>
        </w:rPr>
        <w:t xml:space="preserve"> </w:t>
      </w:r>
      <w:r w:rsidRPr="00050D03">
        <w:rPr>
          <w:rFonts w:cs="Times New Roman"/>
          <w:color w:val="000000" w:themeColor="text1"/>
        </w:rPr>
        <w:t>PH analyses were used to estimate the hazard ratio (HR) and their 95% confidence interval (CI) of death. The area under the curve (AUC) values of the receiver-operating characteristics (ROC) curve or concordance index (C-index) values and their 95% CI were used to display the discriminative power of the corresponding Cox’s PH model.</w:t>
      </w:r>
      <w:bookmarkEnd w:id="4"/>
    </w:p>
    <w:p w14:paraId="1C66D118" w14:textId="1BABC05E" w:rsidR="00940040" w:rsidRPr="00050D03" w:rsidRDefault="00940040" w:rsidP="00366B7E">
      <w:pPr>
        <w:pStyle w:val="3"/>
      </w:pPr>
      <w:r w:rsidRPr="00050D03">
        <w:t>Internal and external v</w:t>
      </w:r>
      <w:r w:rsidRPr="00050D03">
        <w:rPr>
          <w:rFonts w:hint="eastAsia"/>
        </w:rPr>
        <w:t>al</w:t>
      </w:r>
      <w:r w:rsidRPr="00050D03">
        <w:t>idation of cuproptosis- and ferroptosis-related signature</w:t>
      </w:r>
    </w:p>
    <w:p w14:paraId="293461AA" w14:textId="6378321E" w:rsidR="00940040" w:rsidRPr="00050D03" w:rsidRDefault="00940040" w:rsidP="00940040">
      <w:pPr>
        <w:pStyle w:val="paragraph"/>
        <w:rPr>
          <w:color w:val="000000" w:themeColor="text1"/>
        </w:rPr>
      </w:pPr>
      <w:r w:rsidRPr="00050D03">
        <w:rPr>
          <w:color w:val="000000" w:themeColor="text1"/>
        </w:rPr>
        <w:t xml:space="preserve">To further explore the clinical utility of the risk score, survival analyses were conducted. Independent </w:t>
      </w:r>
      <w:r w:rsidRPr="00050D03">
        <w:rPr>
          <w:i/>
          <w:iCs/>
          <w:color w:val="000000" w:themeColor="text1"/>
        </w:rPr>
        <w:t>t</w:t>
      </w:r>
      <w:r w:rsidRPr="00050D03">
        <w:rPr>
          <w:color w:val="000000" w:themeColor="text1"/>
        </w:rPr>
        <w:t>-tests compared the expression levels of hub genes across risk groups, with survival outcomes compared via Kaplan–Meier</w:t>
      </w:r>
      <w:r w:rsidR="007A5F5C">
        <w:rPr>
          <w:color w:val="000000" w:themeColor="text1"/>
        </w:rPr>
        <w:t xml:space="preserve"> (K–M)</w:t>
      </w:r>
      <w:r w:rsidRPr="00050D03">
        <w:rPr>
          <w:color w:val="000000" w:themeColor="text1"/>
        </w:rPr>
        <w:t xml:space="preserve"> analysis and the log-rank test, facilitated by the “coin” package </w:t>
      </w:r>
      <w:r w:rsidRPr="00050D03">
        <w:rPr>
          <w:color w:val="000000" w:themeColor="text1"/>
        </w:rPr>
        <w:fldChar w:fldCharType="begin"/>
      </w:r>
      <w:r w:rsidRPr="00050D03">
        <w:rPr>
          <w:color w:val="000000" w:themeColor="text1"/>
        </w:rPr>
        <w:instrText xml:space="preserve"> ADDIN EN.CITE &lt;EndNote&gt;&lt;Cite&gt;&lt;Author&gt;Hothorn&lt;/Author&gt;&lt;Year&gt;2008&lt;/Year&gt;&lt;RecNum&gt;143&lt;/RecNum&gt;&lt;DisplayText&gt;[3]&lt;/DisplayText&gt;&lt;record&gt;&lt;rec-number&gt;143&lt;/rec-number&gt;&lt;foreign-keys&gt;&lt;key app="EN" db-id="0wetda2xo0eavpe0pt9vxpv0pepfzeefaewp" timestamp="1712385762"&gt;143&lt;/key&gt;&lt;/foreign-keys&gt;&lt;ref-type name="Journal Article"&gt;17&lt;/ref-type&gt;&lt;contributors&gt;&lt;authors&gt;&lt;author&gt;Hothorn, Torsten&lt;/author&gt;&lt;author&gt;Hornik, Kurt&lt;/author&gt;&lt;author&gt;Van De Wiel, Mark A&lt;/author&gt;&lt;author&gt;Zeileis, Achim&lt;/author&gt;&lt;/authors&gt;&lt;/contributors&gt;&lt;titles&gt;&lt;title&gt;Implementing a class of permutation tests: the coin package&lt;/title&gt;&lt;secondary-title&gt;Journal of Statistical Software&lt;/secondary-title&gt;&lt;alt-title&gt;J. Stat. Softw.&lt;/alt-title&gt;&lt;/titles&gt;&lt;pages&gt;1–23&lt;/pages&gt;&lt;volume&gt;28&lt;/volume&gt;&lt;number&gt;8&lt;/number&gt;&lt;dates&gt;&lt;year&gt;2008&lt;/year&gt;&lt;/dates&gt;&lt;isbn&gt;1548-7660&lt;/isbn&gt;&lt;urls&gt;&lt;/urls&gt;&lt;electronic-resource-num&gt;10.18637/jss.v028.i08&lt;/electronic-resource-num&gt;&lt;/record&gt;&lt;/Cite&gt;&lt;/EndNote&gt;</w:instrText>
      </w:r>
      <w:r w:rsidRPr="00050D03">
        <w:rPr>
          <w:color w:val="000000" w:themeColor="text1"/>
        </w:rPr>
        <w:fldChar w:fldCharType="separate"/>
      </w:r>
      <w:r w:rsidRPr="00050D03">
        <w:rPr>
          <w:noProof/>
          <w:color w:val="000000" w:themeColor="text1"/>
        </w:rPr>
        <w:t>[3]</w:t>
      </w:r>
      <w:r w:rsidRPr="00050D03">
        <w:rPr>
          <w:color w:val="000000" w:themeColor="text1"/>
        </w:rPr>
        <w:fldChar w:fldCharType="end"/>
      </w:r>
      <w:r w:rsidRPr="00050D03">
        <w:rPr>
          <w:color w:val="000000" w:themeColor="text1"/>
        </w:rPr>
        <w:t xml:space="preserve">. The predictive accuracy of the risk score was validated both internally within the TCGA cohort and externally, assessing its performance through area </w:t>
      </w:r>
      <w:r w:rsidRPr="00050D03">
        <w:rPr>
          <w:color w:val="000000" w:themeColor="text1"/>
        </w:rPr>
        <w:lastRenderedPageBreak/>
        <w:t>under the curve (AUC) values from time-dependent receiver operating characteristic (ROC) analyses for 1, 3, and 5 years, using the “timeROC” package</w:t>
      </w:r>
      <w:bookmarkStart w:id="7" w:name="_Hlk157709503"/>
      <w:r w:rsidRPr="00050D03">
        <w:rPr>
          <w:color w:val="000000" w:themeColor="text1"/>
          <w:szCs w:val="20"/>
        </w:rPr>
        <w:t xml:space="preserve"> </w:t>
      </w:r>
      <w:r w:rsidRPr="00050D03">
        <w:rPr>
          <w:color w:val="000000" w:themeColor="text1"/>
          <w:szCs w:val="20"/>
        </w:rPr>
        <w:fldChar w:fldCharType="begin"/>
      </w:r>
      <w:r w:rsidRPr="00050D03">
        <w:rPr>
          <w:color w:val="000000" w:themeColor="text1"/>
          <w:szCs w:val="20"/>
        </w:rPr>
        <w:instrText xml:space="preserve"> ADDIN EN.CITE &lt;EndNote&gt;&lt;Cite&gt;&lt;Author&gt;Blanche&lt;/Author&gt;&lt;Year&gt;2013&lt;/Year&gt;&lt;RecNum&gt;84&lt;/RecNum&gt;&lt;DisplayText&gt;[4]&lt;/DisplayText&gt;&lt;record&gt;&lt;rec-number&gt;84&lt;/rec-number&gt;&lt;foreign-keys&gt;&lt;key app="EN" db-id="rerpde5ruf2es6epsexpvat8draer99axvt0" timestamp="1678808138"&gt;84&lt;/key&gt;&lt;/foreign-keys&gt;&lt;ref-type name="Journal Article"&gt;17&lt;/ref-type&gt;&lt;contributors&gt;&lt;authors&gt;&lt;author&gt;Blanche, Paul&lt;/author&gt;&lt;author&gt;Dartigues, Jean-François&lt;/author&gt;&lt;author&gt;Jacqmin-Gadda, Hélène&lt;/author&gt;&lt;/authors&gt;&lt;/contributors&gt;&lt;titles&gt;&lt;title&gt;Estimating and comparing time-dependent areas under receiver operating characteristic curves for censored event times with competing risks&lt;/title&gt;&lt;secondary-title&gt;Statistics in Medicine&lt;/secondary-title&gt;&lt;alt-title&gt;Stat. Med.&lt;/alt-title&gt;&lt;/titles&gt;&lt;pages&gt;5381–5397&lt;/pages&gt;&lt;volume&gt;32&lt;/volume&gt;&lt;number&gt;30&lt;/number&gt;&lt;dates&gt;&lt;year&gt;2013&lt;/year&gt;&lt;/dates&gt;&lt;isbn&gt;0277-6715&lt;/isbn&gt;&lt;urls&gt;&lt;related-urls&gt;&lt;url&gt;https://onlinelibrary.wiley.com/doi/abs/10.1002/sim.5958&lt;/url&gt;&lt;/related-urls&gt;&lt;/urls&gt;&lt;electronic-resource-num&gt;10.1002/sim.5958&lt;/electronic-resource-num&gt;&lt;/record&gt;&lt;/Cite&gt;&lt;/EndNote&gt;</w:instrText>
      </w:r>
      <w:r w:rsidRPr="00050D03">
        <w:rPr>
          <w:color w:val="000000" w:themeColor="text1"/>
          <w:szCs w:val="20"/>
        </w:rPr>
        <w:fldChar w:fldCharType="separate"/>
      </w:r>
      <w:r w:rsidRPr="00050D03">
        <w:rPr>
          <w:noProof/>
          <w:color w:val="000000" w:themeColor="text1"/>
          <w:szCs w:val="20"/>
        </w:rPr>
        <w:t>[4]</w:t>
      </w:r>
      <w:r w:rsidRPr="00050D03">
        <w:rPr>
          <w:color w:val="000000" w:themeColor="text1"/>
          <w:szCs w:val="20"/>
        </w:rPr>
        <w:fldChar w:fldCharType="end"/>
      </w:r>
      <w:bookmarkEnd w:id="7"/>
      <w:r w:rsidRPr="00050D03">
        <w:rPr>
          <w:color w:val="000000" w:themeColor="text1"/>
        </w:rPr>
        <w:t xml:space="preserve">. Signatures with an ROC AUC above 0.6 and survival analysis </w:t>
      </w:r>
      <w:r w:rsidRPr="00050D03">
        <w:rPr>
          <w:i/>
          <w:iCs/>
          <w:color w:val="000000" w:themeColor="text1"/>
        </w:rPr>
        <w:t>p</w:t>
      </w:r>
      <w:r w:rsidRPr="00050D03">
        <w:rPr>
          <w:color w:val="000000" w:themeColor="text1"/>
        </w:rPr>
        <w:t>-value below 0.05 were deemed predictive. Additionally, the risk score’s efficacy in predicting OS across subgroups defined by demographic characteristics (gender and age) was evaluated to display its potential as a robust prognostic tool.</w:t>
      </w:r>
    </w:p>
    <w:p w14:paraId="2DC809BE" w14:textId="38AB7869" w:rsidR="00940040" w:rsidRPr="00050D03" w:rsidRDefault="00940040" w:rsidP="00366B7E">
      <w:pPr>
        <w:pStyle w:val="3"/>
      </w:pPr>
      <w:r w:rsidRPr="00050D03">
        <w:t>Validation of nomogram-based prognostic model</w:t>
      </w:r>
    </w:p>
    <w:p w14:paraId="5ACF2F54" w14:textId="5642DEF9" w:rsidR="00940040" w:rsidRPr="00050D03" w:rsidRDefault="00940040" w:rsidP="00366B7E">
      <w:pPr>
        <w:pStyle w:val="paragraph"/>
        <w:rPr>
          <w:rFonts w:cs="Times New Roman"/>
          <w:color w:val="000000" w:themeColor="text1"/>
        </w:rPr>
      </w:pPr>
      <w:bookmarkStart w:id="8" w:name="_Hlk163993120"/>
      <w:bookmarkStart w:id="9" w:name="_Hlk158730941"/>
      <w:r w:rsidRPr="00050D03">
        <w:rPr>
          <w:color w:val="000000" w:themeColor="text1"/>
        </w:rPr>
        <w:t xml:space="preserve">The performance of the nomogram-based predictive model was assessed through various metrics including the C-index for discrimination, </w:t>
      </w:r>
      <w:r w:rsidR="00FA6A7A" w:rsidRPr="00050D03">
        <w:rPr>
          <w:color w:val="000000" w:themeColor="text1"/>
        </w:rPr>
        <w:t>i</w:t>
      </w:r>
      <w:r w:rsidRPr="00050D03">
        <w:rPr>
          <w:color w:val="000000" w:themeColor="text1"/>
        </w:rPr>
        <w:t xml:space="preserve">ntegrated Brier </w:t>
      </w:r>
      <w:r w:rsidR="00FA6A7A" w:rsidRPr="00050D03">
        <w:rPr>
          <w:color w:val="000000" w:themeColor="text1"/>
        </w:rPr>
        <w:t>s</w:t>
      </w:r>
      <w:r w:rsidRPr="00050D03">
        <w:rPr>
          <w:color w:val="000000" w:themeColor="text1"/>
        </w:rPr>
        <w:t>core (IBS) for prediction accuracy, and calibration curves</w:t>
      </w:r>
      <w:r w:rsidR="00FA6A7A" w:rsidRPr="00050D03">
        <w:rPr>
          <w:color w:val="000000" w:themeColor="text1"/>
        </w:rPr>
        <w:t xml:space="preserve"> for model calibration</w:t>
      </w:r>
      <w:r w:rsidRPr="00050D03">
        <w:rPr>
          <w:color w:val="000000" w:themeColor="text1"/>
        </w:rPr>
        <w:t xml:space="preserve"> and decision curve analysis (DCA)</w:t>
      </w:r>
      <w:r w:rsidR="00FA6A7A" w:rsidRPr="00050D03">
        <w:rPr>
          <w:color w:val="000000" w:themeColor="text1"/>
        </w:rPr>
        <w:t xml:space="preserve"> </w:t>
      </w:r>
      <w:r w:rsidR="00FA6A7A" w:rsidRPr="00050D03">
        <w:rPr>
          <w:color w:val="000000" w:themeColor="text1"/>
        </w:rPr>
        <w:fldChar w:fldCharType="begin"/>
      </w:r>
      <w:r w:rsidR="00FA6A7A" w:rsidRPr="00050D03">
        <w:rPr>
          <w:color w:val="000000" w:themeColor="text1"/>
        </w:rPr>
        <w:instrText xml:space="preserve"> ADDIN EN.CITE &lt;EndNote&gt;&lt;Cite&gt;&lt;Author&gt;Vickers&lt;/Author&gt;&lt;Year&gt;2006&lt;/Year&gt;&lt;RecNum&gt;81&lt;/RecNum&gt;&lt;DisplayText&gt;[5]&lt;/DisplayText&gt;&lt;record&gt;&lt;rec-number&gt;81&lt;/rec-number&gt;&lt;foreign-keys&gt;&lt;key app="EN" db-id="0wetda2xo0eavpe0pt9vxpv0pepfzeefaewp" timestamp="1695393060"&gt;81&lt;/key&gt;&lt;/foreign-keys&gt;&lt;ref-type name="Journal Article"&gt;17&lt;/ref-type&gt;&lt;contributors&gt;&lt;authors&gt;&lt;author&gt;Vickers, Andrew J&lt;/author&gt;&lt;author&gt;Elkin, Elena B&lt;/author&gt;&lt;/authors&gt;&lt;/contributors&gt;&lt;titles&gt;&lt;title&gt;Decision curve analysis: a novel method for evaluating prediction models&lt;/title&gt;&lt;secondary-title&gt;Medical Decision Making&lt;/secondary-title&gt;&lt;alt-title&gt;Med Decis Making&lt;/alt-title&gt;&lt;/titles&gt;&lt;pages&gt;565–574&lt;/pages&gt;&lt;volume&gt;26&lt;/volume&gt;&lt;number&gt;6&lt;/number&gt;&lt;dates&gt;&lt;year&gt;2006&lt;/year&gt;&lt;/dates&gt;&lt;isbn&gt;0272-989X&lt;/isbn&gt;&lt;urls&gt;&lt;/urls&gt;&lt;electronic-resource-num&gt;10.1177/0272989X0629536&lt;/electronic-resource-num&gt;&lt;/record&gt;&lt;/Cite&gt;&lt;/EndNote&gt;</w:instrText>
      </w:r>
      <w:r w:rsidR="00FA6A7A" w:rsidRPr="00050D03">
        <w:rPr>
          <w:color w:val="000000" w:themeColor="text1"/>
        </w:rPr>
        <w:fldChar w:fldCharType="separate"/>
      </w:r>
      <w:r w:rsidR="00FA6A7A" w:rsidRPr="00050D03">
        <w:rPr>
          <w:noProof/>
          <w:color w:val="000000" w:themeColor="text1"/>
        </w:rPr>
        <w:t>[5]</w:t>
      </w:r>
      <w:r w:rsidR="00FA6A7A" w:rsidRPr="00050D03">
        <w:rPr>
          <w:color w:val="000000" w:themeColor="text1"/>
        </w:rPr>
        <w:fldChar w:fldCharType="end"/>
      </w:r>
      <w:r w:rsidRPr="00050D03">
        <w:rPr>
          <w:color w:val="000000" w:themeColor="text1"/>
        </w:rPr>
        <w:t xml:space="preserve"> for model utility. </w:t>
      </w:r>
      <w:bookmarkEnd w:id="8"/>
      <w:r w:rsidRPr="00050D03">
        <w:rPr>
          <w:color w:val="000000" w:themeColor="text1"/>
        </w:rPr>
        <w:t xml:space="preserve">The discrimination </w:t>
      </w:r>
      <w:r w:rsidRPr="00050D03">
        <w:rPr>
          <w:rFonts w:hint="eastAsia"/>
          <w:color w:val="000000" w:themeColor="text1"/>
        </w:rPr>
        <w:t>and</w:t>
      </w:r>
      <w:r w:rsidRPr="00050D03">
        <w:rPr>
          <w:color w:val="000000" w:themeColor="text1"/>
        </w:rPr>
        <w:t xml:space="preserve"> overall performance of the nomogram was evaluated on the training cohort and then validated on the validation set.</w:t>
      </w:r>
      <w:bookmarkEnd w:id="9"/>
      <w:r w:rsidRPr="00050D03">
        <w:rPr>
          <w:color w:val="000000" w:themeColor="text1"/>
        </w:rPr>
        <w:t xml:space="preserve"> IBS of the Nomogram model was computed using the “ipred” package </w:t>
      </w:r>
      <w:r w:rsidRPr="00050D03">
        <w:rPr>
          <w:color w:val="000000" w:themeColor="text1"/>
        </w:rPr>
        <w:fldChar w:fldCharType="begin"/>
      </w:r>
      <w:r w:rsidR="00FA6A7A" w:rsidRPr="00050D03">
        <w:rPr>
          <w:color w:val="000000" w:themeColor="text1"/>
        </w:rPr>
        <w:instrText xml:space="preserve"> ADDIN EN.CITE &lt;EndNote&gt;&lt;Cite&gt;&lt;Author&gt;Peters&lt;/Author&gt;&lt;Year&gt;2002&lt;/Year&gt;&lt;RecNum&gt;152&lt;/RecNum&gt;&lt;DisplayText&gt;[6]&lt;/DisplayText&gt;&lt;record&gt;&lt;rec-number&gt;152&lt;/rec-number&gt;&lt;foreign-keys&gt;&lt;key app="EN" db-id="0wetda2xo0eavpe0pt9vxpv0pepfzeefaewp" timestamp="1712385762"&gt;152&lt;/key&gt;&lt;/foreign-keys&gt;&lt;ref-type name="Journal Article"&gt;17&lt;/ref-type&gt;&lt;contributors&gt;&lt;authors&gt;&lt;author&gt;Peters, Andrea&lt;/author&gt;&lt;author&gt;Hothorn, Torsten&lt;/author&gt;&lt;author&gt;Lausen, Berthold&lt;/author&gt;&lt;/authors&gt;&lt;/contributors&gt;&lt;titles&gt;&lt;title&gt;ipred: Improved predictors&lt;/title&gt;&lt;secondary-title&gt;R news&lt;/secondary-title&gt;&lt;alt-title&gt;R News&lt;/alt-title&gt;&lt;/titles&gt;&lt;pages&gt;33–36&lt;/pages&gt;&lt;volume&gt;2&lt;/volume&gt;&lt;number&gt;2&lt;/number&gt;&lt;dates&gt;&lt;year&gt;2002&lt;/year&gt;&lt;/dates&gt;&lt;urls&gt;&lt;/urls&gt;&lt;/record&gt;&lt;/Cite&gt;&lt;/EndNote&gt;</w:instrText>
      </w:r>
      <w:r w:rsidRPr="00050D03">
        <w:rPr>
          <w:color w:val="000000" w:themeColor="text1"/>
        </w:rPr>
        <w:fldChar w:fldCharType="separate"/>
      </w:r>
      <w:r w:rsidR="00FA6A7A" w:rsidRPr="00050D03">
        <w:rPr>
          <w:noProof/>
          <w:color w:val="000000" w:themeColor="text1"/>
        </w:rPr>
        <w:t>[6]</w:t>
      </w:r>
      <w:r w:rsidRPr="00050D03">
        <w:rPr>
          <w:color w:val="000000" w:themeColor="text1"/>
        </w:rPr>
        <w:fldChar w:fldCharType="end"/>
      </w:r>
      <w:r w:rsidRPr="00050D03">
        <w:rPr>
          <w:color w:val="000000" w:themeColor="text1"/>
        </w:rPr>
        <w:t xml:space="preserve"> with the parameter nbagg = 1 (a single survival tree). The upper and lower 95% CI were calculated by 1000-time bootstrap resampling using the “boot” package </w:t>
      </w:r>
      <w:r w:rsidRPr="00050D03">
        <w:rPr>
          <w:color w:val="000000" w:themeColor="text1"/>
        </w:rPr>
        <w:fldChar w:fldCharType="begin"/>
      </w:r>
      <w:r w:rsidR="00FA6A7A" w:rsidRPr="00050D03">
        <w:rPr>
          <w:color w:val="000000" w:themeColor="text1"/>
        </w:rPr>
        <w:instrText xml:space="preserve"> ADDIN EN.CITE &lt;EndNote&gt;&lt;Cite&gt;&lt;Author&gt;Canty&lt;/Author&gt;&lt;Year&gt;2002&lt;/Year&gt;&lt;RecNum&gt;13&lt;/RecNum&gt;&lt;DisplayText&gt;[7]&lt;/DisplayText&gt;&lt;record&gt;&lt;rec-number&gt;13&lt;/rec-number&gt;&lt;foreign-keys&gt;&lt;key app="EN" db-id="rerpde5ruf2es6epsexpvat8draer99axvt0" timestamp="1678613184"&gt;13&lt;/key&gt;&lt;/foreign-keys&gt;&lt;ref-type name="Journal Article"&gt;17&lt;/ref-type&gt;&lt;contributors&gt;&lt;authors&gt;&lt;author&gt;Canty, Angelo J&lt;/author&gt;&lt;/authors&gt;&lt;/contributors&gt;&lt;titles&gt;&lt;title&gt;Resampling methods in R: the boot package&lt;/title&gt;&lt;secondary-title&gt;The Newsletter of the R Project&lt;/secondary-title&gt;&lt;alt-title&gt;Newsl. R Proj&lt;/alt-title&gt;&lt;/titles&gt;&lt;pages&gt;2–7&lt;/pages&gt;&lt;volume&gt;2&lt;/volume&gt;&lt;number&gt;3&lt;/number&gt;&lt;dates&gt;&lt;year&gt;2002&lt;/year&gt;&lt;/dates&gt;&lt;urls&gt;&lt;/urls&gt;&lt;/record&gt;&lt;/Cite&gt;&lt;/EndNote&gt;</w:instrText>
      </w:r>
      <w:r w:rsidRPr="00050D03">
        <w:rPr>
          <w:color w:val="000000" w:themeColor="text1"/>
        </w:rPr>
        <w:fldChar w:fldCharType="separate"/>
      </w:r>
      <w:r w:rsidR="00FA6A7A" w:rsidRPr="00050D03">
        <w:rPr>
          <w:noProof/>
          <w:color w:val="000000" w:themeColor="text1"/>
        </w:rPr>
        <w:t>[7]</w:t>
      </w:r>
      <w:r w:rsidRPr="00050D03">
        <w:rPr>
          <w:color w:val="000000" w:themeColor="text1"/>
        </w:rPr>
        <w:fldChar w:fldCharType="end"/>
      </w:r>
      <w:r w:rsidRPr="00050D03">
        <w:rPr>
          <w:rFonts w:hint="eastAsia"/>
          <w:color w:val="000000" w:themeColor="text1"/>
        </w:rPr>
        <w:t>.</w:t>
      </w:r>
      <w:r w:rsidRPr="00050D03">
        <w:rPr>
          <w:color w:val="000000" w:themeColor="text1"/>
        </w:rPr>
        <w:t xml:space="preserve"> In practice, a model with a C-index greater than 0.6 and an IBS below 0.25 was deemed useful. Meanwhile, calibration plots were generated based on 1000 bootstrap samples from both the TCGA cohort and GSE21257 dataset to compare the K–M method estimated and nomogram-predicted 1-, 3-, and 5-year OS rates using the “riskRegression” package </w:t>
      </w:r>
      <w:r w:rsidRPr="00050D03">
        <w:rPr>
          <w:color w:val="000000" w:themeColor="text1"/>
        </w:rPr>
        <w:fldChar w:fldCharType="begin"/>
      </w:r>
      <w:r w:rsidR="00FA6A7A" w:rsidRPr="00050D03">
        <w:rPr>
          <w:color w:val="000000" w:themeColor="text1"/>
        </w:rPr>
        <w:instrText xml:space="preserve"> ADDIN EN.CITE &lt;EndNote&gt;&lt;Cite&gt;&lt;Author&gt;Lazic&lt;/Author&gt;&lt;Year&gt;2022&lt;/Year&gt;&lt;RecNum&gt;125&lt;/RecNum&gt;&lt;DisplayText&gt;[8]&lt;/DisplayText&gt;&lt;record&gt;&lt;rec-number&gt;125&lt;/rec-number&gt;&lt;foreign-keys&gt;&lt;key app="EN" db-id="rerpde5ruf2es6epsexpvat8draer99axvt0" timestamp="1679896654"&gt;125&lt;/key&gt;&lt;/foreign-keys&gt;&lt;ref-type name="Journal Article"&gt;17&lt;/ref-type&gt;&lt;contributors&gt;&lt;authors&gt;&lt;author&gt;Lazic, Stanley E.&lt;/author&gt;&lt;/authors&gt;&lt;/contributors&gt;&lt;titles&gt;&lt;title&gt;Medical risk prediction models: with ties to machine learning&lt;/title&gt;&lt;secondary-title&gt;Journal of the Royal Statistical Society Series A: Statistics in Society&lt;/secondary-title&gt;&lt;alt-title&gt;J R Stat Soc Ser A Stat Soc&lt;/alt-title&gt;&lt;/titles&gt;&lt;pages&gt;425&lt;/pages&gt;&lt;volume&gt;185&lt;/volume&gt;&lt;number&gt;1&lt;/number&gt;&lt;dates&gt;&lt;year&gt;2022&lt;/year&gt;&lt;/dates&gt;&lt;isbn&gt;0964-1998&lt;/isbn&gt;&lt;urls&gt;&lt;related-urls&gt;&lt;url&gt;https://doi.org/10.1111/rssa.12756&lt;/url&gt;&lt;/related-urls&gt;&lt;/urls&gt;&lt;electronic-resource-num&gt;10.1111/rssa.12756&lt;/electronic-resource-num&gt;&lt;access-date&gt;3/27/2023&lt;/access-date&gt;&lt;/record&gt;&lt;/Cite&gt;&lt;/EndNote&gt;</w:instrText>
      </w:r>
      <w:r w:rsidRPr="00050D03">
        <w:rPr>
          <w:color w:val="000000" w:themeColor="text1"/>
        </w:rPr>
        <w:fldChar w:fldCharType="separate"/>
      </w:r>
      <w:r w:rsidR="00FA6A7A" w:rsidRPr="00050D03">
        <w:rPr>
          <w:noProof/>
          <w:color w:val="000000" w:themeColor="text1"/>
        </w:rPr>
        <w:t>[8]</w:t>
      </w:r>
      <w:r w:rsidRPr="00050D03">
        <w:rPr>
          <w:color w:val="000000" w:themeColor="text1"/>
        </w:rPr>
        <w:fldChar w:fldCharType="end"/>
      </w:r>
      <w:r w:rsidRPr="00050D03">
        <w:rPr>
          <w:color w:val="000000" w:themeColor="text1"/>
        </w:rPr>
        <w:t xml:space="preserve">. Time-dependent C-index values involving CV with 1000 bootstrap samples of each Cox’s regression model (the Clinical model, the Risk Score Level model, and Nomogram model) were calculated utilizing the “pec” package </w:t>
      </w:r>
      <w:r w:rsidRPr="00050D03">
        <w:rPr>
          <w:color w:val="000000" w:themeColor="text1"/>
        </w:rPr>
        <w:fldChar w:fldCharType="begin"/>
      </w:r>
      <w:r w:rsidR="00FA6A7A" w:rsidRPr="00050D03">
        <w:rPr>
          <w:color w:val="000000" w:themeColor="text1"/>
        </w:rPr>
        <w:instrText xml:space="preserve"> ADDIN EN.CITE &lt;EndNote&gt;&lt;Cite&gt;&lt;Author&gt;Mogensen&lt;/Author&gt;&lt;Year&gt;2012&lt;/Year&gt;&lt;RecNum&gt;86&lt;/RecNum&gt;&lt;DisplayText&gt;[9]&lt;/DisplayText&gt;&lt;record&gt;&lt;rec-number&gt;86&lt;/rec-number&gt;&lt;foreign-keys&gt;&lt;key app="EN" db-id="rerpde5ruf2es6epsexpvat8draer99axvt0" timestamp="1678808138"&gt;86&lt;/key&gt;&lt;/foreign-keys&gt;&lt;ref-type name="Journal Article"&gt;17&lt;/ref-type&gt;&lt;contributors&gt;&lt;authors&gt;&lt;author&gt;Mogensen, Ulla B.&lt;/author&gt;&lt;author&gt;Ishwaran, Hemant&lt;/author&gt;&lt;author&gt;Gerds, Thomas A.&lt;/author&gt;&lt;/authors&gt;&lt;/contributors&gt;&lt;titles&gt;&lt;title&gt;Evaluating random forests for survival analysis using prediction error curves&lt;/title&gt;&lt;secondary-title&gt;Journal of Statistical Software&lt;/secondary-title&gt;&lt;alt-title&gt;J. Stat. Softw.&lt;/alt-title&gt;&lt;/titles&gt;&lt;pages&gt;1–23&lt;/pages&gt;&lt;volume&gt;50&lt;/volume&gt;&lt;number&gt;11&lt;/number&gt;&lt;keywords&gt;&lt;keyword&gt;R.&lt;/keyword&gt;&lt;keyword&gt;Survival prediction&lt;/keyword&gt;&lt;keyword&gt;prediction error curves&lt;/keyword&gt;&lt;keyword&gt;random survival forest&lt;/keyword&gt;&lt;/keywords&gt;&lt;dates&gt;&lt;year&gt;2012&lt;/year&gt;&lt;/dates&gt;&lt;isbn&gt;1548-7660&lt;/isbn&gt;&lt;accession-num&gt;25317082&lt;/accession-num&gt;&lt;urls&gt;&lt;related-urls&gt;&lt;url&gt;https://pubmed.ncbi.nlm.nih.gov/25317082&lt;/url&gt;&lt;url&gt;https://www.ncbi.nlm.nih.gov/pmc/articles/PMC4194196/&lt;/url&gt;&lt;/related-urls&gt;&lt;/urls&gt;&lt;electronic-resource-num&gt;10.18637/jss.v050.i11&lt;/electronic-resource-num&gt;&lt;remote-database-name&gt;PubMed&lt;/remote-database-name&gt;&lt;language&gt;eng&lt;/language&gt;&lt;/record&gt;&lt;/Cite&gt;&lt;/EndNote&gt;</w:instrText>
      </w:r>
      <w:r w:rsidRPr="00050D03">
        <w:rPr>
          <w:color w:val="000000" w:themeColor="text1"/>
        </w:rPr>
        <w:fldChar w:fldCharType="separate"/>
      </w:r>
      <w:r w:rsidR="00FA6A7A" w:rsidRPr="00050D03">
        <w:rPr>
          <w:noProof/>
          <w:color w:val="000000" w:themeColor="text1"/>
        </w:rPr>
        <w:t>[9]</w:t>
      </w:r>
      <w:r w:rsidRPr="00050D03">
        <w:rPr>
          <w:color w:val="000000" w:themeColor="text1"/>
        </w:rPr>
        <w:fldChar w:fldCharType="end"/>
      </w:r>
      <w:r w:rsidRPr="00050D03">
        <w:rPr>
          <w:color w:val="000000" w:themeColor="text1"/>
        </w:rPr>
        <w:t xml:space="preserve">. Another novel discriminative performance measurement method, DCA, was simultaneously employed to internally validate the nomogram. Decision curves were constructed using the “stdca.R” script </w:t>
      </w:r>
      <w:r w:rsidRPr="00050D03">
        <w:rPr>
          <w:color w:val="000000" w:themeColor="text1"/>
        </w:rPr>
        <w:lastRenderedPageBreak/>
        <w:fldChar w:fldCharType="begin"/>
      </w:r>
      <w:r w:rsidR="00FA6A7A" w:rsidRPr="00050D03">
        <w:rPr>
          <w:color w:val="000000" w:themeColor="text1"/>
        </w:rPr>
        <w:instrText xml:space="preserve"> ADDIN EN.CITE &lt;EndNote&gt;&lt;Cite&gt;&lt;Author&gt;Vickers&lt;/Author&gt;&lt;Year&gt;2008&lt;/Year&gt;&lt;RecNum&gt;139&lt;/RecNum&gt;&lt;DisplayText&gt;[10]&lt;/DisplayText&gt;&lt;record&gt;&lt;rec-number&gt;139&lt;/rec-number&gt;&lt;foreign-keys&gt;&lt;key app="EN" db-id="rerpde5ruf2es6epsexpvat8draer99axvt0" timestamp="1682868356"&gt;139&lt;/key&gt;&lt;/foreign-keys&gt;&lt;ref-type name="Journal Article"&gt;17&lt;/ref-type&gt;&lt;contributors&gt;&lt;authors&gt;&lt;author&gt;Vickers, Andrew J.&lt;/author&gt;&lt;author&gt;Cronin, Angel M.&lt;/author&gt;&lt;author&gt;Elkin, Elena B.&lt;/author&gt;&lt;author&gt;Gonen, Mithat&lt;/author&gt;&lt;/authors&gt;&lt;/contributors&gt;&lt;titles&gt;&lt;title&gt;Extensions to decision curve analysis, a novel method for evaluating diagnostic tests, prediction models and molecular markers&lt;/title&gt;&lt;secondary-title&gt;BMC Medical Informatics and Decision Making&lt;/secondary-title&gt;&lt;/titles&gt;&lt;pages&gt;53&lt;/pages&gt;&lt;volume&gt;8&lt;/volume&gt;&lt;number&gt;1&lt;/number&gt;&lt;dates&gt;&lt;year&gt;2008&lt;/year&gt;&lt;pub-dates&gt;&lt;date&gt;2008/11/26&lt;/date&gt;&lt;/pub-dates&gt;&lt;/dates&gt;&lt;isbn&gt;1472-6947&lt;/isbn&gt;&lt;urls&gt;&lt;related-urls&gt;&lt;url&gt;https://doi.org/10.1186/1472-6947-8-53&lt;/url&gt;&lt;/related-urls&gt;&lt;/urls&gt;&lt;electronic-resource-num&gt;10.1186/1472-6947-8-53&lt;/electronic-resource-num&gt;&lt;/record&gt;&lt;/Cite&gt;&lt;/EndNote&gt;</w:instrText>
      </w:r>
      <w:r w:rsidRPr="00050D03">
        <w:rPr>
          <w:color w:val="000000" w:themeColor="text1"/>
        </w:rPr>
        <w:fldChar w:fldCharType="separate"/>
      </w:r>
      <w:r w:rsidR="00FA6A7A" w:rsidRPr="00050D03">
        <w:rPr>
          <w:noProof/>
          <w:color w:val="000000" w:themeColor="text1"/>
        </w:rPr>
        <w:t>[10]</w:t>
      </w:r>
      <w:r w:rsidRPr="00050D03">
        <w:rPr>
          <w:color w:val="000000" w:themeColor="text1"/>
        </w:rPr>
        <w:fldChar w:fldCharType="end"/>
      </w:r>
      <w:r w:rsidRPr="00050D03">
        <w:rPr>
          <w:color w:val="000000" w:themeColor="text1"/>
        </w:rPr>
        <w:t xml:space="preserve"> to evaluate the 1-, 3-, and 5-year performance of each model on the training set.</w:t>
      </w:r>
    </w:p>
    <w:p w14:paraId="5E83005B" w14:textId="77777777" w:rsidR="00DB577B" w:rsidRPr="00050D03" w:rsidRDefault="00DB577B" w:rsidP="00DB577B">
      <w:pPr>
        <w:pStyle w:val="Para"/>
        <w:ind w:firstLineChars="0" w:firstLine="0"/>
        <w:rPr>
          <w:rFonts w:cs="Times New Roman"/>
          <w:color w:val="000000" w:themeColor="text1"/>
        </w:rPr>
        <w:sectPr w:rsidR="00DB577B" w:rsidRPr="00050D03" w:rsidSect="00EC44C9">
          <w:footerReference w:type="default" r:id="rId11"/>
          <w:pgSz w:w="11906" w:h="16838" w:code="9"/>
          <w:pgMar w:top="1440" w:right="1440" w:bottom="1440" w:left="1440" w:header="851" w:footer="992" w:gutter="0"/>
          <w:cols w:space="425"/>
          <w:docGrid w:type="lines" w:linePitch="312"/>
        </w:sectPr>
      </w:pPr>
    </w:p>
    <w:p w14:paraId="51A2C815" w14:textId="05CF084B" w:rsidR="00DB577B" w:rsidRPr="00050D03" w:rsidRDefault="00DB577B" w:rsidP="00DB577B">
      <w:pPr>
        <w:pStyle w:val="Para"/>
        <w:ind w:firstLineChars="0" w:firstLine="0"/>
        <w:jc w:val="center"/>
        <w:rPr>
          <w:rFonts w:cs="Times New Roman"/>
          <w:b/>
          <w:bCs/>
          <w:color w:val="000000" w:themeColor="text1"/>
        </w:rPr>
      </w:pPr>
      <w:r w:rsidRPr="00050D03">
        <w:rPr>
          <w:rFonts w:cs="Times New Roman" w:hint="eastAsia"/>
          <w:b/>
          <w:bCs/>
          <w:color w:val="000000" w:themeColor="text1"/>
        </w:rPr>
        <w:lastRenderedPageBreak/>
        <w:t>R</w:t>
      </w:r>
      <w:r w:rsidRPr="00050D03">
        <w:rPr>
          <w:rFonts w:cs="Times New Roman"/>
          <w:b/>
          <w:bCs/>
          <w:color w:val="000000" w:themeColor="text1"/>
        </w:rPr>
        <w:t>eferences</w:t>
      </w:r>
    </w:p>
    <w:p w14:paraId="2362D775" w14:textId="19170E1D" w:rsidR="00050D03" w:rsidRPr="00050D03" w:rsidRDefault="00DB577B" w:rsidP="00050D03">
      <w:pPr>
        <w:pStyle w:val="EndNoteBibliography"/>
        <w:ind w:left="720" w:hanging="720"/>
      </w:pPr>
      <w:r w:rsidRPr="00050D03">
        <w:rPr>
          <w:color w:val="000000" w:themeColor="text1"/>
        </w:rPr>
        <w:fldChar w:fldCharType="begin"/>
      </w:r>
      <w:r w:rsidRPr="00050D03">
        <w:rPr>
          <w:color w:val="000000" w:themeColor="text1"/>
        </w:rPr>
        <w:instrText xml:space="preserve"> ADDIN EN.REFLIST </w:instrText>
      </w:r>
      <w:r w:rsidRPr="00050D03">
        <w:rPr>
          <w:color w:val="000000" w:themeColor="text1"/>
        </w:rPr>
        <w:fldChar w:fldCharType="separate"/>
      </w:r>
      <w:r w:rsidR="00050D03" w:rsidRPr="00050D03">
        <w:t>1.</w:t>
      </w:r>
      <w:r w:rsidR="00050D03" w:rsidRPr="00050D03">
        <w:tab/>
        <w:t xml:space="preserve">Ritchie ME, Phipson B, Wu D et al (2015) </w:t>
      </w:r>
      <w:r w:rsidR="00050D03" w:rsidRPr="00050D03">
        <w:rPr>
          <w:i/>
        </w:rPr>
        <w:t>limma</w:t>
      </w:r>
      <w:r w:rsidR="00050D03" w:rsidRPr="00050D03">
        <w:t xml:space="preserve"> powers differential expression analyses for RNA-sequencing and microarray studies. Nucleic Acids Res 43(7):e47. </w:t>
      </w:r>
      <w:hyperlink r:id="rId12" w:history="1">
        <w:r w:rsidR="00050D03" w:rsidRPr="00050D03">
          <w:rPr>
            <w:rStyle w:val="a7"/>
          </w:rPr>
          <w:t>https://doi.org/10.1093/nar/gkv007</w:t>
        </w:r>
      </w:hyperlink>
    </w:p>
    <w:p w14:paraId="25CF1C6A" w14:textId="7B676B47" w:rsidR="00050D03" w:rsidRPr="00050D03" w:rsidRDefault="00050D03" w:rsidP="00050D03">
      <w:pPr>
        <w:pStyle w:val="EndNoteBibliography"/>
        <w:ind w:left="720" w:hanging="720"/>
      </w:pPr>
      <w:r w:rsidRPr="00050D03">
        <w:t>2.</w:t>
      </w:r>
      <w:r w:rsidRPr="00050D03">
        <w:tab/>
        <w:t xml:space="preserve">Du P, Kibbe WA, Lin SM (2008) </w:t>
      </w:r>
      <w:r w:rsidRPr="00050D03">
        <w:rPr>
          <w:i/>
        </w:rPr>
        <w:t>lumi</w:t>
      </w:r>
      <w:r w:rsidRPr="00050D03">
        <w:t xml:space="preserve">: a pipeline for processing Illumina microarray. Bioinformatics 24(13):1547–1548. </w:t>
      </w:r>
      <w:hyperlink r:id="rId13" w:history="1">
        <w:r w:rsidRPr="00050D03">
          <w:rPr>
            <w:rStyle w:val="a7"/>
          </w:rPr>
          <w:t>https://doi.org/10.1093/bioinformatics/btn224</w:t>
        </w:r>
      </w:hyperlink>
    </w:p>
    <w:p w14:paraId="729905F4" w14:textId="55BF0599" w:rsidR="00050D03" w:rsidRPr="00050D03" w:rsidRDefault="00050D03" w:rsidP="00050D03">
      <w:pPr>
        <w:pStyle w:val="EndNoteBibliography"/>
        <w:ind w:left="720" w:hanging="720"/>
      </w:pPr>
      <w:r w:rsidRPr="00050D03">
        <w:t>3.</w:t>
      </w:r>
      <w:r w:rsidRPr="00050D03">
        <w:tab/>
        <w:t xml:space="preserve">Hothorn T, Hornik K, Van De Wiel MA et al (2008) Implementing a class of permutation tests: the coin package. J Stat Softw 28(8):1–23. </w:t>
      </w:r>
      <w:hyperlink r:id="rId14" w:history="1">
        <w:r w:rsidRPr="00050D03">
          <w:rPr>
            <w:rStyle w:val="a7"/>
          </w:rPr>
          <w:t>https://doi.org/10.18637/jss.v028.i08</w:t>
        </w:r>
      </w:hyperlink>
    </w:p>
    <w:p w14:paraId="08944955" w14:textId="36575524" w:rsidR="00050D03" w:rsidRPr="00050D03" w:rsidRDefault="00050D03" w:rsidP="00050D03">
      <w:pPr>
        <w:pStyle w:val="EndNoteBibliography"/>
        <w:ind w:left="720" w:hanging="720"/>
      </w:pPr>
      <w:r w:rsidRPr="00050D03">
        <w:t>4.</w:t>
      </w:r>
      <w:r w:rsidRPr="00050D03">
        <w:tab/>
        <w:t xml:space="preserve">Blanche P, Dartigues J-F, Jacqmin-Gadda H (2013) Estimating and comparing time-dependent areas under receiver operating characteristic curves for censored event times with competing risks. Stat Med 32(30):5381–5397. </w:t>
      </w:r>
      <w:hyperlink r:id="rId15" w:history="1">
        <w:r w:rsidRPr="00050D03">
          <w:rPr>
            <w:rStyle w:val="a7"/>
          </w:rPr>
          <w:t>https://doi.org/10.1002/sim.5958</w:t>
        </w:r>
      </w:hyperlink>
    </w:p>
    <w:p w14:paraId="690801AF" w14:textId="5CC2EC8C" w:rsidR="00050D03" w:rsidRPr="00050D03" w:rsidRDefault="00050D03" w:rsidP="00050D03">
      <w:pPr>
        <w:pStyle w:val="EndNoteBibliography"/>
        <w:ind w:left="720" w:hanging="720"/>
      </w:pPr>
      <w:r w:rsidRPr="00050D03">
        <w:t>5.</w:t>
      </w:r>
      <w:r w:rsidRPr="00050D03">
        <w:tab/>
        <w:t xml:space="preserve">Vickers AJ, Elkin EB (2006) Decision curve analysis: a novel method for evaluating prediction models. Med Decis Making 26(6):565–574. </w:t>
      </w:r>
      <w:hyperlink r:id="rId16" w:history="1">
        <w:r w:rsidRPr="00050D03">
          <w:rPr>
            <w:rStyle w:val="a7"/>
          </w:rPr>
          <w:t>https://doi.org/10.1177/0272989X0629536</w:t>
        </w:r>
      </w:hyperlink>
    </w:p>
    <w:p w14:paraId="3573A143" w14:textId="77777777" w:rsidR="00050D03" w:rsidRPr="00050D03" w:rsidRDefault="00050D03" w:rsidP="00050D03">
      <w:pPr>
        <w:pStyle w:val="EndNoteBibliography"/>
        <w:ind w:left="720" w:hanging="720"/>
      </w:pPr>
      <w:r w:rsidRPr="00050D03">
        <w:t>6.</w:t>
      </w:r>
      <w:r w:rsidRPr="00050D03">
        <w:tab/>
        <w:t>Peters A, Hothorn T, Lausen B (2002) ipred: Improved predictors. R News 2(2):33–36.</w:t>
      </w:r>
    </w:p>
    <w:p w14:paraId="4A67AFF7" w14:textId="77777777" w:rsidR="00050D03" w:rsidRPr="00050D03" w:rsidRDefault="00050D03" w:rsidP="00050D03">
      <w:pPr>
        <w:pStyle w:val="EndNoteBibliography"/>
        <w:ind w:left="720" w:hanging="720"/>
      </w:pPr>
      <w:r w:rsidRPr="00050D03">
        <w:t>7.</w:t>
      </w:r>
      <w:r w:rsidRPr="00050D03">
        <w:tab/>
        <w:t>Canty AJ (2002) Resampling methods in R: the boot package. Newsl R Proj 2(3):2–7.</w:t>
      </w:r>
    </w:p>
    <w:p w14:paraId="7C013AB3" w14:textId="5464BD6F" w:rsidR="00050D03" w:rsidRPr="00050D03" w:rsidRDefault="00050D03" w:rsidP="00050D03">
      <w:pPr>
        <w:pStyle w:val="EndNoteBibliography"/>
        <w:ind w:left="720" w:hanging="720"/>
      </w:pPr>
      <w:r w:rsidRPr="00050D03">
        <w:t>8.</w:t>
      </w:r>
      <w:r w:rsidRPr="00050D03">
        <w:tab/>
        <w:t xml:space="preserve">Lazic SE (2022) Medical risk prediction models: with ties to machine learning. J R Stat Soc Ser A Stat Soc 185(1):425. </w:t>
      </w:r>
      <w:hyperlink r:id="rId17" w:history="1">
        <w:r w:rsidRPr="00050D03">
          <w:rPr>
            <w:rStyle w:val="a7"/>
          </w:rPr>
          <w:t>https://doi.org/10.1111/rssa.12756</w:t>
        </w:r>
      </w:hyperlink>
    </w:p>
    <w:p w14:paraId="6E9C03AD" w14:textId="29CAA772" w:rsidR="00050D03" w:rsidRPr="00050D03" w:rsidRDefault="00050D03" w:rsidP="00050D03">
      <w:pPr>
        <w:pStyle w:val="EndNoteBibliography"/>
        <w:ind w:left="720" w:hanging="720"/>
      </w:pPr>
      <w:r w:rsidRPr="00050D03">
        <w:t>9.</w:t>
      </w:r>
      <w:r w:rsidRPr="00050D03">
        <w:tab/>
        <w:t xml:space="preserve">Mogensen UB, Ishwaran H, Gerds TA (2012) Evaluating random forests for survival analysis using prediction error curves. J Stat Softw 50(11):1–23. </w:t>
      </w:r>
      <w:hyperlink r:id="rId18" w:history="1">
        <w:r w:rsidRPr="00050D03">
          <w:rPr>
            <w:rStyle w:val="a7"/>
          </w:rPr>
          <w:t>https://doi.org/10.18637/jss.v050.i11</w:t>
        </w:r>
      </w:hyperlink>
    </w:p>
    <w:p w14:paraId="030DE35A" w14:textId="3EEA0BEE" w:rsidR="00050D03" w:rsidRPr="00050D03" w:rsidRDefault="00050D03" w:rsidP="00050D03">
      <w:pPr>
        <w:pStyle w:val="EndNoteBibliography"/>
        <w:ind w:left="720" w:hanging="720"/>
      </w:pPr>
      <w:r w:rsidRPr="00050D03">
        <w:t>10.</w:t>
      </w:r>
      <w:r w:rsidRPr="00050D03">
        <w:tab/>
        <w:t xml:space="preserve">Vickers AJ, Cronin AM, Elkin EB et al (2008) Extensions to decision curve analysis, a novel method for evaluating diagnostic tests, prediction models and molecular markers 8(1):53. </w:t>
      </w:r>
      <w:hyperlink r:id="rId19" w:history="1">
        <w:r w:rsidRPr="00050D03">
          <w:rPr>
            <w:rStyle w:val="a7"/>
          </w:rPr>
          <w:t>https://doi.org/10.1186/1472-6947-8-53</w:t>
        </w:r>
      </w:hyperlink>
    </w:p>
    <w:p w14:paraId="76B9F9D9" w14:textId="0016BAEE" w:rsidR="00D93BA2" w:rsidRPr="00050D03" w:rsidRDefault="00DB577B" w:rsidP="00D93BA2">
      <w:pPr>
        <w:pStyle w:val="Para"/>
        <w:ind w:firstLine="480"/>
        <w:rPr>
          <w:rFonts w:cs="Times New Roman"/>
          <w:color w:val="000000" w:themeColor="text1"/>
        </w:rPr>
      </w:pPr>
      <w:r w:rsidRPr="00050D03">
        <w:rPr>
          <w:rFonts w:cs="Times New Roman"/>
          <w:color w:val="000000" w:themeColor="text1"/>
        </w:rPr>
        <w:fldChar w:fldCharType="end"/>
      </w:r>
    </w:p>
    <w:sectPr w:rsidR="00D93BA2" w:rsidRPr="00050D03" w:rsidSect="00EC44C9">
      <w:pgSz w:w="11906" w:h="16838" w:code="9"/>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B7762" w14:textId="77777777" w:rsidR="00841814" w:rsidRDefault="00841814">
      <w:r>
        <w:separator/>
      </w:r>
    </w:p>
  </w:endnote>
  <w:endnote w:type="continuationSeparator" w:id="0">
    <w:p w14:paraId="3DA6B7A0" w14:textId="77777777" w:rsidR="00841814" w:rsidRDefault="00841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9195171"/>
      <w:docPartObj>
        <w:docPartGallery w:val="AutoText"/>
      </w:docPartObj>
    </w:sdtPr>
    <w:sdtEndPr/>
    <w:sdtContent>
      <w:p w14:paraId="2A133C9F" w14:textId="77777777" w:rsidR="00DF3104" w:rsidRDefault="00F63218">
        <w:pPr>
          <w:pStyle w:val="a3"/>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0DF93" w14:textId="77777777" w:rsidR="00841814" w:rsidRDefault="00841814">
      <w:r>
        <w:separator/>
      </w:r>
    </w:p>
  </w:footnote>
  <w:footnote w:type="continuationSeparator" w:id="0">
    <w:p w14:paraId="55EEAAF3" w14:textId="77777777" w:rsidR="00841814" w:rsidRDefault="008418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46527C"/>
    <w:multiLevelType w:val="hybridMultilevel"/>
    <w:tmpl w:val="327ABA02"/>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D82344D"/>
    <w:multiLevelType w:val="hybridMultilevel"/>
    <w:tmpl w:val="4EA469A8"/>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bordersDoNotSurroundHeader/>
  <w:bordersDoNotSurroundFooter/>
  <w:defaultTabStop w:val="420"/>
  <w:drawingGridHorizontalSpacing w:val="10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optosi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0wetda2xo0eavpe0pt9vxpv0pepfzeefaewp&quot;&gt;TCGA-GBM-BMGs&lt;record-ids&gt;&lt;item&gt;81&lt;/item&gt;&lt;item&gt;143&lt;/item&gt;&lt;item&gt;152&lt;/item&gt;&lt;item&gt;156&lt;/item&gt;&lt;/record-ids&gt;&lt;/item&gt;&lt;item db-id=&quot;rerpde5ruf2es6epsexpvat8draer99axvt0&quot;&gt;Guo_TARGET-OS&lt;record-ids&gt;&lt;item&gt;13&lt;/item&gt;&lt;item&gt;84&lt;/item&gt;&lt;item&gt;86&lt;/item&gt;&lt;item&gt;125&lt;/item&gt;&lt;item&gt;139&lt;/item&gt;&lt;item&gt;154&lt;/item&gt;&lt;/record-ids&gt;&lt;/item&gt;&lt;/Libraries&gt;"/>
  </w:docVars>
  <w:rsids>
    <w:rsidRoot w:val="0068502A"/>
    <w:rsid w:val="000025E9"/>
    <w:rsid w:val="00050D03"/>
    <w:rsid w:val="00060AD2"/>
    <w:rsid w:val="00103549"/>
    <w:rsid w:val="00112C1D"/>
    <w:rsid w:val="0012236A"/>
    <w:rsid w:val="001406BE"/>
    <w:rsid w:val="001A5494"/>
    <w:rsid w:val="001E312C"/>
    <w:rsid w:val="00222E4C"/>
    <w:rsid w:val="002B1D99"/>
    <w:rsid w:val="002F06F2"/>
    <w:rsid w:val="00322A7A"/>
    <w:rsid w:val="00366B7E"/>
    <w:rsid w:val="003723F0"/>
    <w:rsid w:val="003A0E2E"/>
    <w:rsid w:val="003A1692"/>
    <w:rsid w:val="003C7010"/>
    <w:rsid w:val="00406C6B"/>
    <w:rsid w:val="004159DB"/>
    <w:rsid w:val="004A000C"/>
    <w:rsid w:val="004D0380"/>
    <w:rsid w:val="004E50ED"/>
    <w:rsid w:val="004F7940"/>
    <w:rsid w:val="00541493"/>
    <w:rsid w:val="0057398E"/>
    <w:rsid w:val="005D2E46"/>
    <w:rsid w:val="005E64EE"/>
    <w:rsid w:val="00614AF2"/>
    <w:rsid w:val="0068502A"/>
    <w:rsid w:val="006B1340"/>
    <w:rsid w:val="007A5F5C"/>
    <w:rsid w:val="007F1B70"/>
    <w:rsid w:val="007F29B0"/>
    <w:rsid w:val="007F4B58"/>
    <w:rsid w:val="007F5FC0"/>
    <w:rsid w:val="00841814"/>
    <w:rsid w:val="00852BF8"/>
    <w:rsid w:val="008612A7"/>
    <w:rsid w:val="008A6C20"/>
    <w:rsid w:val="008C5FEC"/>
    <w:rsid w:val="008D4FA7"/>
    <w:rsid w:val="00940040"/>
    <w:rsid w:val="00983D5D"/>
    <w:rsid w:val="009A3F80"/>
    <w:rsid w:val="009D59BB"/>
    <w:rsid w:val="00A12BAF"/>
    <w:rsid w:val="00A2731F"/>
    <w:rsid w:val="00A70934"/>
    <w:rsid w:val="00A711B7"/>
    <w:rsid w:val="00A935E1"/>
    <w:rsid w:val="00AD6315"/>
    <w:rsid w:val="00AF3AE5"/>
    <w:rsid w:val="00B01DFA"/>
    <w:rsid w:val="00B23012"/>
    <w:rsid w:val="00B32B58"/>
    <w:rsid w:val="00B80B2F"/>
    <w:rsid w:val="00B86866"/>
    <w:rsid w:val="00BC5442"/>
    <w:rsid w:val="00BD6A3E"/>
    <w:rsid w:val="00C11774"/>
    <w:rsid w:val="00C37B0A"/>
    <w:rsid w:val="00C45122"/>
    <w:rsid w:val="00C61CF0"/>
    <w:rsid w:val="00C86804"/>
    <w:rsid w:val="00C92FDF"/>
    <w:rsid w:val="00CD4D73"/>
    <w:rsid w:val="00CF329A"/>
    <w:rsid w:val="00D365F9"/>
    <w:rsid w:val="00D616BA"/>
    <w:rsid w:val="00D723BB"/>
    <w:rsid w:val="00D750BF"/>
    <w:rsid w:val="00D93BA2"/>
    <w:rsid w:val="00DA3029"/>
    <w:rsid w:val="00DB577B"/>
    <w:rsid w:val="00DC47D1"/>
    <w:rsid w:val="00DD45B9"/>
    <w:rsid w:val="00DE4570"/>
    <w:rsid w:val="00DF3104"/>
    <w:rsid w:val="00E54964"/>
    <w:rsid w:val="00EC09E0"/>
    <w:rsid w:val="00EC120A"/>
    <w:rsid w:val="00EC44C9"/>
    <w:rsid w:val="00EE5FAC"/>
    <w:rsid w:val="00F0663A"/>
    <w:rsid w:val="00F53FD2"/>
    <w:rsid w:val="00F63218"/>
    <w:rsid w:val="00F868F8"/>
    <w:rsid w:val="00F9198A"/>
    <w:rsid w:val="00FA6A7A"/>
    <w:rsid w:val="00FB3077"/>
    <w:rsid w:val="00FB63E4"/>
    <w:rsid w:val="1CE16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CEE9F3"/>
  <w15:docId w15:val="{16CF21B8-1B3D-4385-BD8C-607F4A195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65F9"/>
    <w:pPr>
      <w:widowControl w:val="0"/>
      <w:jc w:val="both"/>
    </w:pPr>
    <w:rPr>
      <w:rFonts w:ascii="Times New Roman" w:eastAsia="宋体" w:hAnsi="Times New Roman"/>
      <w:kern w:val="2"/>
      <w:sz w:val="24"/>
      <w:szCs w:val="22"/>
    </w:rPr>
  </w:style>
  <w:style w:type="paragraph" w:styleId="1">
    <w:name w:val="heading 1"/>
    <w:basedOn w:val="a"/>
    <w:next w:val="a"/>
    <w:link w:val="10"/>
    <w:uiPriority w:val="9"/>
    <w:qFormat/>
    <w:rsid w:val="00366B7E"/>
    <w:pPr>
      <w:keepNext/>
      <w:keepLines/>
      <w:spacing w:beforeLines="100" w:before="100" w:afterLines="100" w:after="100" w:line="360" w:lineRule="auto"/>
      <w:outlineLvl w:val="0"/>
    </w:pPr>
    <w:rPr>
      <w:b/>
      <w:bCs/>
      <w:kern w:val="44"/>
      <w:szCs w:val="44"/>
    </w:rPr>
  </w:style>
  <w:style w:type="paragraph" w:styleId="2">
    <w:name w:val="heading 2"/>
    <w:basedOn w:val="a"/>
    <w:next w:val="a"/>
    <w:link w:val="20"/>
    <w:uiPriority w:val="9"/>
    <w:unhideWhenUsed/>
    <w:qFormat/>
    <w:rsid w:val="00D93BA2"/>
    <w:pPr>
      <w:keepNext/>
      <w:keepLines/>
      <w:spacing w:line="480" w:lineRule="auto"/>
      <w:outlineLvl w:val="1"/>
    </w:pPr>
    <w:rPr>
      <w:rFonts w:cstheme="majorBidi"/>
      <w:b/>
      <w:bCs/>
      <w:szCs w:val="32"/>
    </w:rPr>
  </w:style>
  <w:style w:type="paragraph" w:styleId="3">
    <w:name w:val="heading 3"/>
    <w:basedOn w:val="a"/>
    <w:next w:val="a"/>
    <w:link w:val="30"/>
    <w:uiPriority w:val="9"/>
    <w:unhideWhenUsed/>
    <w:qFormat/>
    <w:rsid w:val="00D93BA2"/>
    <w:pPr>
      <w:keepNext/>
      <w:keepLines/>
      <w:spacing w:line="480"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rFonts w:ascii="Arial" w:eastAsia="宋体" w:hAnsi="Arial"/>
      <w:sz w:val="18"/>
      <w:szCs w:val="18"/>
    </w:rPr>
  </w:style>
  <w:style w:type="character" w:customStyle="1" w:styleId="a4">
    <w:name w:val="页脚 字符"/>
    <w:basedOn w:val="a0"/>
    <w:link w:val="a3"/>
    <w:uiPriority w:val="99"/>
    <w:rPr>
      <w:rFonts w:ascii="Arial" w:eastAsia="宋体" w:hAnsi="Arial"/>
      <w:sz w:val="18"/>
      <w:szCs w:val="18"/>
    </w:rPr>
  </w:style>
  <w:style w:type="paragraph" w:customStyle="1" w:styleId="EndNoteBibliographyTitle">
    <w:name w:val="EndNote Bibliography Title"/>
    <w:basedOn w:val="a"/>
    <w:link w:val="EndNoteBibliographyTitle0"/>
    <w:rsid w:val="0012236A"/>
    <w:pPr>
      <w:jc w:val="center"/>
    </w:pPr>
    <w:rPr>
      <w:rFonts w:cs="Times New Roman"/>
      <w:noProof/>
    </w:rPr>
  </w:style>
  <w:style w:type="character" w:customStyle="1" w:styleId="EndNoteBibliographyTitle0">
    <w:name w:val="EndNote Bibliography Title 字符"/>
    <w:basedOn w:val="a0"/>
    <w:link w:val="EndNoteBibliographyTitle"/>
    <w:rsid w:val="0012236A"/>
    <w:rPr>
      <w:rFonts w:ascii="Times New Roman" w:eastAsia="宋体" w:hAnsi="Times New Roman" w:cs="Times New Roman"/>
      <w:noProof/>
      <w:kern w:val="2"/>
      <w:sz w:val="24"/>
      <w:szCs w:val="22"/>
    </w:rPr>
  </w:style>
  <w:style w:type="paragraph" w:customStyle="1" w:styleId="EndNoteBibliography">
    <w:name w:val="EndNote Bibliography"/>
    <w:basedOn w:val="a"/>
    <w:link w:val="EndNoteBibliography0"/>
    <w:rsid w:val="0012236A"/>
    <w:pPr>
      <w:spacing w:line="360" w:lineRule="auto"/>
    </w:pPr>
    <w:rPr>
      <w:rFonts w:cs="Times New Roman"/>
      <w:noProof/>
    </w:rPr>
  </w:style>
  <w:style w:type="character" w:customStyle="1" w:styleId="EndNoteBibliography0">
    <w:name w:val="EndNote Bibliography 字符"/>
    <w:basedOn w:val="a0"/>
    <w:link w:val="EndNoteBibliography"/>
    <w:rsid w:val="0012236A"/>
    <w:rPr>
      <w:rFonts w:ascii="Times New Roman" w:eastAsia="宋体" w:hAnsi="Times New Roman" w:cs="Times New Roman"/>
      <w:noProof/>
      <w:kern w:val="2"/>
      <w:sz w:val="24"/>
      <w:szCs w:val="22"/>
    </w:rPr>
  </w:style>
  <w:style w:type="character" w:customStyle="1" w:styleId="20">
    <w:name w:val="标题 2 字符"/>
    <w:basedOn w:val="a0"/>
    <w:link w:val="2"/>
    <w:uiPriority w:val="9"/>
    <w:qFormat/>
    <w:rsid w:val="00D93BA2"/>
    <w:rPr>
      <w:rFonts w:ascii="Times New Roman" w:eastAsia="宋体" w:hAnsi="Times New Roman" w:cstheme="majorBidi"/>
      <w:b/>
      <w:bCs/>
      <w:kern w:val="2"/>
      <w:sz w:val="24"/>
      <w:szCs w:val="32"/>
    </w:rPr>
  </w:style>
  <w:style w:type="character" w:customStyle="1" w:styleId="30">
    <w:name w:val="标题 3 字符"/>
    <w:basedOn w:val="a0"/>
    <w:link w:val="3"/>
    <w:uiPriority w:val="9"/>
    <w:rsid w:val="00D93BA2"/>
    <w:rPr>
      <w:rFonts w:ascii="Times New Roman" w:eastAsia="宋体" w:hAnsi="Times New Roman"/>
      <w:b/>
      <w:bCs/>
      <w:kern w:val="2"/>
      <w:sz w:val="24"/>
      <w:szCs w:val="32"/>
    </w:rPr>
  </w:style>
  <w:style w:type="character" w:styleId="a7">
    <w:name w:val="Hyperlink"/>
    <w:basedOn w:val="a0"/>
    <w:uiPriority w:val="99"/>
    <w:unhideWhenUsed/>
    <w:qFormat/>
    <w:rsid w:val="00D93BA2"/>
    <w:rPr>
      <w:color w:val="0000FF"/>
      <w:u w:val="single"/>
    </w:rPr>
  </w:style>
  <w:style w:type="paragraph" w:customStyle="1" w:styleId="Para">
    <w:name w:val="Para"/>
    <w:basedOn w:val="a"/>
    <w:qFormat/>
    <w:rsid w:val="00D93BA2"/>
    <w:pPr>
      <w:spacing w:line="480" w:lineRule="auto"/>
      <w:ind w:firstLineChars="200" w:firstLine="200"/>
    </w:pPr>
    <w:rPr>
      <w:color w:val="000000"/>
      <w:szCs w:val="20"/>
    </w:rPr>
  </w:style>
  <w:style w:type="paragraph" w:customStyle="1" w:styleId="1234">
    <w:name w:val="正文1234"/>
    <w:basedOn w:val="a"/>
    <w:qFormat/>
    <w:rsid w:val="00D93BA2"/>
    <w:pPr>
      <w:spacing w:line="480" w:lineRule="auto"/>
      <w:ind w:firstLine="720"/>
    </w:pPr>
  </w:style>
  <w:style w:type="paragraph" w:customStyle="1" w:styleId="Maintext">
    <w:name w:val="Maintext"/>
    <w:basedOn w:val="a"/>
    <w:link w:val="Maintext0"/>
    <w:qFormat/>
    <w:rsid w:val="00D93BA2"/>
    <w:pPr>
      <w:spacing w:afterLines="100" w:after="100" w:line="480" w:lineRule="auto"/>
      <w:ind w:firstLine="720"/>
    </w:pPr>
  </w:style>
  <w:style w:type="character" w:customStyle="1" w:styleId="Maintext0">
    <w:name w:val="Maintext 字符"/>
    <w:basedOn w:val="a0"/>
    <w:link w:val="Maintext"/>
    <w:rsid w:val="00D93BA2"/>
    <w:rPr>
      <w:rFonts w:ascii="Times New Roman" w:eastAsia="宋体" w:hAnsi="Times New Roman"/>
      <w:kern w:val="2"/>
      <w:sz w:val="24"/>
      <w:szCs w:val="22"/>
    </w:rPr>
  </w:style>
  <w:style w:type="paragraph" w:styleId="a8">
    <w:name w:val="List Paragraph"/>
    <w:basedOn w:val="a"/>
    <w:uiPriority w:val="99"/>
    <w:unhideWhenUsed/>
    <w:rsid w:val="00D93BA2"/>
    <w:pPr>
      <w:spacing w:line="480" w:lineRule="auto"/>
      <w:ind w:firstLineChars="200" w:firstLine="420"/>
    </w:pPr>
    <w:rPr>
      <w:szCs w:val="21"/>
    </w:rPr>
  </w:style>
  <w:style w:type="character" w:styleId="a9">
    <w:name w:val="Unresolved Mention"/>
    <w:basedOn w:val="a0"/>
    <w:uiPriority w:val="99"/>
    <w:semiHidden/>
    <w:unhideWhenUsed/>
    <w:rsid w:val="00DB577B"/>
    <w:rPr>
      <w:color w:val="605E5C"/>
      <w:shd w:val="clear" w:color="auto" w:fill="E1DFDD"/>
    </w:rPr>
  </w:style>
  <w:style w:type="paragraph" w:styleId="aa">
    <w:name w:val="annotation text"/>
    <w:basedOn w:val="a"/>
    <w:link w:val="ab"/>
    <w:uiPriority w:val="99"/>
    <w:qFormat/>
    <w:rsid w:val="00940040"/>
    <w:pPr>
      <w:jc w:val="left"/>
    </w:pPr>
    <w:rPr>
      <w:rFonts w:cs="Times New Roman"/>
      <w:sz w:val="21"/>
      <w:szCs w:val="24"/>
    </w:rPr>
  </w:style>
  <w:style w:type="character" w:customStyle="1" w:styleId="ab">
    <w:name w:val="批注文字 字符"/>
    <w:basedOn w:val="a0"/>
    <w:link w:val="aa"/>
    <w:uiPriority w:val="99"/>
    <w:qFormat/>
    <w:rsid w:val="00940040"/>
    <w:rPr>
      <w:rFonts w:ascii="Times New Roman" w:eastAsia="宋体" w:hAnsi="Times New Roman" w:cs="Times New Roman"/>
      <w:kern w:val="2"/>
      <w:sz w:val="21"/>
      <w:szCs w:val="24"/>
    </w:rPr>
  </w:style>
  <w:style w:type="character" w:styleId="ac">
    <w:name w:val="annotation reference"/>
    <w:basedOn w:val="a0"/>
    <w:uiPriority w:val="99"/>
    <w:unhideWhenUsed/>
    <w:qFormat/>
    <w:rsid w:val="00940040"/>
    <w:rPr>
      <w:sz w:val="21"/>
      <w:szCs w:val="21"/>
    </w:rPr>
  </w:style>
  <w:style w:type="paragraph" w:customStyle="1" w:styleId="paragraph">
    <w:name w:val="paragraph"/>
    <w:basedOn w:val="a"/>
    <w:qFormat/>
    <w:rsid w:val="00940040"/>
    <w:pPr>
      <w:spacing w:line="480" w:lineRule="auto"/>
      <w:ind w:firstLine="720"/>
    </w:pPr>
  </w:style>
  <w:style w:type="character" w:customStyle="1" w:styleId="10">
    <w:name w:val="标题 1 字符"/>
    <w:basedOn w:val="a0"/>
    <w:link w:val="1"/>
    <w:uiPriority w:val="9"/>
    <w:rsid w:val="00366B7E"/>
    <w:rPr>
      <w:rFonts w:ascii="Times New Roman" w:eastAsia="宋体" w:hAnsi="Times New Roman"/>
      <w:b/>
      <w:bCs/>
      <w:kern w:val="44"/>
      <w:sz w:val="2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gdc.cancer.gov/" TargetMode="External"/><Relationship Id="rId13" Type="http://schemas.openxmlformats.org/officeDocument/2006/relationships/hyperlink" Target="https://doi.org/10.1093/bioinformatics/btn224" TargetMode="External"/><Relationship Id="rId18" Type="http://schemas.openxmlformats.org/officeDocument/2006/relationships/hyperlink" Target="https://doi.org/10.18637/jss.v050.i1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93/nar/gkv007" TargetMode="External"/><Relationship Id="rId17" Type="http://schemas.openxmlformats.org/officeDocument/2006/relationships/hyperlink" Target="https://doi.org/10.1111/rssa.12756" TargetMode="External"/><Relationship Id="rId2" Type="http://schemas.openxmlformats.org/officeDocument/2006/relationships/numbering" Target="numbering.xml"/><Relationship Id="rId16" Type="http://schemas.openxmlformats.org/officeDocument/2006/relationships/hyperlink" Target="https://doi.org/10.1177/0272989X062953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002/sim.5958" TargetMode="External"/><Relationship Id="rId10" Type="http://schemas.openxmlformats.org/officeDocument/2006/relationships/hyperlink" Target="https://www.ncbi.nlm.nih.gov/geo/" TargetMode="External"/><Relationship Id="rId19" Type="http://schemas.openxmlformats.org/officeDocument/2006/relationships/hyperlink" Target="https://doi.org/10.1186/1472-6947-8-53" TargetMode="External"/><Relationship Id="rId4" Type="http://schemas.openxmlformats.org/officeDocument/2006/relationships/settings" Target="settings.xml"/><Relationship Id="rId9" Type="http://schemas.openxmlformats.org/officeDocument/2006/relationships/hyperlink" Target="https://www.cbioportal.org/" TargetMode="External"/><Relationship Id="rId14" Type="http://schemas.openxmlformats.org/officeDocument/2006/relationships/hyperlink" Target="https://doi.org/10.18637/jss.v028.i08"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57AB4-1A98-4DFB-9BFF-1705A0D78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TotalTime>
  <Pages>6</Pages>
  <Words>3100</Words>
  <Characters>17675</Characters>
  <Application>Microsoft Office Word</Application>
  <DocSecurity>0</DocSecurity>
  <Lines>147</Lines>
  <Paragraphs>41</Paragraphs>
  <ScaleCrop>false</ScaleCrop>
  <Company>Home</Company>
  <LinksUpToDate>false</LinksUpToDate>
  <CharactersWithSpaces>20734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ruixin_chen</dc:creator>
  <cp:lastModifiedBy>ruixin_chen</cp:lastModifiedBy>
  <cp:revision>51</cp:revision>
  <dcterms:created xsi:type="dcterms:W3CDTF">2023-11-29T15:06:00Z</dcterms:created>
  <dcterms:modified xsi:type="dcterms:W3CDTF">2024-04-14T11:01:00Z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3fc33fb1724f8e65b8e7a6a8baf4eac0b317db25de4a6521d3efd7d26e75ec26</vt:lpwstr>
  </property>
  <property fmtid="{D5CDD505-2E9C-101B-9397-08002B2CF9AE}" pid="3" name="KSOProductBuildVer">
    <vt:lpwstr>2052-12.1.0.15990</vt:lpwstr>
  </property>
  <property fmtid="{D5CDD505-2E9C-101B-9397-08002B2CF9AE}" pid="4" name="ICV">
    <vt:lpwstr>8FE65633C0FF4D74ABA4D9E859E76A32_12</vt:lpwstr>
  </property>
</Properties>
</file>