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43DC4" w14:textId="77777777" w:rsidR="004263E6" w:rsidRPr="00AC3A86" w:rsidRDefault="004263E6" w:rsidP="004263E6">
      <w:pPr>
        <w:pStyle w:val="SOMHead"/>
        <w:spacing w:line="480" w:lineRule="auto"/>
      </w:pPr>
      <w:r w:rsidRPr="00AC3A86">
        <w:t>Extended Data Figures</w:t>
      </w:r>
    </w:p>
    <w:p w14:paraId="19D26B69" w14:textId="77777777" w:rsidR="004263E6" w:rsidRPr="00AC3A86" w:rsidRDefault="004263E6" w:rsidP="004263E6">
      <w:pPr>
        <w:spacing w:line="480" w:lineRule="auto"/>
        <w:rPr>
          <w:lang w:val="en-US"/>
        </w:rPr>
      </w:pPr>
      <w:r w:rsidRPr="00AC3A86">
        <w:rPr>
          <w:noProof/>
          <w:lang w:val="en-US"/>
        </w:rPr>
        <w:t xml:space="preserve"> </w:t>
      </w:r>
      <w:r w:rsidRPr="00AC3A86">
        <w:rPr>
          <w:noProof/>
          <w:lang w:val="es-AR" w:eastAsia="es-AR"/>
        </w:rPr>
        <w:drawing>
          <wp:inline distT="0" distB="0" distL="0" distR="0" wp14:anchorId="7C5A83FB" wp14:editId="37862148">
            <wp:extent cx="5661328" cy="2127155"/>
            <wp:effectExtent l="0" t="0" r="0" b="698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l="14881" r="13801"/>
                    <a:stretch/>
                  </pic:blipFill>
                  <pic:spPr bwMode="auto">
                    <a:xfrm>
                      <a:off x="0" y="0"/>
                      <a:ext cx="5677817" cy="2133351"/>
                    </a:xfrm>
                    <a:prstGeom prst="rect">
                      <a:avLst/>
                    </a:prstGeom>
                    <a:noFill/>
                    <a:ln>
                      <a:noFill/>
                    </a:ln>
                    <a:extLst>
                      <a:ext uri="{53640926-AAD7-44D8-BBD7-CCE9431645EC}">
                        <a14:shadowObscured xmlns:a14="http://schemas.microsoft.com/office/drawing/2010/main"/>
                      </a:ext>
                    </a:extLst>
                  </pic:spPr>
                </pic:pic>
              </a:graphicData>
            </a:graphic>
          </wp:inline>
        </w:drawing>
      </w:r>
    </w:p>
    <w:p w14:paraId="386F6181" w14:textId="77777777" w:rsidR="004263E6" w:rsidRPr="00AC3A86" w:rsidRDefault="004263E6" w:rsidP="004263E6">
      <w:pPr>
        <w:spacing w:line="240" w:lineRule="auto"/>
        <w:rPr>
          <w:i/>
          <w:lang w:val="en-US"/>
        </w:rPr>
      </w:pPr>
      <w:r w:rsidRPr="00AC3A86">
        <w:rPr>
          <w:b/>
          <w:i/>
          <w:lang w:val="en-US"/>
        </w:rPr>
        <w:t xml:space="preserve">Extended data Figure 1. </w:t>
      </w:r>
      <w:r w:rsidRPr="00AC3A86">
        <w:rPr>
          <w:b/>
          <w:bCs/>
          <w:i/>
          <w:lang w:val="en-US"/>
        </w:rPr>
        <w:t>Evaluation of crop simulation models used in the present study.</w:t>
      </w:r>
      <w:r w:rsidRPr="00AC3A86">
        <w:rPr>
          <w:i/>
          <w:lang w:val="en-US"/>
        </w:rPr>
        <w:t xml:space="preserve"> Simulated yield potential plotted against measured yields in well-managed experiments conducted across a wide range of environments. Details are provided elsewhere </w:t>
      </w:r>
      <w:r w:rsidRPr="00AC3A86">
        <w:rPr>
          <w:i/>
          <w:lang w:val="en-US"/>
        </w:rPr>
        <w:fldChar w:fldCharType="begin" w:fldLock="1"/>
      </w:r>
      <w:r>
        <w:rPr>
          <w:i/>
          <w:lang w:val="en-US"/>
        </w:rPr>
        <w:instrText xml:space="preserve">ADDIN CSL_CITATION {"citationItems":[{"id":"ITEM-1","itemData":{"DOI":"10.1002/csc2.20039","ISSN":"14350653","abstract":"We used the Agricultural Production Systems sIMulator (APSIM) to predict and explain maize and soybean yields, phenology, and soil water and nitrogen (N) dynamics during the growing season in Iowa, USA. Historical, current and forecasted weather data were used to drive simulations, which were released in public four weeks after planting. In this paper, we (1) describe the methodology used to perform forecasts; (2) evaluate model prediction accuracy against data collected from 10 locations over four years; and (3) identify inputs that are key in forecasting yields and soil N dynamics. We found that the predicted median yield at planting was a very good indicator of end-of-season yields (relative root mean square error [RRMSE] of </w:instrText>
      </w:r>
      <w:r>
        <w:rPr>
          <w:rFonts w:ascii="Cambria Math" w:hAnsi="Cambria Math" w:cs="Cambria Math"/>
          <w:i/>
          <w:lang w:val="en-US"/>
        </w:rPr>
        <w:instrText>∼</w:instrText>
      </w:r>
      <w:r>
        <w:rPr>
          <w:i/>
          <w:lang w:val="en-US"/>
        </w:rPr>
        <w:instrText>20%). For reference, the prediction at maturity, when all the weather was known, had a RRMSE of 14%. The good prediction at planting time was explained by the existence of shallow water tables, which decreased model sensitivity to unknown summer precipitation by 50–64%. Model initial conditions and management information accounted for one-fourth of the variation in maize yield. End of season model evaluations indicated that the model simulated well crop phenology (R2= 0.88), root depth (R2= 0.83), biomass production (R2= 0.93), grain yield (R2= 0.90), plant N uptake (R2= 0.87), soil moisture (R2= 0.42), soil temperature (R2= 0.93), soil nitrate (R2= 0.77), and water table depth (R2= 0.41). We concluded that model set-up by the user (e.g. inclusion of water table), initial conditions, and early season measurements are very important for accurate predictions of soil water, N and crop yields in this environment.","author":[{"dropping-particle":"V.","family":"Archontoulis","given":"Sotirios","non-dropping-particle":"","parse-names":false,"suffix":""},{"dropping-particle":"","family":"Castellano","given":"Michael J.","non-dropping-particle":"","parse-names":false,"suffix":""},{"dropping-particle":"","family":"Licht","given":"Mark A.","non-dropping-particle":"","parse-names":false,"suffix":""},{"dropping-particle":"","family":"Nichols","given":"Virginia","non-dropping-particle":"","parse-names":false,"suffix":""},{"dropping-particle":"","family":"Baum","given":"Mitch","non-dropping-particle":"","parse-names":false,"suffix":""},{"dropping-particle":"","family":"Huber","given":"Isaiah","non-dropping-particle":"","parse-names":false,"suffix":""},{"dropping-particle":"","family":"Martinez-Feria","given":"Rafael","non-dropping-particle":"","parse-names":false,"suffix":""},{"dropping-particle":"","family":"Puntel","given":"Laila","non-dropping-particle":"","parse-names":false,"suffix":""},{"dropping-particle":"","family":"Ordóñez","given":"Raziel A.","non-dropping-particle":"","parse-names":false,"suffix":""},{"dropping-particle":"","family":"Iqbal","given":"Javed","non-dropping-particle":"","parse-names":false,"suffix":""},{"dropping-particle":"","family":"Wright","given":"Emily E.","non-dropping-particle":"","parse-names":false,"suffix":""},{"dropping-particle":"","family":"Dietzel","given":"Ranae N.","non-dropping-particle":"","parse-names":false,"suffix":""},{"dropping-particle":"","family":"Helmers","given":"Matt","non-dropping-particle":"","parse-names":false,"suffix":""},{"dropping-particle":"","family":"Vanloocke","given":"Andy","non-dropping-particle":"","parse-names":false,"suffix":""},{"dropping-particle":"","family":"Liebman","given":"Matt","non-dropping-particle":"","parse-names":false,"suffix":""},{"dropping-particle":"","family":"Hatfield","given":"Jerry L.","non-dropping-particle":"","parse-names":false,"suffix":""},{"dropping-particle":"","family":"Herzmann","given":"Daryl","non-dropping-particle":"","parse-names":false,"suffix":""},{"dropping-particle":"","family":"Córdova","given":"S. Carolina","non-dropping-particle":"","parse-names":false,"suffix":""},{"dropping-particle":"","family":"Edmonds","given":"Patrick","non-dropping-particle":"","parse-names":false,"suffix":""},{"dropping-particle":"","family":"Togliatti","given":"Kaitlin","non-dropping-particle":"","parse-names":false,"suffix":""},{"dropping-particle":"","family":"Kessler","given":"Ashlyn","non-dropping-particle":"","parse-names":false,"suffix":""},{"dropping-particle":"","family":"Danalatos","given":"Gerasimos","non-dropping-particle":"","parse-names":false,"suffix":""},{"dropping-particle":"","family":"Pasley","given":"Heather","non-dropping-particle":"","parse-names":false,"suffix":""},{"dropping-particle":"","family":"Pederson","given":"Carl","non-dropping-particle":"","parse-names":false,"suffix":""},{"dropping-particle":"","family":"Lamkey","given":"Kendall R.","non-dropping-particle":"","parse-names":false,"suffix":""}],"container-title":"Crop Science","id":"ITEM-1","issue":"2","issued":{"date-parts":[["2020"]]},"page":"721-738","title":"Predicting crop yields and soil-plant nitrogen dynamics in the US Corn Belt","type":"article-journal","volume":"60"},"uris":["http://www.mendeley.com/documents/?uuid=9a32a023-06fd-4dc0-90da-795b9f5d4cc7"]},{"id":"ITEM-2","itemData":{"DOI":"10.3389/fpls.2022.849896","ISSN":"1664462X","abstract":"Limited knowledge about how nitrogen (N) dynamics are affected by climate change, weather variability, and crop management is a major barrier to improving the productivity and environmental performance of soybean-based cropping systems. To fill this knowledge gap, we created a systems understanding of agroecosystem N dynamics and quantified the impact of controllable (management) and uncontrollable (weather, climate) factors on N fluxes and soybean yields. We performed a simulation experiment across 10 soybean production environments in the United States using the Agricultural Production Systems sIMulator (APSIM) model and future climate projections from five global circulation models. Climate change (2020–2080) increased N mineralization (24%) and N2O emissions (19%) but decreased N fixation (32%), seed N (20%), and yields (19%). Soil and crop management practices altered N fluxes at a similar magnitude as climate change but in many different directions, revealing opportunities to improve soybean systems’ performance. Among many practices explored, we identified two solutions with great potential: improved residue management (short-term) and water management (long-term). Inter-annual weather variability and management practices affected soybean yield less than N fluxes, which creates opportunities to manage N fluxes without compromising yields, especially in regions with adequate to excess soil moisture. This work provides actionable results (tradeoffs, synergies, directions) to inform decision-making for adapting crop management in a changing climate to improve soybean production systems.","author":[{"dropping-particle":"","family":"Elli","given":"Elvis F.","non-dropping-particle":"","parse-names":false,"suffix":""},{"dropping-particle":"","family":"Ciampitti","given":"Ignacio A.","non-dropping-particle":"","parse-names":false,"suffix":""},{"dropping-particle":"","family":"Castellano","given":"Michael J.","non-dropping-particle":"","parse-names":false,"suffix":""},{"dropping-particle":"","family":"Purcell","given":"Larry C.","non-dropping-particle":"","parse-names":false,"suffix":""},{"dropping-particle":"","family":"Naeve","given":"Seth","non-dropping-particle":"","parse-names":false,"suffix":""},{"dropping-particle":"","family":"Grassini","given":"Patricio","non-dropping-particle":"","parse-names":false,"suffix":""},{"dropping-particle":"","family":"Menza","given":"Nicolas C.","non-dropping-particle":"La","parse-names":false,"suffix":""},{"dropping-particle":"","family":"Moro Rosso","given":"Luiz","non-dropping-particle":"","parse-names":false,"suffix":""},{"dropping-particle":"","family":"Borja Reis","given":"André F.","non-dropping-particle":"de","parse-names":false,"suffix":""},{"dropping-particle":"","family":"Kovács","given":"Péter","non-dropping-particle":"","parse-names":false,"suffix":""},{"dropping-particle":"V.","family":"Archontoulis","given":"Sotirios","non-dropping-particle":"","parse-names":false,"suffix":""}],"container-title":"Frontiers in Plant Science","id":"ITEM-2","issue":"April","issued":{"date-parts":[["2022"]]},"page":"1-15","title":"Climate Change and Management Impacts on Soybean N Fixation, Soil N Mineralization, N2O Emissions, and Seed Yield","type":"article-journal","volume":"13"},"uris":["http://www.mendeley.com/documents/?uuid=d2b6992c-ab2e-4c2b-9311-45d9618f7135"]},{"id":"ITEM-3","itemData":{"DOI":"10.1016/j.fcr.2016.12.014","ISSN":"0378-4290","author":[{"dropping-particle":"","family":"Lollato","given":"Romulo P","non-dropping-particle":"","parse-names":false,"suffix":""},{"dropping-particle":"","family":"Edwards","given":"Jeffrey T","non-dropping-particle":"","parse-names":false,"suffix":""},{"dropping-particle":"","family":"Ochsner","given":"Tyson E","non-dropping-particle":"","parse-names":false,"suffix":""}],"container-title":"Field Crops Research","id":"ITEM-3","issued":{"date-parts":[["2017"]]},"page":"212-226","publisher":"Elsevier B.V.","title":"Meteorological limits to winter wheat productivity in the U . S . southern Great Plains","type":"article-journal","volume":"203"},"uris":["http://www.mendeley.com/documents/?uuid=c1ad20a2-d0e7-4c22-97e0-9050f57f807f"]},{"id":"ITEM-4","itemData":{"DOI":"10.1016/j.fcr.2017.01.019","ISSN":"03784290","abstract":"This paper reports revisions in formulation and new features of the Hybrid-Maize model (released as HM2016), to better simulate yields in harsh rainfed environments. Revisions include updated subroutines for root growth and distribution within the soil profile, greater sensitivity of canopy expansion and senescence to water deficits, an expanded kernel setting period, and soil evaporation as influenced by surface cover with crop residues. The updated model also includes routines for simulating surface runoff and estimating soil water content at sowing based on simulation of soil water balance during the preceding fallow period. Revisions of model functions were based on recent advances in understanding and quantification of maize response to environmental factors and management practices, as well as characteristics of new maize hybrids. More robust simulation of maize yield was obtained with the updated model under rainfed conditions, especially in years and locations with severe drought or on soils with limited water holding capacity. Capability to quantify soil water content at sowing and to perform batch simulations makes HM2016 more useful for pre-season yield projections in years with below-normal soil water recharge and for in-season yield forecasting across a wide range of environments. Revisions to routines governing root distribution and kernel setting make HM2016 a more powerful tool for evaluating hybrid-specific traits and crop management practices for ability to mitigate yield loss from water deficits and for identifying management options for individual production fields.","author":[{"dropping-particle":"","family":"Yang","given":"Haishun","non-dropping-particle":"","parse-names":false,"suffix":""},{"dropping-particle":"","family":"Grassini","given":"Patricio","non-dropping-particle":"","parse-names":false,"suffix":""},{"dropping-particle":"","family":"Cassman","given":"Kenneth G","non-dropping-particle":"","parse-names":false,"suffix":""},{"dropping-particle":"","family":"Aiken","given":"Robert M","non-dropping-particle":"","parse-names":false,"suffix":""},{"dropping-particle":"","family":"Coyne","given":"Patrick I","non-dropping-particle":"","parse-names":false,"suffix":""}],"container-title":"Field Crops Research","id":"ITEM-4","issued":{"date-parts":[["2017"]]},"page":"180-190","publisher":"Elsevier B.V.","title":"Improvements to the Hybrid-Maize model for simulating maize yields in harsh rainfed environments","type":"article-journal","volume":"204"},"uris":["http://www.mendeley.com/documents/?uuid=baef31e0-2723-46cd-9c45-e768027ba7c4"]}],"mendeley":{"formattedCitation":"&lt;sup&gt;33,54,59,60&lt;/sup&gt;","plainTextFormattedCitation":"33,54,59,60","previouslyFormattedCitation":"&lt;sup&gt;33,54,59,60&lt;/sup&gt;"},"properties":{"noteIndex":0},"schema":"https://github.com/citation-style-language/schema/raw/master/csl-citation.json"}</w:instrText>
      </w:r>
      <w:r w:rsidRPr="00AC3A86">
        <w:rPr>
          <w:i/>
          <w:lang w:val="en-US"/>
        </w:rPr>
        <w:fldChar w:fldCharType="separate"/>
      </w:r>
      <w:r w:rsidRPr="00EF63C5">
        <w:rPr>
          <w:noProof/>
          <w:vertAlign w:val="superscript"/>
          <w:lang w:val="en-US"/>
        </w:rPr>
        <w:t>33,54,59,60</w:t>
      </w:r>
      <w:r w:rsidRPr="00AC3A86">
        <w:rPr>
          <w:i/>
          <w:lang w:val="en-US"/>
        </w:rPr>
        <w:fldChar w:fldCharType="end"/>
      </w:r>
      <w:r w:rsidRPr="00AC3A86">
        <w:rPr>
          <w:i/>
          <w:lang w:val="en-US"/>
        </w:rPr>
        <w:t>. Root mean square error (RMSE), relative RMSE as percentage of the average measured yield (rRMSE, in %), and mean error (ME, Mg ha</w:t>
      </w:r>
      <w:r w:rsidRPr="00AC3A86">
        <w:rPr>
          <w:i/>
          <w:vertAlign w:val="superscript"/>
          <w:lang w:val="en-US"/>
        </w:rPr>
        <w:t>-1</w:t>
      </w:r>
      <w:r w:rsidRPr="00AC3A86">
        <w:rPr>
          <w:i/>
          <w:lang w:val="en-US"/>
        </w:rPr>
        <w:t>) are indicated. Diagonal line indicates y = x.</w:t>
      </w:r>
    </w:p>
    <w:p w14:paraId="23FC5AD8" w14:textId="77777777" w:rsidR="004263E6" w:rsidRPr="00AC3A86" w:rsidRDefault="004263E6" w:rsidP="004263E6">
      <w:pPr>
        <w:pStyle w:val="SOMHead"/>
        <w:spacing w:line="480" w:lineRule="auto"/>
        <w:rPr>
          <w:rFonts w:asciiTheme="minorHAnsi" w:hAnsiTheme="minorHAnsi" w:cstheme="minorHAnsi"/>
          <w:sz w:val="22"/>
        </w:rPr>
      </w:pPr>
      <w:r w:rsidRPr="00AC3A86">
        <w:rPr>
          <w:noProof/>
        </w:rPr>
        <w:lastRenderedPageBreak/>
        <w:t xml:space="preserve">  </w:t>
      </w:r>
      <w:r w:rsidRPr="0095325F">
        <w:rPr>
          <w:noProof/>
          <w:lang w:val="es-AR" w:eastAsia="es-AR"/>
        </w:rPr>
        <w:drawing>
          <wp:inline distT="0" distB="0" distL="0" distR="0" wp14:anchorId="2FB78C9E" wp14:editId="2F9A4B7D">
            <wp:extent cx="5477933" cy="5128515"/>
            <wp:effectExtent l="0" t="0" r="889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2340" r="21958"/>
                    <a:stretch/>
                  </pic:blipFill>
                  <pic:spPr bwMode="auto">
                    <a:xfrm>
                      <a:off x="0" y="0"/>
                      <a:ext cx="5514762" cy="5162995"/>
                    </a:xfrm>
                    <a:prstGeom prst="rect">
                      <a:avLst/>
                    </a:prstGeom>
                    <a:ln>
                      <a:noFill/>
                    </a:ln>
                    <a:extLst>
                      <a:ext uri="{53640926-AAD7-44D8-BBD7-CCE9431645EC}">
                        <a14:shadowObscured xmlns:a14="http://schemas.microsoft.com/office/drawing/2010/main"/>
                      </a:ext>
                    </a:extLst>
                  </pic:spPr>
                </pic:pic>
              </a:graphicData>
            </a:graphic>
          </wp:inline>
        </w:drawing>
      </w:r>
    </w:p>
    <w:p w14:paraId="2335E72A" w14:textId="77777777" w:rsidR="004263E6" w:rsidRPr="00AC3A86" w:rsidRDefault="004263E6" w:rsidP="004263E6">
      <w:pPr>
        <w:spacing w:line="240" w:lineRule="auto"/>
        <w:rPr>
          <w:i/>
          <w:lang w:val="en-US"/>
        </w:rPr>
      </w:pPr>
      <w:r w:rsidRPr="00AC3A86">
        <w:rPr>
          <w:rFonts w:cstheme="minorHAnsi"/>
          <w:b/>
          <w:i/>
          <w:lang w:val="en-US"/>
        </w:rPr>
        <w:t>Extended Data Figure 2.</w:t>
      </w:r>
      <w:r w:rsidRPr="00AC3A86">
        <w:rPr>
          <w:rFonts w:cstheme="minorHAnsi"/>
          <w:i/>
          <w:lang w:val="en-US"/>
        </w:rPr>
        <w:t xml:space="preserve"> </w:t>
      </w:r>
      <w:r w:rsidRPr="00AC3A86">
        <w:rPr>
          <w:rFonts w:cstheme="minorHAnsi"/>
          <w:b/>
          <w:bCs/>
          <w:i/>
          <w:lang w:val="en-US"/>
        </w:rPr>
        <w:t>Comparison of water-limited yield potential derived from the Global Yield Gap Atlas (GYGA) versus statistical approaches</w:t>
      </w:r>
      <w:r w:rsidRPr="00AC3A86">
        <w:rPr>
          <w:rFonts w:cstheme="minorHAnsi"/>
          <w:i/>
          <w:lang w:val="en-US"/>
        </w:rPr>
        <w:t xml:space="preserve">. Methods to estimate yield potential include bottom-up approach of GYGA based on well-validated crop models and high-quality weather and soil data,  quantile regression based on local averaged farmer yield (LQ), Ya </w:t>
      </w:r>
      <w:bookmarkStart w:id="0" w:name="_Hlk159832069"/>
      <w:r w:rsidRPr="00AC3A86">
        <w:rPr>
          <w:rFonts w:cstheme="minorHAnsi"/>
          <w:i/>
          <w:lang w:val="en-US"/>
        </w:rPr>
        <w:t>distribution</w:t>
      </w:r>
      <w:bookmarkEnd w:id="0"/>
      <w:r w:rsidRPr="00AC3A86">
        <w:rPr>
          <w:rFonts w:cstheme="minorHAnsi"/>
          <w:i/>
          <w:lang w:val="en-US"/>
        </w:rPr>
        <w:t xml:space="preserve"> across a large geographic region (GR), and Ya distribution within global climate bins (CB). Each datapoint represents the average yield potential estimated at each site following each method. Red crosses represent the weighted US average according to the crop area at each site. </w:t>
      </w:r>
      <w:r w:rsidRPr="00AC3A86">
        <w:rPr>
          <w:i/>
          <w:lang w:val="en-US"/>
        </w:rPr>
        <w:t>Diagonal line indicates y = x.</w:t>
      </w:r>
    </w:p>
    <w:p w14:paraId="65F1EFCD" w14:textId="77777777" w:rsidR="004263E6" w:rsidRPr="00AC3A86" w:rsidRDefault="004263E6" w:rsidP="004263E6">
      <w:pPr>
        <w:spacing w:line="240" w:lineRule="auto"/>
        <w:rPr>
          <w:rFonts w:cstheme="minorHAnsi"/>
          <w:i/>
          <w:lang w:val="en-US"/>
        </w:rPr>
      </w:pPr>
    </w:p>
    <w:p w14:paraId="0D89787F" w14:textId="77777777" w:rsidR="004263E6" w:rsidRPr="00AC3A86" w:rsidRDefault="004263E6" w:rsidP="004263E6">
      <w:pPr>
        <w:spacing w:line="480" w:lineRule="auto"/>
        <w:rPr>
          <w:b/>
          <w:lang w:val="en-US"/>
        </w:rPr>
      </w:pPr>
      <w:r>
        <w:rPr>
          <w:b/>
          <w:noProof/>
          <w:lang w:val="es-AR" w:eastAsia="es-AR"/>
        </w:rPr>
        <w:lastRenderedPageBreak/>
        <w:drawing>
          <wp:inline distT="0" distB="0" distL="0" distR="0" wp14:anchorId="4D4EB5D4" wp14:editId="5FA2616D">
            <wp:extent cx="5760720" cy="3166633"/>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166633"/>
                    </a:xfrm>
                    <a:prstGeom prst="rect">
                      <a:avLst/>
                    </a:prstGeom>
                    <a:noFill/>
                  </pic:spPr>
                </pic:pic>
              </a:graphicData>
            </a:graphic>
          </wp:inline>
        </w:drawing>
      </w:r>
    </w:p>
    <w:p w14:paraId="6DE05EA0" w14:textId="77777777" w:rsidR="004263E6" w:rsidRPr="00AC3A86" w:rsidRDefault="004263E6" w:rsidP="004263E6">
      <w:pPr>
        <w:spacing w:line="240" w:lineRule="auto"/>
        <w:rPr>
          <w:b/>
          <w:i/>
          <w:lang w:val="en-US"/>
        </w:rPr>
      </w:pPr>
      <w:r w:rsidRPr="00AC3A86">
        <w:rPr>
          <w:b/>
          <w:i/>
          <w:lang w:val="en-US"/>
        </w:rPr>
        <w:t>Extended Data Figure 3. Average yield gaps (Mg ha</w:t>
      </w:r>
      <w:r w:rsidRPr="00AC3A86">
        <w:rPr>
          <w:b/>
          <w:i/>
          <w:vertAlign w:val="superscript"/>
          <w:lang w:val="en-US"/>
        </w:rPr>
        <w:t>-1</w:t>
      </w:r>
      <w:r w:rsidRPr="00AC3A86">
        <w:rPr>
          <w:b/>
          <w:i/>
          <w:lang w:val="en-US"/>
        </w:rPr>
        <w:t>) for rainfed soybean, maize and wheat as estimated using different methods</w:t>
      </w:r>
      <w:r w:rsidRPr="00AC3A86">
        <w:rPr>
          <w:i/>
          <w:lang w:val="en-US"/>
        </w:rPr>
        <w:t>. Methods to estimate yield potential include the bottom-up modeling approach of the Global Yield Gap Atlas (GYGA) based on well-validated crop models and high-quality weather and soil data, quantile regression based on local averaged farmer yield (LQ), Ya distribution across a large geographic region (GR), and Ya distribution within global climate bins (CB).  The yield gap was estimated as the differences between average yield potential and average farmer yield. Each circle represents the average long-term yield gap at each site as estimated by each method.</w:t>
      </w:r>
    </w:p>
    <w:p w14:paraId="539B0CB2" w14:textId="77777777" w:rsidR="004263E6" w:rsidRPr="00AC3A86" w:rsidRDefault="004263E6" w:rsidP="004263E6">
      <w:pPr>
        <w:spacing w:line="240" w:lineRule="auto"/>
        <w:rPr>
          <w:rFonts w:cstheme="minorHAnsi"/>
          <w:i/>
          <w:lang w:val="en-US"/>
        </w:rPr>
      </w:pPr>
    </w:p>
    <w:p w14:paraId="7E42EA24" w14:textId="77777777" w:rsidR="004263E6" w:rsidRPr="00AC3A86" w:rsidRDefault="004263E6" w:rsidP="004263E6">
      <w:pPr>
        <w:spacing w:line="480" w:lineRule="auto"/>
        <w:rPr>
          <w:b/>
          <w:lang w:val="en-US"/>
        </w:rPr>
      </w:pPr>
    </w:p>
    <w:p w14:paraId="681D7357" w14:textId="77777777" w:rsidR="004263E6" w:rsidRPr="00AC3A86" w:rsidRDefault="004263E6" w:rsidP="004263E6">
      <w:pPr>
        <w:spacing w:line="480" w:lineRule="auto"/>
        <w:rPr>
          <w:b/>
          <w:lang w:val="en-US"/>
        </w:rPr>
        <w:sectPr w:rsidR="004263E6" w:rsidRPr="00AC3A86" w:rsidSect="002A5CD4">
          <w:footerReference w:type="even" r:id="rId7"/>
          <w:footerReference w:type="default" r:id="rId8"/>
          <w:pgSz w:w="11906" w:h="16838"/>
          <w:pgMar w:top="1417" w:right="1417" w:bottom="1417" w:left="1417" w:header="708" w:footer="708" w:gutter="0"/>
          <w:lnNumType w:countBy="1" w:restart="continuous"/>
          <w:cols w:space="708"/>
          <w:docGrid w:linePitch="360"/>
        </w:sectPr>
      </w:pPr>
    </w:p>
    <w:p w14:paraId="4CDED202" w14:textId="77777777" w:rsidR="004263E6" w:rsidRPr="00AC3A86" w:rsidRDefault="004263E6" w:rsidP="004263E6">
      <w:pPr>
        <w:rPr>
          <w:b/>
          <w:bCs/>
          <w:i/>
          <w:lang w:val="en-US"/>
        </w:rPr>
      </w:pPr>
      <w:r w:rsidRPr="00AC3A86">
        <w:rPr>
          <w:b/>
          <w:bCs/>
          <w:i/>
          <w:lang w:val="en-US"/>
        </w:rPr>
        <w:lastRenderedPageBreak/>
        <w:t>Supplementary information</w:t>
      </w:r>
    </w:p>
    <w:p w14:paraId="1B2B64CE" w14:textId="77777777" w:rsidR="004263E6" w:rsidRPr="00AC3A86" w:rsidRDefault="004263E6" w:rsidP="004263E6">
      <w:pPr>
        <w:rPr>
          <w:b/>
          <w:bCs/>
          <w:i/>
          <w:lang w:val="en-US"/>
        </w:rPr>
      </w:pPr>
    </w:p>
    <w:p w14:paraId="6AC6F0A6" w14:textId="77777777" w:rsidR="004263E6" w:rsidRPr="00AC3A86" w:rsidRDefault="004263E6" w:rsidP="004263E6">
      <w:pPr>
        <w:rPr>
          <w:b/>
          <w:bCs/>
          <w:i/>
          <w:lang w:val="en-US"/>
        </w:rPr>
      </w:pPr>
      <w:r w:rsidRPr="00AC3A86">
        <w:rPr>
          <w:b/>
          <w:bCs/>
          <w:i/>
          <w:lang w:val="en-US"/>
        </w:rPr>
        <w:t xml:space="preserve">Supplementary Table S1. Summary of the data used to compare different approaches to estimate water-limited yield potential (Yw), average actual yield (Ya), and yield gaps (Yg) in the present study. </w:t>
      </w:r>
      <w:r w:rsidRPr="00AC3A86">
        <w:rPr>
          <w:i/>
          <w:lang w:val="en-US"/>
        </w:rPr>
        <w:t>Methods include: the bottom-up approach of the Global Yield Gap Atlas (GYGA), quantile regression based on long-term Ya (LQ), Ya distribution across a large geographic region (GR), and Ya distribution across a global climate bins (CB).</w:t>
      </w:r>
      <w:r w:rsidRPr="00AC3A86">
        <w:rPr>
          <w:b/>
          <w:bCs/>
          <w:i/>
          <w:lang w:val="en-US"/>
        </w:rPr>
        <w:t xml:space="preserve"> </w:t>
      </w:r>
    </w:p>
    <w:tbl>
      <w:tblPr>
        <w:tblW w:w="13320" w:type="dxa"/>
        <w:jc w:val="center"/>
        <w:tblLayout w:type="fixed"/>
        <w:tblCellMar>
          <w:left w:w="70" w:type="dxa"/>
          <w:right w:w="70" w:type="dxa"/>
        </w:tblCellMar>
        <w:tblLook w:val="04A0" w:firstRow="1" w:lastRow="0" w:firstColumn="1" w:lastColumn="0" w:noHBand="0" w:noVBand="1"/>
      </w:tblPr>
      <w:tblGrid>
        <w:gridCol w:w="1521"/>
        <w:gridCol w:w="3069"/>
        <w:gridCol w:w="2700"/>
        <w:gridCol w:w="2610"/>
        <w:gridCol w:w="3420"/>
      </w:tblGrid>
      <w:tr w:rsidR="004263E6" w:rsidRPr="00AC3A86" w14:paraId="786C6B93" w14:textId="77777777" w:rsidTr="0019386D">
        <w:trPr>
          <w:trHeight w:val="732"/>
          <w:jc w:val="center"/>
        </w:trPr>
        <w:tc>
          <w:tcPr>
            <w:tcW w:w="1521" w:type="dxa"/>
            <w:tcBorders>
              <w:top w:val="single" w:sz="4" w:space="0" w:color="auto"/>
              <w:left w:val="nil"/>
              <w:bottom w:val="single" w:sz="4" w:space="0" w:color="auto"/>
              <w:right w:val="nil"/>
            </w:tcBorders>
            <w:shd w:val="clear" w:color="auto" w:fill="auto"/>
            <w:vAlign w:val="center"/>
            <w:hideMark/>
          </w:tcPr>
          <w:p w14:paraId="6D0B0AE3" w14:textId="77777777" w:rsidR="004263E6" w:rsidRPr="00AC3A86" w:rsidRDefault="004263E6" w:rsidP="0019386D">
            <w:pPr>
              <w:spacing w:after="0" w:line="240" w:lineRule="auto"/>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w:t>
            </w:r>
          </w:p>
        </w:tc>
        <w:tc>
          <w:tcPr>
            <w:tcW w:w="3069" w:type="dxa"/>
            <w:tcBorders>
              <w:top w:val="single" w:sz="4" w:space="0" w:color="auto"/>
              <w:left w:val="nil"/>
              <w:bottom w:val="single" w:sz="4" w:space="0" w:color="auto"/>
              <w:right w:val="nil"/>
            </w:tcBorders>
            <w:shd w:val="clear" w:color="auto" w:fill="auto"/>
            <w:vAlign w:val="center"/>
            <w:hideMark/>
          </w:tcPr>
          <w:p w14:paraId="5BAD8699" w14:textId="77777777" w:rsidR="004263E6" w:rsidRPr="00AC3A86" w:rsidRDefault="004263E6" w:rsidP="0019386D">
            <w:pPr>
              <w:spacing w:after="0" w:line="240" w:lineRule="auto"/>
              <w:jc w:val="center"/>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GYGA</w:t>
            </w:r>
          </w:p>
        </w:tc>
        <w:tc>
          <w:tcPr>
            <w:tcW w:w="2700" w:type="dxa"/>
            <w:tcBorders>
              <w:top w:val="single" w:sz="4" w:space="0" w:color="auto"/>
              <w:left w:val="nil"/>
              <w:bottom w:val="single" w:sz="4" w:space="0" w:color="auto"/>
              <w:right w:val="nil"/>
            </w:tcBorders>
            <w:shd w:val="clear" w:color="auto" w:fill="auto"/>
            <w:vAlign w:val="center"/>
            <w:hideMark/>
          </w:tcPr>
          <w:p w14:paraId="2B117739" w14:textId="77777777" w:rsidR="004263E6" w:rsidRPr="00AC3A86" w:rsidRDefault="004263E6" w:rsidP="0019386D">
            <w:pPr>
              <w:spacing w:after="0" w:line="240" w:lineRule="auto"/>
              <w:jc w:val="center"/>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LQ</w:t>
            </w:r>
          </w:p>
        </w:tc>
        <w:tc>
          <w:tcPr>
            <w:tcW w:w="2610" w:type="dxa"/>
            <w:tcBorders>
              <w:top w:val="single" w:sz="4" w:space="0" w:color="auto"/>
              <w:left w:val="nil"/>
              <w:bottom w:val="single" w:sz="4" w:space="0" w:color="auto"/>
              <w:right w:val="nil"/>
            </w:tcBorders>
            <w:shd w:val="clear" w:color="auto" w:fill="auto"/>
            <w:vAlign w:val="center"/>
            <w:hideMark/>
          </w:tcPr>
          <w:p w14:paraId="58177ECD" w14:textId="77777777" w:rsidR="004263E6" w:rsidRPr="00AC3A86" w:rsidRDefault="004263E6" w:rsidP="0019386D">
            <w:pPr>
              <w:spacing w:after="0" w:line="240" w:lineRule="auto"/>
              <w:jc w:val="center"/>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GR</w:t>
            </w:r>
          </w:p>
        </w:tc>
        <w:tc>
          <w:tcPr>
            <w:tcW w:w="3420" w:type="dxa"/>
            <w:tcBorders>
              <w:top w:val="single" w:sz="4" w:space="0" w:color="auto"/>
              <w:left w:val="nil"/>
              <w:bottom w:val="single" w:sz="4" w:space="0" w:color="auto"/>
              <w:right w:val="nil"/>
            </w:tcBorders>
            <w:shd w:val="clear" w:color="auto" w:fill="auto"/>
            <w:vAlign w:val="center"/>
            <w:hideMark/>
          </w:tcPr>
          <w:p w14:paraId="1868680D" w14:textId="77777777" w:rsidR="004263E6" w:rsidRPr="00AC3A86" w:rsidRDefault="004263E6" w:rsidP="0019386D">
            <w:pPr>
              <w:spacing w:after="0" w:line="240" w:lineRule="auto"/>
              <w:jc w:val="center"/>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CB</w:t>
            </w:r>
          </w:p>
        </w:tc>
      </w:tr>
      <w:tr w:rsidR="004263E6" w:rsidRPr="00D90B35" w14:paraId="22891D65" w14:textId="77777777" w:rsidTr="0019386D">
        <w:trPr>
          <w:trHeight w:val="1624"/>
          <w:jc w:val="center"/>
        </w:trPr>
        <w:tc>
          <w:tcPr>
            <w:tcW w:w="1521" w:type="dxa"/>
            <w:tcBorders>
              <w:top w:val="single" w:sz="4" w:space="0" w:color="auto"/>
              <w:left w:val="nil"/>
              <w:bottom w:val="single" w:sz="4" w:space="0" w:color="auto"/>
              <w:right w:val="nil"/>
            </w:tcBorders>
            <w:shd w:val="clear" w:color="auto" w:fill="auto"/>
            <w:hideMark/>
          </w:tcPr>
          <w:p w14:paraId="7267D0B9" w14:textId="77777777" w:rsidR="004263E6" w:rsidRPr="00AC3A86" w:rsidRDefault="004263E6" w:rsidP="0019386D">
            <w:pPr>
              <w:spacing w:after="0" w:line="240" w:lineRule="auto"/>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Approach to estimate Yw</w:t>
            </w:r>
          </w:p>
        </w:tc>
        <w:tc>
          <w:tcPr>
            <w:tcW w:w="3069" w:type="dxa"/>
            <w:tcBorders>
              <w:top w:val="single" w:sz="4" w:space="0" w:color="auto"/>
              <w:left w:val="nil"/>
              <w:bottom w:val="single" w:sz="4" w:space="0" w:color="auto"/>
              <w:right w:val="nil"/>
            </w:tcBorders>
            <w:shd w:val="clear" w:color="auto" w:fill="auto"/>
            <w:hideMark/>
          </w:tcPr>
          <w:p w14:paraId="13BF3FD2"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Well-calibrated process-based crop simulations coupled with measured weather data and local soil types and management practices.</w:t>
            </w:r>
          </w:p>
        </w:tc>
        <w:tc>
          <w:tcPr>
            <w:tcW w:w="2700" w:type="dxa"/>
            <w:tcBorders>
              <w:top w:val="single" w:sz="4" w:space="0" w:color="auto"/>
              <w:left w:val="nil"/>
              <w:bottom w:val="single" w:sz="4" w:space="0" w:color="auto"/>
              <w:right w:val="nil"/>
            </w:tcBorders>
            <w:shd w:val="clear" w:color="auto" w:fill="auto"/>
            <w:hideMark/>
          </w:tcPr>
          <w:p w14:paraId="2B002372"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County level quantile regression using 40 years (</w:t>
            </w:r>
            <w:r w:rsidRPr="00AC3A86">
              <w:rPr>
                <w:lang w:val="en-US"/>
              </w:rPr>
              <w:t>1979-2018</w:t>
            </w:r>
            <w:r w:rsidRPr="00AC3A86">
              <w:rPr>
                <w:rFonts w:ascii="Calibri" w:eastAsia="Times New Roman" w:hAnsi="Calibri" w:cs="Calibri"/>
                <w:color w:val="000000"/>
                <w:lang w:val="en-US" w:eastAsia="fr-FR"/>
              </w:rPr>
              <w:t>) of actual yield.</w:t>
            </w:r>
          </w:p>
        </w:tc>
        <w:tc>
          <w:tcPr>
            <w:tcW w:w="2610" w:type="dxa"/>
            <w:tcBorders>
              <w:top w:val="single" w:sz="4" w:space="0" w:color="auto"/>
              <w:left w:val="nil"/>
              <w:bottom w:val="single" w:sz="4" w:space="0" w:color="auto"/>
              <w:right w:val="nil"/>
            </w:tcBorders>
            <w:shd w:val="clear" w:color="auto" w:fill="auto"/>
            <w:hideMark/>
          </w:tcPr>
          <w:p w14:paraId="3F5CA32E"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99.99% quantile from all US counties yield</w:t>
            </w:r>
          </w:p>
        </w:tc>
        <w:tc>
          <w:tcPr>
            <w:tcW w:w="3420" w:type="dxa"/>
            <w:tcBorders>
              <w:top w:val="single" w:sz="4" w:space="0" w:color="auto"/>
              <w:left w:val="nil"/>
              <w:bottom w:val="single" w:sz="4" w:space="0" w:color="auto"/>
              <w:right w:val="nil"/>
            </w:tcBorders>
            <w:shd w:val="clear" w:color="auto" w:fill="auto"/>
            <w:hideMark/>
          </w:tcPr>
          <w:p w14:paraId="5FED0296"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95% quantile within each global climate bin.</w:t>
            </w:r>
          </w:p>
        </w:tc>
      </w:tr>
      <w:tr w:rsidR="004263E6" w:rsidRPr="00D90B35" w14:paraId="57884BBE" w14:textId="77777777" w:rsidTr="0019386D">
        <w:trPr>
          <w:trHeight w:val="948"/>
          <w:jc w:val="center"/>
        </w:trPr>
        <w:tc>
          <w:tcPr>
            <w:tcW w:w="1521" w:type="dxa"/>
            <w:tcBorders>
              <w:top w:val="single" w:sz="4" w:space="0" w:color="auto"/>
              <w:left w:val="nil"/>
              <w:bottom w:val="single" w:sz="4" w:space="0" w:color="auto"/>
              <w:right w:val="nil"/>
            </w:tcBorders>
            <w:shd w:val="clear" w:color="auto" w:fill="auto"/>
            <w:hideMark/>
          </w:tcPr>
          <w:p w14:paraId="01396A8F" w14:textId="77777777" w:rsidR="004263E6" w:rsidRPr="00AC3A86" w:rsidRDefault="004263E6" w:rsidP="0019386D">
            <w:pPr>
              <w:spacing w:after="0" w:line="240" w:lineRule="auto"/>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Source &amp; time period for Yw</w:t>
            </w:r>
          </w:p>
        </w:tc>
        <w:tc>
          <w:tcPr>
            <w:tcW w:w="3069" w:type="dxa"/>
            <w:tcBorders>
              <w:top w:val="single" w:sz="4" w:space="0" w:color="auto"/>
              <w:left w:val="nil"/>
              <w:bottom w:val="single" w:sz="4" w:space="0" w:color="auto"/>
              <w:right w:val="nil"/>
            </w:tcBorders>
            <w:shd w:val="clear" w:color="auto" w:fill="auto"/>
            <w:hideMark/>
          </w:tcPr>
          <w:p w14:paraId="12B9B2A3"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r w:rsidRPr="00AC3A86">
              <w:rPr>
                <w:rFonts w:ascii="Calibri" w:eastAsia="Times New Roman" w:hAnsi="Calibri" w:cs="Calibri"/>
                <w:color w:val="000000"/>
                <w:lang w:val="en-US" w:eastAsia="fr-FR"/>
              </w:rPr>
              <w:t xml:space="preserve">Retrieved from </w:t>
            </w:r>
            <w:hyperlink r:id="rId9" w:history="1">
              <w:r w:rsidRPr="00AC3A86">
                <w:rPr>
                  <w:rFonts w:ascii="Calibri" w:eastAsia="Times New Roman" w:hAnsi="Calibri" w:cs="Calibri"/>
                  <w:color w:val="0563C1"/>
                  <w:u w:val="single"/>
                  <w:lang w:val="en-US" w:eastAsia="fr-FR"/>
                </w:rPr>
                <w:t>http://www.yieldgap.org/</w:t>
              </w:r>
            </w:hyperlink>
            <w:r w:rsidRPr="00AC3A86">
              <w:rPr>
                <w:rFonts w:ascii="Calibri" w:eastAsia="Times New Roman" w:hAnsi="Calibri" w:cs="Calibri"/>
                <w:color w:val="000000"/>
                <w:lang w:val="en-US" w:eastAsia="fr-FR"/>
              </w:rPr>
              <w:t>, with specific time period depending on statistical method being compared against</w:t>
            </w:r>
          </w:p>
        </w:tc>
        <w:tc>
          <w:tcPr>
            <w:tcW w:w="2700" w:type="dxa"/>
            <w:tcBorders>
              <w:top w:val="single" w:sz="4" w:space="0" w:color="auto"/>
              <w:left w:val="nil"/>
              <w:bottom w:val="single" w:sz="4" w:space="0" w:color="auto"/>
              <w:right w:val="nil"/>
            </w:tcBorders>
            <w:shd w:val="clear" w:color="auto" w:fill="auto"/>
            <w:hideMark/>
          </w:tcPr>
          <w:p w14:paraId="7906E404"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xml:space="preserve">Retrieved from fitted quantile regression for the </w:t>
            </w:r>
            <w:r>
              <w:rPr>
                <w:rFonts w:ascii="Calibri" w:eastAsia="Times New Roman" w:hAnsi="Calibri" w:cs="Calibri"/>
                <w:color w:val="000000"/>
                <w:lang w:val="en-US" w:eastAsia="fr-FR"/>
              </w:rPr>
              <w:t>2009-2018</w:t>
            </w:r>
            <w:r w:rsidRPr="00AC3A86">
              <w:rPr>
                <w:rFonts w:ascii="Calibri" w:eastAsia="Times New Roman" w:hAnsi="Calibri" w:cs="Calibri"/>
                <w:color w:val="000000"/>
                <w:lang w:val="en-US" w:eastAsia="fr-FR"/>
              </w:rPr>
              <w:t xml:space="preserve"> time period</w:t>
            </w:r>
          </w:p>
        </w:tc>
        <w:tc>
          <w:tcPr>
            <w:tcW w:w="2610" w:type="dxa"/>
            <w:tcBorders>
              <w:top w:val="single" w:sz="4" w:space="0" w:color="auto"/>
              <w:left w:val="nil"/>
              <w:bottom w:val="single" w:sz="4" w:space="0" w:color="auto"/>
              <w:right w:val="nil"/>
            </w:tcBorders>
            <w:shd w:val="clear" w:color="auto" w:fill="auto"/>
            <w:hideMark/>
          </w:tcPr>
          <w:p w14:paraId="186659C4"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r w:rsidRPr="00AC3A86">
              <w:rPr>
                <w:rFonts w:ascii="Calibri" w:eastAsia="Times New Roman" w:hAnsi="Calibri" w:cs="Calibri"/>
                <w:color w:val="000000"/>
                <w:lang w:val="en-US" w:eastAsia="fr-FR"/>
              </w:rPr>
              <w:t xml:space="preserve">Yg over 2008-2017 from </w:t>
            </w:r>
            <w:hyperlink r:id="rId10" w:history="1">
              <w:r w:rsidRPr="00AC3A86">
                <w:rPr>
                  <w:rFonts w:ascii="Calibri" w:eastAsia="Times New Roman" w:hAnsi="Calibri" w:cs="Calibri"/>
                  <w:color w:val="0563C1"/>
                  <w:u w:val="single"/>
                  <w:lang w:val="en-US" w:eastAsia="fr-FR"/>
                </w:rPr>
                <w:t>https://github.com/ramiadantsoa/Yield_trends</w:t>
              </w:r>
            </w:hyperlink>
            <w:r w:rsidRPr="00AC3A86">
              <w:rPr>
                <w:rFonts w:ascii="Calibri" w:eastAsia="Times New Roman" w:hAnsi="Calibri" w:cs="Calibri"/>
                <w:color w:val="000000"/>
                <w:lang w:val="en-US" w:eastAsia="fr-FR"/>
              </w:rPr>
              <w:t xml:space="preserve"> and Yw recalculated by adding Ya over same time period </w:t>
            </w:r>
          </w:p>
        </w:tc>
        <w:tc>
          <w:tcPr>
            <w:tcW w:w="3420" w:type="dxa"/>
            <w:tcBorders>
              <w:top w:val="single" w:sz="4" w:space="0" w:color="auto"/>
              <w:left w:val="nil"/>
              <w:bottom w:val="single" w:sz="4" w:space="0" w:color="auto"/>
              <w:right w:val="nil"/>
            </w:tcBorders>
            <w:shd w:val="clear" w:color="auto" w:fill="auto"/>
            <w:hideMark/>
          </w:tcPr>
          <w:p w14:paraId="298E6A14"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r w:rsidRPr="00AC3A86">
              <w:rPr>
                <w:rFonts w:ascii="Calibri" w:eastAsia="Times New Roman" w:hAnsi="Calibri" w:cs="Calibri"/>
                <w:color w:val="000000"/>
                <w:lang w:val="en-US" w:eastAsia="fr-FR"/>
              </w:rPr>
              <w:t xml:space="preserve">Retrieved from </w:t>
            </w:r>
            <w:hyperlink r:id="rId11" w:history="1">
              <w:r w:rsidRPr="00AC3A86">
                <w:rPr>
                  <w:rFonts w:ascii="Calibri" w:eastAsia="Times New Roman" w:hAnsi="Calibri" w:cs="Calibri"/>
                  <w:color w:val="0563C1"/>
                  <w:u w:val="single"/>
                  <w:lang w:val="en-US" w:eastAsia="fr-FR"/>
                </w:rPr>
                <w:t>http://www.earthstat.org/yield-gaps-climate-bins-major-crops/</w:t>
              </w:r>
            </w:hyperlink>
            <w:r w:rsidRPr="00AC3A86">
              <w:rPr>
                <w:rFonts w:ascii="Calibri" w:eastAsia="Times New Roman" w:hAnsi="Calibri" w:cs="Calibri"/>
                <w:color w:val="000000"/>
                <w:lang w:val="en-US" w:eastAsia="fr-FR"/>
              </w:rPr>
              <w:t xml:space="preserve"> over the 1997-2003 period</w:t>
            </w:r>
          </w:p>
        </w:tc>
      </w:tr>
      <w:tr w:rsidR="004263E6" w:rsidRPr="00D90B35" w14:paraId="39D9681C" w14:textId="77777777" w:rsidTr="0019386D">
        <w:trPr>
          <w:trHeight w:val="864"/>
          <w:jc w:val="center"/>
        </w:trPr>
        <w:tc>
          <w:tcPr>
            <w:tcW w:w="1521" w:type="dxa"/>
            <w:tcBorders>
              <w:top w:val="single" w:sz="4" w:space="0" w:color="auto"/>
              <w:left w:val="nil"/>
              <w:bottom w:val="single" w:sz="4" w:space="0" w:color="auto"/>
              <w:right w:val="nil"/>
            </w:tcBorders>
            <w:shd w:val="clear" w:color="auto" w:fill="auto"/>
          </w:tcPr>
          <w:p w14:paraId="22CEA6FF" w14:textId="77777777" w:rsidR="004263E6" w:rsidRPr="00AC3A86" w:rsidRDefault="004263E6" w:rsidP="0019386D">
            <w:pPr>
              <w:spacing w:after="0" w:line="240" w:lineRule="auto"/>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Source &amp; time period for Ya</w:t>
            </w:r>
          </w:p>
        </w:tc>
        <w:tc>
          <w:tcPr>
            <w:tcW w:w="3069" w:type="dxa"/>
            <w:tcBorders>
              <w:top w:val="single" w:sz="4" w:space="0" w:color="auto"/>
              <w:left w:val="nil"/>
              <w:bottom w:val="single" w:sz="4" w:space="0" w:color="auto"/>
              <w:right w:val="nil"/>
            </w:tcBorders>
            <w:shd w:val="clear" w:color="auto" w:fill="auto"/>
          </w:tcPr>
          <w:p w14:paraId="6CE9387C"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USDA-NASS at county level, with specific time period depending on statistical method being compared against</w:t>
            </w:r>
          </w:p>
        </w:tc>
        <w:tc>
          <w:tcPr>
            <w:tcW w:w="2700" w:type="dxa"/>
            <w:tcBorders>
              <w:top w:val="single" w:sz="4" w:space="0" w:color="auto"/>
              <w:left w:val="nil"/>
              <w:bottom w:val="single" w:sz="4" w:space="0" w:color="auto"/>
              <w:right w:val="nil"/>
            </w:tcBorders>
            <w:shd w:val="clear" w:color="auto" w:fill="auto"/>
          </w:tcPr>
          <w:p w14:paraId="4A28E18F"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xml:space="preserve">USDA-NASS county yields over </w:t>
            </w:r>
            <w:r>
              <w:rPr>
                <w:rFonts w:ascii="Calibri" w:eastAsia="Times New Roman" w:hAnsi="Calibri" w:cs="Calibri"/>
                <w:color w:val="000000"/>
                <w:lang w:val="en-US" w:eastAsia="fr-FR"/>
              </w:rPr>
              <w:t>2009-2018</w:t>
            </w:r>
            <w:r w:rsidRPr="00AC3A86">
              <w:rPr>
                <w:rFonts w:ascii="Calibri" w:eastAsia="Times New Roman" w:hAnsi="Calibri" w:cs="Calibri"/>
                <w:color w:val="000000"/>
                <w:lang w:val="en-US" w:eastAsia="fr-FR"/>
              </w:rPr>
              <w:t xml:space="preserve"> years</w:t>
            </w:r>
          </w:p>
        </w:tc>
        <w:tc>
          <w:tcPr>
            <w:tcW w:w="2610" w:type="dxa"/>
            <w:tcBorders>
              <w:top w:val="single" w:sz="4" w:space="0" w:color="auto"/>
              <w:left w:val="nil"/>
              <w:bottom w:val="single" w:sz="4" w:space="0" w:color="auto"/>
              <w:right w:val="nil"/>
            </w:tcBorders>
            <w:shd w:val="clear" w:color="auto" w:fill="auto"/>
          </w:tcPr>
          <w:p w14:paraId="1D62162D"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xml:space="preserve">USDA-NASS county yields over 2008-2017 </w:t>
            </w:r>
          </w:p>
        </w:tc>
        <w:tc>
          <w:tcPr>
            <w:tcW w:w="3420" w:type="dxa"/>
            <w:tcBorders>
              <w:top w:val="single" w:sz="4" w:space="0" w:color="auto"/>
              <w:left w:val="nil"/>
              <w:bottom w:val="single" w:sz="4" w:space="0" w:color="auto"/>
              <w:right w:val="nil"/>
            </w:tcBorders>
            <w:shd w:val="clear" w:color="auto" w:fill="auto"/>
          </w:tcPr>
          <w:p w14:paraId="56F96D0D"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USDA-NASS county yields over 1997-2003 period</w:t>
            </w:r>
          </w:p>
        </w:tc>
      </w:tr>
      <w:tr w:rsidR="004263E6" w:rsidRPr="00DC710E" w14:paraId="2DB14C58" w14:textId="77777777" w:rsidTr="0019386D">
        <w:trPr>
          <w:trHeight w:val="864"/>
          <w:jc w:val="center"/>
        </w:trPr>
        <w:tc>
          <w:tcPr>
            <w:tcW w:w="1521" w:type="dxa"/>
            <w:tcBorders>
              <w:top w:val="single" w:sz="4" w:space="0" w:color="auto"/>
              <w:left w:val="nil"/>
              <w:bottom w:val="single" w:sz="4" w:space="0" w:color="auto"/>
              <w:right w:val="nil"/>
            </w:tcBorders>
            <w:shd w:val="clear" w:color="auto" w:fill="auto"/>
            <w:hideMark/>
          </w:tcPr>
          <w:p w14:paraId="647BD296" w14:textId="77777777" w:rsidR="004263E6" w:rsidRPr="00AC3A86" w:rsidRDefault="004263E6" w:rsidP="0019386D">
            <w:pPr>
              <w:spacing w:after="0" w:line="240" w:lineRule="auto"/>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Source &amp; time period for Yg</w:t>
            </w:r>
          </w:p>
        </w:tc>
        <w:tc>
          <w:tcPr>
            <w:tcW w:w="3069" w:type="dxa"/>
            <w:tcBorders>
              <w:top w:val="single" w:sz="4" w:space="0" w:color="auto"/>
              <w:left w:val="nil"/>
              <w:bottom w:val="single" w:sz="4" w:space="0" w:color="auto"/>
              <w:right w:val="nil"/>
            </w:tcBorders>
            <w:shd w:val="clear" w:color="auto" w:fill="auto"/>
            <w:hideMark/>
          </w:tcPr>
          <w:p w14:paraId="7D4AAB37"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xml:space="preserve">Retrieved from </w:t>
            </w:r>
            <w:hyperlink r:id="rId12" w:history="1">
              <w:r w:rsidRPr="00AC3A86">
                <w:rPr>
                  <w:rFonts w:ascii="Calibri" w:eastAsia="Times New Roman" w:hAnsi="Calibri" w:cs="Calibri"/>
                  <w:color w:val="0563C1"/>
                  <w:u w:val="single"/>
                  <w:lang w:val="en-US" w:eastAsia="fr-FR"/>
                </w:rPr>
                <w:t>http://www.yieldgap.org/</w:t>
              </w:r>
            </w:hyperlink>
            <w:r w:rsidRPr="00AC3A86">
              <w:rPr>
                <w:rFonts w:ascii="Calibri" w:eastAsia="Times New Roman" w:hAnsi="Calibri" w:cs="Calibri"/>
                <w:color w:val="000000"/>
                <w:lang w:val="en-US" w:eastAsia="fr-FR"/>
              </w:rPr>
              <w:t>, with specific time period depending on statistical method being compared against</w:t>
            </w:r>
          </w:p>
        </w:tc>
        <w:tc>
          <w:tcPr>
            <w:tcW w:w="2700" w:type="dxa"/>
            <w:tcBorders>
              <w:top w:val="single" w:sz="4" w:space="0" w:color="auto"/>
              <w:left w:val="nil"/>
              <w:bottom w:val="single" w:sz="4" w:space="0" w:color="auto"/>
              <w:right w:val="nil"/>
            </w:tcBorders>
            <w:shd w:val="clear" w:color="auto" w:fill="auto"/>
            <w:hideMark/>
          </w:tcPr>
          <w:p w14:paraId="34975E4F"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Pr>
                <w:rFonts w:ascii="Calibri" w:eastAsia="Times New Roman" w:hAnsi="Calibri" w:cs="Calibri"/>
                <w:color w:val="000000"/>
                <w:lang w:val="en-US" w:eastAsia="fr-FR"/>
              </w:rPr>
              <w:t>Calculated for the 2009-2018 period to be  consistent with Yg available in GYGA</w:t>
            </w:r>
          </w:p>
        </w:tc>
        <w:tc>
          <w:tcPr>
            <w:tcW w:w="2610" w:type="dxa"/>
            <w:tcBorders>
              <w:top w:val="single" w:sz="4" w:space="0" w:color="auto"/>
              <w:left w:val="nil"/>
              <w:bottom w:val="single" w:sz="4" w:space="0" w:color="auto"/>
              <w:right w:val="nil"/>
            </w:tcBorders>
            <w:shd w:val="clear" w:color="auto" w:fill="auto"/>
            <w:hideMark/>
          </w:tcPr>
          <w:p w14:paraId="2E09C3F5"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Retrieved from</w:t>
            </w:r>
            <w:r w:rsidRPr="00AC3A86">
              <w:rPr>
                <w:rFonts w:ascii="Calibri" w:eastAsia="Times New Roman" w:hAnsi="Calibri" w:cs="Calibri"/>
                <w:color w:val="0563C1"/>
                <w:u w:val="single"/>
                <w:lang w:val="en-US" w:eastAsia="fr-FR"/>
              </w:rPr>
              <w:fldChar w:fldCharType="begin" w:fldLock="1"/>
            </w:r>
            <w:r w:rsidRPr="00AC3A86">
              <w:rPr>
                <w:rFonts w:ascii="Calibri" w:eastAsia="Times New Roman" w:hAnsi="Calibri" w:cs="Calibri"/>
                <w:color w:val="0563C1"/>
                <w:u w:val="single"/>
                <w:lang w:val="en-US" w:eastAsia="fr-FR"/>
              </w:rPr>
              <w:instrText>ADDIN CSL_CITATION {"citationItems":[{"id":"ITEM-1","itemData":{"DOI":"10.1002/csc2.20089","ISSN":"14350653","abstract":"Future crop yield increases are unlikely to keep pace with the dietary needs of a global human population expected to reach nine billion by 2050. This study used United States Department of Agriculture county-level yield data and autoregressive moving-average models to examine how changes in maize (Zea mays L.), soybean (Glycine max L.), and winter wheat (Triticum aestivum L.) yields, temporal variability in yields, and yield gaps have varied across space and time from 1970–2017. The majority of county-level yields have increased linearly, although the increases in wheat lag behind corn and soybean. Where trends were nonlinear, accelerating yields were found in more mesic regions east of the Great Plains, and decelerating yields were found in the drier central and western United States. Mean crop yields were positively correlated with rate of yield increase and negatively correlated with interannual variability. Hotspots were identified in Minnesota, Iowa, Illinois, Nebraska, and some West Coast states where crop yields are currently the largest, have the lowest yield gaps, and since 1970, have had the highest rates of change and/or are experiencing an acceleration of annual yield gains. Across all crop types, the counties with the lowest average yields, highest yield gaps, lowest rates of yield increase over time, and/or deceleration in yield increases were predominantly found in the central United States, including the Dakotas, Kansas, Oklahoma, and Texas. Regions of greatest performance generally have fertile soils, plentiful growing season rainfall, and optimal growing season length and temperatures, or are benefitting from irrigation.","author":[{"dropping-particle":"","family":"Kucharik","given":"Christopher J.","non-dropping-particle":"","parse-names":false,"suffix":""},{"dropping-particle":"","family":"Ramiadantsoa","given":"Tanjona","non-dropping-particle":"","parse-names":false,"suffix":""},{"dropping-particle":"","family":"Zhang","given":"Jien","non-dropping-particle":"","parse-names":false,"suffix":""},{"dropping-particle":"","family":"Ives","given":"Anthony R.","non-dropping-particle":"","parse-names":false,"suffix":""}],"container-title":"Crop Science","id":"ITEM-1","issue":"4","issued":{"date-parts":[["2020"]]},"page":"2085-2101","title":"Spatiotemporal trends in crop yields, yield variability, and yield gaps across the USA","type":"article-journal","volume":"60"},"uris":["http://www.mendeley.com/documents/?uuid=4058982c-f31b-4df7-9c25-2ef4462fdbcd"]}],"mendeley":{"formattedCitation":"&lt;sup&gt;23&lt;/sup&gt;","plainTextFormattedCitation":"23","previouslyFormattedCitation":"&lt;sup&gt;23&lt;/sup&gt;"},"properties":{"noteIndex":0},"schema":"https://github.com/citation-style-language/schema/raw/master/csl-citation.json"}</w:instrText>
            </w:r>
            <w:r w:rsidRPr="00AC3A86">
              <w:rPr>
                <w:rFonts w:ascii="Calibri" w:eastAsia="Times New Roman" w:hAnsi="Calibri" w:cs="Calibri"/>
                <w:color w:val="0563C1"/>
                <w:u w:val="single"/>
                <w:lang w:val="en-US" w:eastAsia="fr-FR"/>
              </w:rPr>
              <w:fldChar w:fldCharType="separate"/>
            </w:r>
            <w:r w:rsidRPr="00AC3A86">
              <w:rPr>
                <w:rFonts w:ascii="Calibri" w:eastAsia="Times New Roman" w:hAnsi="Calibri" w:cs="Calibri"/>
                <w:noProof/>
                <w:color w:val="0563C1"/>
                <w:vertAlign w:val="superscript"/>
                <w:lang w:val="en-US" w:eastAsia="fr-FR"/>
              </w:rPr>
              <w:t>23</w:t>
            </w:r>
            <w:r w:rsidRPr="00AC3A86">
              <w:rPr>
                <w:rFonts w:ascii="Calibri" w:eastAsia="Times New Roman" w:hAnsi="Calibri" w:cs="Calibri"/>
                <w:color w:val="0563C1"/>
                <w:u w:val="single"/>
                <w:lang w:val="en-US" w:eastAsia="fr-FR"/>
              </w:rPr>
              <w:fldChar w:fldCharType="end"/>
            </w:r>
            <w:r w:rsidRPr="00AC3A86">
              <w:rPr>
                <w:rFonts w:ascii="Calibri" w:eastAsia="Times New Roman" w:hAnsi="Calibri" w:cs="Calibri"/>
                <w:color w:val="000000"/>
                <w:lang w:val="en-US" w:eastAsia="fr-FR"/>
              </w:rPr>
              <w:t xml:space="preserve"> for the 2008-2017 period</w:t>
            </w:r>
          </w:p>
        </w:tc>
        <w:tc>
          <w:tcPr>
            <w:tcW w:w="3420" w:type="dxa"/>
            <w:tcBorders>
              <w:top w:val="single" w:sz="4" w:space="0" w:color="auto"/>
              <w:left w:val="nil"/>
              <w:bottom w:val="single" w:sz="4" w:space="0" w:color="auto"/>
              <w:right w:val="nil"/>
            </w:tcBorders>
            <w:shd w:val="clear" w:color="auto" w:fill="auto"/>
            <w:hideMark/>
          </w:tcPr>
          <w:p w14:paraId="47AF5DE1" w14:textId="77777777" w:rsidR="004263E6" w:rsidRPr="00AC3A86" w:rsidRDefault="004263E6" w:rsidP="0019386D">
            <w:pPr>
              <w:spacing w:after="0" w:line="240" w:lineRule="auto"/>
              <w:jc w:val="center"/>
              <w:rPr>
                <w:rFonts w:ascii="Calibri" w:eastAsia="Times New Roman" w:hAnsi="Calibri" w:cs="Calibri"/>
                <w:color w:val="000000"/>
                <w:lang w:val="en-US" w:eastAsia="fr-FR"/>
              </w:rPr>
            </w:pPr>
            <w:r w:rsidRPr="00AC3A86">
              <w:rPr>
                <w:rFonts w:ascii="Calibri" w:eastAsia="Times New Roman" w:hAnsi="Calibri" w:cs="Calibri"/>
                <w:color w:val="000000"/>
                <w:lang w:val="en-US" w:eastAsia="fr-FR"/>
              </w:rPr>
              <w:t xml:space="preserve">Retrieved from </w:t>
            </w:r>
            <w:hyperlink r:id="rId13" w:history="1">
              <w:r w:rsidRPr="00AC3A86">
                <w:rPr>
                  <w:rFonts w:ascii="Calibri" w:eastAsia="Times New Roman" w:hAnsi="Calibri" w:cs="Calibri"/>
                  <w:color w:val="0563C1"/>
                  <w:u w:val="single"/>
                  <w:lang w:val="en-US" w:eastAsia="fr-FR"/>
                </w:rPr>
                <w:t>http://www.earthstat.org/yield-gaps-climate-bins-major-crops/</w:t>
              </w:r>
            </w:hyperlink>
            <w:r w:rsidRPr="00AC3A86">
              <w:rPr>
                <w:rFonts w:ascii="Calibri" w:eastAsia="Times New Roman" w:hAnsi="Calibri" w:cs="Calibri"/>
                <w:color w:val="000000"/>
                <w:lang w:val="en-US" w:eastAsia="fr-FR"/>
              </w:rPr>
              <w:t xml:space="preserve"> over the 1997-2003 period</w:t>
            </w:r>
          </w:p>
        </w:tc>
      </w:tr>
      <w:tr w:rsidR="004263E6" w:rsidRPr="00AC3A86" w14:paraId="0B145A0D" w14:textId="77777777" w:rsidTr="0019386D">
        <w:trPr>
          <w:trHeight w:val="516"/>
          <w:jc w:val="center"/>
        </w:trPr>
        <w:tc>
          <w:tcPr>
            <w:tcW w:w="1521" w:type="dxa"/>
            <w:tcBorders>
              <w:top w:val="nil"/>
              <w:left w:val="nil"/>
              <w:bottom w:val="single" w:sz="4" w:space="0" w:color="auto"/>
              <w:right w:val="nil"/>
            </w:tcBorders>
            <w:shd w:val="clear" w:color="auto" w:fill="auto"/>
            <w:hideMark/>
          </w:tcPr>
          <w:p w14:paraId="05CA8A03" w14:textId="77777777" w:rsidR="004263E6" w:rsidRPr="00AC3A86" w:rsidRDefault="004263E6" w:rsidP="0019386D">
            <w:pPr>
              <w:spacing w:after="0" w:line="240" w:lineRule="auto"/>
              <w:rPr>
                <w:rFonts w:ascii="Calibri" w:eastAsia="Times New Roman" w:hAnsi="Calibri" w:cs="Calibri"/>
                <w:bCs/>
                <w:color w:val="000000"/>
                <w:lang w:val="en-US" w:eastAsia="fr-FR"/>
              </w:rPr>
            </w:pPr>
            <w:r w:rsidRPr="00AC3A86">
              <w:rPr>
                <w:rFonts w:ascii="Calibri" w:eastAsia="Times New Roman" w:hAnsi="Calibri" w:cs="Calibri"/>
                <w:bCs/>
                <w:color w:val="000000"/>
                <w:lang w:val="en-US" w:eastAsia="fr-FR"/>
              </w:rPr>
              <w:t>References</w:t>
            </w:r>
          </w:p>
        </w:tc>
        <w:tc>
          <w:tcPr>
            <w:tcW w:w="3069" w:type="dxa"/>
            <w:tcBorders>
              <w:top w:val="nil"/>
              <w:left w:val="nil"/>
              <w:bottom w:val="single" w:sz="4" w:space="0" w:color="auto"/>
              <w:right w:val="nil"/>
            </w:tcBorders>
            <w:shd w:val="clear" w:color="auto" w:fill="auto"/>
            <w:hideMark/>
          </w:tcPr>
          <w:p w14:paraId="461D57DA"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hyperlink r:id="rId14" w:history="1">
              <w:r w:rsidRPr="00AC3A86">
                <w:rPr>
                  <w:rFonts w:ascii="Calibri" w:eastAsia="Times New Roman" w:hAnsi="Calibri" w:cs="Calibri"/>
                  <w:color w:val="0563C1"/>
                  <w:u w:val="single"/>
                  <w:lang w:val="en-US" w:eastAsia="fr-FR"/>
                </w:rPr>
                <w:t>http://www.yieldgap.org/</w:t>
              </w:r>
            </w:hyperlink>
          </w:p>
          <w:p w14:paraId="6EC019F6"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r w:rsidRPr="00AC3A86">
              <w:rPr>
                <w:rFonts w:ascii="Calibri" w:eastAsia="Times New Roman" w:hAnsi="Calibri" w:cs="Calibri"/>
                <w:color w:val="000000"/>
                <w:lang w:val="en-US" w:eastAsia="fr-FR"/>
              </w:rPr>
              <w:t xml:space="preserve"> </w:t>
            </w:r>
            <w:r w:rsidRPr="00AC3A86">
              <w:rPr>
                <w:rFonts w:ascii="Calibri" w:eastAsia="Times New Roman" w:hAnsi="Calibri" w:cs="Calibri"/>
                <w:color w:val="0563C1"/>
                <w:u w:val="single"/>
                <w:lang w:val="en-US" w:eastAsia="fr-FR"/>
              </w:rPr>
              <w:fldChar w:fldCharType="begin" w:fldLock="1"/>
            </w:r>
            <w:r>
              <w:rPr>
                <w:rFonts w:ascii="Calibri" w:eastAsia="Times New Roman" w:hAnsi="Calibri" w:cs="Calibri"/>
                <w:color w:val="0563C1"/>
                <w:u w:val="single"/>
                <w:lang w:val="en-US" w:eastAsia="fr-FR"/>
              </w:rPr>
              <w:instrText>ADDIN CSL_CITATION {"citationItems":[{"id":"ITEM-1","itemData":{"DOI":"10.1016/j.fcr.2012.09.009","ISSN":"0378-4290","author":[{"dropping-particle":"","family":"Ittersum","given":"Martin K","non-dropping-particle":"van","parse-names":false,"suffix":""},{"dropping-particle":"","family":"Cassman","given":"Kenneth G","non-dropping-particle":"","parse-names":false,"suffix":""},{"dropping-particle":"","family":"Grassini","given":"Patricio","non-dropping-particle":"","parse-names":false,"suffix":""},{"dropping-particle":"","family":"Wolf","given":"Joost","non-dropping-particle":"","parse-names":false,"suffix":""},{"dropping-particle":"","family":"Tittonell","given":"Pablo","non-dropping-particle":"","parse-names":false,"suffix":""},{"dropping-particle":"","family":"Hochman","given":"Zvi","non-dropping-particle":"","parse-names":false,"suffix":""}],"container-title":"Field Crops Research","id":"ITEM-1","issued":{"date-parts":[["2013"]]},"page":"4-17","publisher":"Elsevier B.V.","title":"Yield gap analysis with local to global relevance — A review","type":"article-journal","volume":"143"},"uris":["http://www.mendeley.com/documents/?uuid=0a225454-d0ee-4566-a093-be73d290d950"]},{"id":"ITEM-2","itemData":{"DOI":"10.1016/j.fcr.2015.03.005","ISSN":"0378-4290","author":[{"dropping-particle":"","family":"Bussel","given":"Lenny G J","non-dropping-particle":"van","parse-names":false,"suffix":""},{"dropping-particle":"","family":"Grassini","given":"Patricio","non-dropping-particle":"","parse-names":false,"suffix":""},{"dropping-particle":"","family":"Wart","given":"Justin","non-dropping-particle":"van","parse-names":false,"suffix":""},{"dropping-particle":"","family":"Wolf","given":"Joost","non-dropping-particle":"","parse-names":false,"suffix":""},{"dropping-particle":"","family":"Claessens","given":"Lieven","non-dropping-particle":"","parse-names":false,"suffix":""},{"dropping-particle":"","family":"Yang","given":"Haishun","non-dropping-particle":"","parse-names":false,"suffix":""},{"dropping-particle":"","family":"Boogaard","given":"Hendrik","non-dropping-particle":"","parse-names":false,"suffix":""},{"dropping-particle":"De","family":"Groot","given":"Hugo","non-dropping-particle":"","parse-names":false,"suffix":""},{"dropping-particle":"","family":"Saito","given":"Kazuki","non-dropping-particle":"","parse-names":false,"suffix":""},{"dropping-particle":"","family":"Cassman","given":"Kenneth G","non-dropping-particle":"","parse-names":false,"suffix":""},{"dropping-particle":"","family":"Ittersum","given":"Martin K","non-dropping-particle":"van","parse-names":false,"suffix":""}],"container-title":"Field Crops Research","id":"ITEM-2","issued":{"date-parts":[["2015"]]},"page":"98-108","publisher":"Elsevier B.V.","title":"From field to atlas : Upscaling of location-specific yield gap estimates","type":"article-journal","volume":"177"},"uris":["http://www.mendeley.com/documents/?uuid=0cebc623-6033-4b5f-babd-8436761bde0a"]}],"mendeley":{"formattedCitation":"&lt;sup&gt;5,15&lt;/sup&gt;","manualFormatting":"5, 14, 15","plainTextFormattedCitation":"5,15","previouslyFormattedCitation":"&lt;sup&gt;5,15&lt;/sup&gt;"},"properties":{"noteIndex":0},"schema":"https://github.com/citation-style-language/schema/raw/master/csl-citation.json"}</w:instrText>
            </w:r>
            <w:r w:rsidRPr="00AC3A86">
              <w:rPr>
                <w:rFonts w:ascii="Calibri" w:eastAsia="Times New Roman" w:hAnsi="Calibri" w:cs="Calibri"/>
                <w:color w:val="0563C1"/>
                <w:u w:val="single"/>
                <w:lang w:val="en-US" w:eastAsia="fr-FR"/>
              </w:rPr>
              <w:fldChar w:fldCharType="separate"/>
            </w:r>
            <w:r w:rsidRPr="00AC3A86">
              <w:rPr>
                <w:rFonts w:ascii="Calibri" w:eastAsia="Times New Roman" w:hAnsi="Calibri" w:cs="Calibri"/>
                <w:noProof/>
                <w:color w:val="0563C1"/>
                <w:vertAlign w:val="superscript"/>
                <w:lang w:val="en-US" w:eastAsia="fr-FR"/>
              </w:rPr>
              <w:t>5, 14, 15</w:t>
            </w:r>
            <w:r w:rsidRPr="00AC3A86">
              <w:rPr>
                <w:rFonts w:ascii="Calibri" w:eastAsia="Times New Roman" w:hAnsi="Calibri" w:cs="Calibri"/>
                <w:color w:val="0563C1"/>
                <w:u w:val="single"/>
                <w:lang w:val="en-US" w:eastAsia="fr-FR"/>
              </w:rPr>
              <w:fldChar w:fldCharType="end"/>
            </w:r>
          </w:p>
        </w:tc>
        <w:tc>
          <w:tcPr>
            <w:tcW w:w="2700" w:type="dxa"/>
            <w:tcBorders>
              <w:top w:val="nil"/>
              <w:left w:val="nil"/>
              <w:bottom w:val="single" w:sz="4" w:space="0" w:color="auto"/>
              <w:right w:val="nil"/>
            </w:tcBorders>
            <w:shd w:val="clear" w:color="auto" w:fill="auto"/>
            <w:noWrap/>
            <w:hideMark/>
          </w:tcPr>
          <w:p w14:paraId="5AB0F56A"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r w:rsidRPr="00AC3A86">
              <w:rPr>
                <w:rFonts w:ascii="Calibri" w:eastAsia="Times New Roman" w:hAnsi="Calibri" w:cs="Calibri"/>
                <w:color w:val="0563C1"/>
                <w:u w:val="single"/>
                <w:lang w:val="en-US" w:eastAsia="fr-FR"/>
              </w:rPr>
              <w:fldChar w:fldCharType="begin" w:fldLock="1"/>
            </w:r>
            <w:r w:rsidRPr="00AC3A86">
              <w:rPr>
                <w:rFonts w:ascii="Calibri" w:eastAsia="Times New Roman" w:hAnsi="Calibri" w:cs="Calibri"/>
                <w:color w:val="0563C1"/>
                <w:u w:val="single"/>
                <w:lang w:val="en-US" w:eastAsia="fr-FR"/>
              </w:rPr>
              <w:instrText>ADDIN CSL_CITATION {"citationItems":[{"id":"ITEM-1","itemData":{"DOI":"10.2134/agronj2013.0364","ISSN":"14350645","abstract":"he magnitude of yield gaps (YG) (potential yield-farmer yield) provides some indication of the prospects for increasing crop yield. Quantile regression analysis was applied to county soybean [Glycine max (L.) Merr.] yields (1972-2011) from Kentucky, Iowa, and Nebraska (irrigated) to estimate the attainable potential yield (APY) (yield in the most favorable environments in the 40-yr record). The YG for each year was the difference between the APY and the county yield. There was substantial variation in the 40-yr mean county yields (186-335 g m-2) within and among states. The mean county APY within each state increased linearly (P &lt; 0.0001) in conjunction with mean county yields. The mean relative YGs varied from 9 to 24% of APY and were largest in the lowest yielding counties and they decreased linearly (P &lt; 0.0001) as the mean county yield increased for each state. The large YGs were partially related to very low yields that occurred in some years during the 40-yr period and these YGs may partially reflect the ability of the soil to supply water to the crop. The difference between the maximum APY in each state and each county APY defined a second YG. The largest values ranged from 12 to 19% of the maximum APY. Irrigation should partially eliminate the first YG, but the second may be more intractable to the degree it is related to soil characteristics. These results suggest that soil conditions may play an important role in determining the size of YGs. © 2014 by the American Society of Agronomy, 5585 Guilford Road, Madison, WI 53711. All rights reserved.","author":[{"dropping-particle":"","family":"Egli","given":"D. B.","non-dropping-particle":"","parse-names":false,"suffix":""},{"dropping-particle":"","family":"Hatfield","given":"J. L.","non-dropping-particle":"","parse-names":false,"suffix":""}],"container-title":"Agronomy Journal","id":"ITEM-1","issue":"2","issued":{"date-parts":[["2014"]]},"page":"560-566","title":"Yield gaps and yield relationships in central U.S. Soybean production systems","type":"article-journal","volume":"106"},"uris":["http://www.mendeley.com/documents/?uuid=216b0aac-2085-4b15-ae31-dabb269de2f3"]},{"id":"ITEM-2","itemData":{"DOI":"10.2134/agronj14.0348","ISSN":"14350645","abstract":"The magnitude of yield gaps (YGs) (potential yield – farmer yield) provides some indication of the prospects for increasing crop yield. Quantile regression analysis was applied to county corn (Zea mays L.) yields (1972–2011) from Kentucky, Iowa, and Nebraska (irrigated) (total of 115 counties) to estimate the attainable potential yield (APY) (yield in the most favorable environments in the 40-yr record) for each county. The YG for each year was the difference between the APY and the county yield. Potential productivity (40-yr mean county yield) varied substantially within and among states (579–1001 g m–2). The mean relative yield gap (RYG) varied from 9 to 24% of APY and decreased linearly (p &lt; 0.0001) as the mean county yield increased for each state. Large YGs were partially related to very low yields that occurred in some years and may reflect the ability of the soil to supply water to the crop; other soil or management factors may also be involved since irrigation did not reduce the RYG in Nebraska to zero. The highest mean county APY was 30% (Kentucky), 22% (Iowa) and 14% (Nebraska) higher than the lowest county APY. This second YG occurred in favorable environments. Reducing the first YG in Kentucky and Iowa will probably require irrigation. Reducing the second YG may be more difficult if it is related to intractable soil characteristics. These results suggest that soil conditions may play an important role in determining the size of YGs in Midwestern corn production systems.","author":[{"dropping-particle":"","family":"Egli","given":"D. B.","non-dropping-particle":"","parse-names":false,"suffix":""},{"dropping-particle":"","family":"Hatfield","given":"J. L.","non-dropping-particle":"","parse-names":false,"suffix":""}],"container-title":"Agronomy Journal","id":"ITEM-2","issue":"6","issued":{"date-parts":[["2014"]]},"page":"2248-2254","title":"Yield and yield gaps in central U.S. corn production systems","type":"article-journal","volume":"106"},"uris":["http://www.mendeley.com/documents/?uuid=f78d4e87-8e06-460d-ac33-fe26be33d082"]},{"id":"ITEM-3","itemData":{"DOI":"10.1007/s10584-017-1997-x","ISSN":"15731480","abstract":"Maize (Zea mays L.) and soybean (Glycine max (L.) Merr.) are the dominant grain crops across the Midwest and are grown on 75% of the arable land with small but economically important crops of wheat (Triticum aestivum L.) and oats (Avena sativa L.) but economically important crops. Historically, there have been variations in annual yields for maize and soybean related to the seasonal weather patterns. Key concerns are the impacts of future climate change on maize and soybean production and their vulnerability to future climate changes. To evaluate these, we analyzed the yield gaps as the difference between the attainable and actual yield at the county level and observed meteorological data to determine which seasonal meteorological variables were dominant in quantifying the actual/attainable yields. July maximum temperatures, August minimum temperatures, and July–August total precipitation were found to be the significant factors affecting the yield gap. These relationships were used to estimate the change in the yield gap through 2100 using both the RCP 4.5 and 8.5 climate scenarios for these variables for selected counties across the Midwest. Yield gaps increased with time for maize across the Midwest with the largest increases in the southern portion of the Corn Belt showing a large north-south gradient in the increase of the yield gap and minimal east-west gradient. Soybean was not as sensitive as maize because the projected temperatures do not exceed optimum temperature ranges for growth and reductions in production that are more sensitive to precipitation changes during the reproductive stages. Adaptation strategies for maize and soybean will require more innovation than simple agronomic management and require the linkage between geneticists, agronomists, and agricultural meteorologists to develop innovative strategies to preserve production in the Midwest.","author":[{"dropping-particle":"","family":"Hatfield","given":"J. L.","non-dropping-particle":"","parse-names":false,"suffix":""},{"dropping-particle":"","family":"Wright-Morton","given":"Lois","non-dropping-particle":"","parse-names":false,"suffix":""},{"dropping-particle":"","family":"Hall","given":"Beth","non-dropping-particle":"","parse-names":false,"suffix":""}],"container-title":"Climatic Change","id":"ITEM-3","issue":"1-2","issued":{"date-parts":[["2018"]]},"page":"263-275","publisher":"Climatic Change","title":"Vulnerability of grain crops and croplands in the Midwest to climatic variability and adaptation strategies","type":"article-journal","volume":"146"},"uris":["http://www.mendeley.com/documents/?uuid=2a51795e-f02f-473e-ae51-31f25375a15d"]}],"mendeley":{"formattedCitation":"&lt;sup&gt;20–22&lt;/sup&gt;","plainTextFormattedCitation":"20–22","previouslyFormattedCitation":"&lt;sup&gt;20–22&lt;/sup&gt;"},"properties":{"noteIndex":0},"schema":"https://github.com/citation-style-language/schema/raw/master/csl-citation.json"}</w:instrText>
            </w:r>
            <w:r w:rsidRPr="00AC3A86">
              <w:rPr>
                <w:rFonts w:ascii="Calibri" w:eastAsia="Times New Roman" w:hAnsi="Calibri" w:cs="Calibri"/>
                <w:color w:val="0563C1"/>
                <w:u w:val="single"/>
                <w:lang w:val="en-US" w:eastAsia="fr-FR"/>
              </w:rPr>
              <w:fldChar w:fldCharType="separate"/>
            </w:r>
            <w:r w:rsidRPr="00AC3A86">
              <w:rPr>
                <w:rFonts w:ascii="Calibri" w:eastAsia="Times New Roman" w:hAnsi="Calibri" w:cs="Calibri"/>
                <w:noProof/>
                <w:color w:val="0563C1"/>
                <w:vertAlign w:val="superscript"/>
                <w:lang w:val="en-US" w:eastAsia="fr-FR"/>
              </w:rPr>
              <w:t>20–22</w:t>
            </w:r>
            <w:r w:rsidRPr="00AC3A86">
              <w:rPr>
                <w:rFonts w:ascii="Calibri" w:eastAsia="Times New Roman" w:hAnsi="Calibri" w:cs="Calibri"/>
                <w:color w:val="0563C1"/>
                <w:u w:val="single"/>
                <w:lang w:val="en-US" w:eastAsia="fr-FR"/>
              </w:rPr>
              <w:fldChar w:fldCharType="end"/>
            </w:r>
          </w:p>
        </w:tc>
        <w:tc>
          <w:tcPr>
            <w:tcW w:w="2610" w:type="dxa"/>
            <w:tcBorders>
              <w:top w:val="nil"/>
              <w:left w:val="nil"/>
              <w:bottom w:val="single" w:sz="4" w:space="0" w:color="auto"/>
              <w:right w:val="nil"/>
            </w:tcBorders>
            <w:shd w:val="clear" w:color="auto" w:fill="auto"/>
            <w:hideMark/>
          </w:tcPr>
          <w:p w14:paraId="51C3D7DF"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hyperlink r:id="rId15" w:history="1">
              <w:r w:rsidRPr="00AC3A86">
                <w:rPr>
                  <w:rFonts w:ascii="Calibri" w:eastAsia="Times New Roman" w:hAnsi="Calibri" w:cs="Calibri"/>
                  <w:color w:val="0563C1"/>
                  <w:u w:val="single"/>
                  <w:lang w:val="en-US" w:eastAsia="fr-FR"/>
                </w:rPr>
                <w:t>https://github.com/ramiadantsoa/Yield_trends</w:t>
              </w:r>
            </w:hyperlink>
            <w:r w:rsidRPr="00AC3A86">
              <w:rPr>
                <w:rFonts w:ascii="Calibri" w:eastAsia="Times New Roman" w:hAnsi="Calibri" w:cs="Calibri"/>
                <w:color w:val="000000"/>
                <w:lang w:val="en-US" w:eastAsia="fr-FR"/>
              </w:rPr>
              <w:t xml:space="preserve"> , </w:t>
            </w:r>
            <w:r w:rsidRPr="00AC3A86">
              <w:rPr>
                <w:rFonts w:ascii="Calibri" w:eastAsia="Times New Roman" w:hAnsi="Calibri" w:cs="Calibri"/>
                <w:color w:val="0563C1"/>
                <w:u w:val="single"/>
                <w:lang w:val="en-US" w:eastAsia="fr-FR"/>
              </w:rPr>
              <w:fldChar w:fldCharType="begin" w:fldLock="1"/>
            </w:r>
            <w:r w:rsidRPr="00AC3A86">
              <w:rPr>
                <w:rFonts w:ascii="Calibri" w:eastAsia="Times New Roman" w:hAnsi="Calibri" w:cs="Calibri"/>
                <w:color w:val="0563C1"/>
                <w:u w:val="single"/>
                <w:lang w:val="en-US" w:eastAsia="fr-FR"/>
              </w:rPr>
              <w:instrText>ADDIN CSL_CITATION {"citationItems":[{"id":"ITEM-1","itemData":{"DOI":"10.1002/csc2.20089","ISSN":"14350653","abstract":"Future crop yield increases are unlikely to keep pace with the dietary needs of a global human population expected to reach nine billion by 2050. This study used United States Department of Agriculture county-level yield data and autoregressive moving-average models to examine how changes in maize (Zea mays L.), soybean (Glycine max L.), and winter wheat (Triticum aestivum L.) yields, temporal variability in yields, and yield gaps have varied across space and time from 1970–2017. The majority of county-level yields have increased linearly, although the increases in wheat lag behind corn and soybean. Where trends were nonlinear, accelerating yields were found in more mesic regions east of the Great Plains, and decelerating yields were found in the drier central and western United States. Mean crop yields were positively correlated with rate of yield increase and negatively correlated with interannual variability. Hotspots were identified in Minnesota, Iowa, Illinois, Nebraska, and some West Coast states where crop yields are currently the largest, have the lowest yield gaps, and since 1970, have had the highest rates of change and/or are experiencing an acceleration of annual yield gains. Across all crop types, the counties with the lowest average yields, highest yield gaps, lowest rates of yield increase over time, and/or deceleration in yield increases were predominantly found in the central United States, including the Dakotas, Kansas, Oklahoma, and Texas. Regions of greatest performance generally have fertile soils, plentiful growing season rainfall, and optimal growing season length and temperatures, or are benefitting from irrigation.","author":[{"dropping-particle":"","family":"Kucharik","given":"Christopher J.","non-dropping-particle":"","parse-names":false,"suffix":""},{"dropping-particle":"","family":"Ramiadantsoa","given":"Tanjona","non-dropping-particle":"","parse-names":false,"suffix":""},{"dropping-particle":"","family":"Zhang","given":"Jien","non-dropping-particle":"","parse-names":false,"suffix":""},{"dropping-particle":"","family":"Ives","given":"Anthony R.","non-dropping-particle":"","parse-names":false,"suffix":""}],"container-title":"Crop Science","id":"ITEM-1","issue":"4","issued":{"date-parts":[["2020"]]},"page":"2085-2101","title":"Spatiotemporal trends in crop yields, yield variability, and yield gaps across the USA","type":"article-journal","volume":"60"},"uris":["http://www.mendeley.com/documents/?uuid=4058982c-f31b-4df7-9c25-2ef4462fdbcd"]}],"mendeley":{"formattedCitation":"&lt;sup&gt;23&lt;/sup&gt;","plainTextFormattedCitation":"23","previouslyFormattedCitation":"&lt;sup&gt;23&lt;/sup&gt;"},"properties":{"noteIndex":0},"schema":"https://github.com/citation-style-language/schema/raw/master/csl-citation.json"}</w:instrText>
            </w:r>
            <w:r w:rsidRPr="00AC3A86">
              <w:rPr>
                <w:rFonts w:ascii="Calibri" w:eastAsia="Times New Roman" w:hAnsi="Calibri" w:cs="Calibri"/>
                <w:color w:val="0563C1"/>
                <w:u w:val="single"/>
                <w:lang w:val="en-US" w:eastAsia="fr-FR"/>
              </w:rPr>
              <w:fldChar w:fldCharType="separate"/>
            </w:r>
            <w:r w:rsidRPr="00AC3A86">
              <w:rPr>
                <w:rFonts w:ascii="Calibri" w:eastAsia="Times New Roman" w:hAnsi="Calibri" w:cs="Calibri"/>
                <w:noProof/>
                <w:color w:val="0563C1"/>
                <w:vertAlign w:val="superscript"/>
                <w:lang w:val="en-US" w:eastAsia="fr-FR"/>
              </w:rPr>
              <w:t>23</w:t>
            </w:r>
            <w:r w:rsidRPr="00AC3A86">
              <w:rPr>
                <w:rFonts w:ascii="Calibri" w:eastAsia="Times New Roman" w:hAnsi="Calibri" w:cs="Calibri"/>
                <w:color w:val="0563C1"/>
                <w:u w:val="single"/>
                <w:lang w:val="en-US" w:eastAsia="fr-FR"/>
              </w:rPr>
              <w:fldChar w:fldCharType="end"/>
            </w:r>
          </w:p>
        </w:tc>
        <w:tc>
          <w:tcPr>
            <w:tcW w:w="3420" w:type="dxa"/>
            <w:tcBorders>
              <w:top w:val="nil"/>
              <w:left w:val="nil"/>
              <w:bottom w:val="single" w:sz="4" w:space="0" w:color="auto"/>
              <w:right w:val="nil"/>
            </w:tcBorders>
            <w:shd w:val="clear" w:color="auto" w:fill="auto"/>
            <w:hideMark/>
          </w:tcPr>
          <w:p w14:paraId="613D6339" w14:textId="77777777" w:rsidR="004263E6" w:rsidRPr="00AC3A86" w:rsidRDefault="004263E6" w:rsidP="0019386D">
            <w:pPr>
              <w:spacing w:after="0" w:line="240" w:lineRule="auto"/>
              <w:jc w:val="center"/>
              <w:rPr>
                <w:rFonts w:ascii="Calibri" w:eastAsia="Times New Roman" w:hAnsi="Calibri" w:cs="Calibri"/>
                <w:color w:val="0563C1"/>
                <w:u w:val="single"/>
                <w:lang w:val="en-US" w:eastAsia="fr-FR"/>
              </w:rPr>
            </w:pPr>
            <w:hyperlink r:id="rId16" w:history="1">
              <w:r w:rsidRPr="00AC3A86">
                <w:rPr>
                  <w:rFonts w:ascii="Calibri" w:eastAsia="Times New Roman" w:hAnsi="Calibri" w:cs="Calibri"/>
                  <w:color w:val="0563C1"/>
                  <w:u w:val="single"/>
                  <w:lang w:val="en-US" w:eastAsia="fr-FR"/>
                </w:rPr>
                <w:t>http://www.earthstat.org/yield-gaps-climate-bins-major-crops/</w:t>
              </w:r>
            </w:hyperlink>
            <w:r w:rsidRPr="00AC3A86">
              <w:rPr>
                <w:rFonts w:ascii="Calibri" w:eastAsia="Times New Roman" w:hAnsi="Calibri" w:cs="Calibri"/>
                <w:color w:val="000000"/>
                <w:lang w:val="en-US" w:eastAsia="fr-FR"/>
              </w:rPr>
              <w:t xml:space="preserve"> , </w:t>
            </w:r>
            <w:r w:rsidRPr="00AC3A86">
              <w:rPr>
                <w:rFonts w:ascii="Calibri" w:eastAsia="Times New Roman" w:hAnsi="Calibri" w:cs="Calibri"/>
                <w:color w:val="0563C1"/>
                <w:u w:val="single"/>
                <w:lang w:val="en-US" w:eastAsia="fr-FR"/>
              </w:rPr>
              <w:fldChar w:fldCharType="begin" w:fldLock="1"/>
            </w:r>
            <w:r>
              <w:rPr>
                <w:rFonts w:ascii="Calibri" w:eastAsia="Times New Roman" w:hAnsi="Calibri" w:cs="Calibri"/>
                <w:color w:val="0563C1"/>
                <w:u w:val="single"/>
                <w:lang w:val="en-US" w:eastAsia="fr-FR"/>
              </w:rPr>
              <w:instrText>ADDIN CSL_CITATION {"citationItems":[{"id":"ITEM-1","itemData":{"DOI":"10.1038/nature11420","ISSN":"14764687","PMID":"22932270","abstract":"In the coming decades, a crucial challenge for humanity will be meeting future food demands without undermining further the integrity of the Earth's environmental systems. Agricultural systems are already major forces of global environmental degradation, but population growth and increasing consumption of calorie-and meat-intensive diets are expected to roughly double human food demand by 2050 (ref. 3). Responding to these pressures, there is increasing focus on 'sustainable intensification' as a means to increase yields on underperforming landscapes while simultaneously decreasing the environmental impacts of agricultural systems. However, it is unclear what such efforts might entail for the future of global agricultural landscapes. Here we present a global-scale assessment of intensification prospects from closing 'yield gaps' (differences between observed yields and those attainable in a given region), the spatial patterns of agricultural management practices and yield limitation, and the management changes that may be necessary to achieve increased yields. We find that global yield variability is heavily controlled by fertilizer use, irrigation and climate. Large production increases (45% to 70% for most crops) are possible from closing yield gaps to 100% of attainable yields, and the changes to management practices that are needed to close yield gaps vary considerably by region and current intensity. Furthermore, we find that there are large opportunities to reduce the environmental impact of agriculture by eliminating nutrient overuse, while still allowing an approximately 30% increase in production of major cereals (maize, wheat and rice). Meeting the food security and sustainability challenges of the coming decades is possible, but will require considerable changes in nutrient and water management. © 2012 Macmillan Publishers Limited. All rights reserved.","author":[{"dropping-particle":"","family":"Mueller","given":"Nathaniel D.","non-dropping-particle":"","parse-names":false,"suffix":""},{"dropping-particle":"","family":"Gerber","given":"James S.","non-dropping-particle":"","parse-names":false,"suffix":""},{"dropping-particle":"","family":"Johnston","given":"Matt","non-dropping-particle":"","parse-names":false,"suffix":""},{"dropping-particle":"","family":"Ray","given":"Deepak K.","non-dropping-particle":"","parse-names":false,"suffix":""},{"dropping-particle":"","family":"Ramankutty","given":"Navin","non-dropping-particle":"","parse-names":false,"suffix":""},{"dropping-particle":"","family":"Foley","given":"Jonathan A.","non-dropping-particle":"","parse-names":false,"suffix":""}],"container-title":"Nature","id":"ITEM-1","issue":"7419","issued":{"date-parts":[["2012"]]},"page":"254-257","publisher":"Nature Publishing Group","title":"Closing yield gaps through nutrient and water management","type":"article-journal","volume":"490"},"uris":["http://www.mendeley.com/documents/?uuid=d52abddd-4368-4d0c-bc93-4cdcc0de7d33"]}],"mendeley":{"formattedCitation":"&lt;sup&gt;24&lt;/sup&gt;","plainTextFormattedCitation":"24","previouslyFormattedCitation":"&lt;sup&gt;24&lt;/sup&gt;"},"properties":{"noteIndex":0},"schema":"https://github.com/citation-style-language/schema/raw/master/csl-citation.json"}</w:instrText>
            </w:r>
            <w:r w:rsidRPr="00AC3A86">
              <w:rPr>
                <w:rFonts w:ascii="Calibri" w:eastAsia="Times New Roman" w:hAnsi="Calibri" w:cs="Calibri"/>
                <w:color w:val="0563C1"/>
                <w:u w:val="single"/>
                <w:lang w:val="en-US" w:eastAsia="fr-FR"/>
              </w:rPr>
              <w:fldChar w:fldCharType="separate"/>
            </w:r>
            <w:r w:rsidRPr="00AC3A86">
              <w:rPr>
                <w:rFonts w:ascii="Calibri" w:eastAsia="Times New Roman" w:hAnsi="Calibri" w:cs="Calibri"/>
                <w:noProof/>
                <w:color w:val="0563C1"/>
                <w:vertAlign w:val="superscript"/>
                <w:lang w:val="en-US" w:eastAsia="fr-FR"/>
              </w:rPr>
              <w:t>24</w:t>
            </w:r>
            <w:r w:rsidRPr="00AC3A86">
              <w:rPr>
                <w:rFonts w:ascii="Calibri" w:eastAsia="Times New Roman" w:hAnsi="Calibri" w:cs="Calibri"/>
                <w:color w:val="0563C1"/>
                <w:u w:val="single"/>
                <w:lang w:val="en-US" w:eastAsia="fr-FR"/>
              </w:rPr>
              <w:fldChar w:fldCharType="end"/>
            </w:r>
          </w:p>
        </w:tc>
      </w:tr>
    </w:tbl>
    <w:p w14:paraId="26CF5E1F" w14:textId="77777777" w:rsidR="004263E6" w:rsidRPr="00AC3A86" w:rsidRDefault="004263E6" w:rsidP="004263E6">
      <w:pPr>
        <w:spacing w:line="480" w:lineRule="auto"/>
        <w:rPr>
          <w:lang w:val="en-US"/>
        </w:rPr>
      </w:pPr>
    </w:p>
    <w:p w14:paraId="2E181B61" w14:textId="77777777" w:rsidR="001C76BA" w:rsidRDefault="001C76BA"/>
    <w:sectPr w:rsidR="001C76BA" w:rsidSect="002A5CD4">
      <w:pgSz w:w="16838" w:h="11906" w:orient="landscape"/>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0452150"/>
      <w:docPartObj>
        <w:docPartGallery w:val="Page Numbers (Bottom of Page)"/>
        <w:docPartUnique/>
      </w:docPartObj>
    </w:sdtPr>
    <w:sdtContent>
      <w:p w14:paraId="73808383" w14:textId="77777777" w:rsidR="00000000" w:rsidRDefault="00000000" w:rsidP="00036A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422E87" w14:textId="77777777" w:rsidR="00000000" w:rsidRDefault="00000000" w:rsidP="00947F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0967938"/>
      <w:docPartObj>
        <w:docPartGallery w:val="Page Numbers (Bottom of Page)"/>
        <w:docPartUnique/>
      </w:docPartObj>
    </w:sdtPr>
    <w:sdtContent>
      <w:p w14:paraId="048D17FC" w14:textId="77777777" w:rsidR="00000000" w:rsidRDefault="00000000" w:rsidP="00036A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14:paraId="33DDD792" w14:textId="77777777" w:rsidR="00000000" w:rsidRDefault="00000000" w:rsidP="00947F2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3E6"/>
    <w:rsid w:val="001C76BA"/>
    <w:rsid w:val="002A5CD4"/>
    <w:rsid w:val="00426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BCCA8"/>
  <w15:chartTrackingRefBased/>
  <w15:docId w15:val="{8C3F99D0-1E20-4173-8B8A-EE88CE713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3E6"/>
    <w:rPr>
      <w:kern w:val="0"/>
      <w:lang w:val="fr-F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OMHead">
    <w:name w:val="SOMHead"/>
    <w:basedOn w:val="Normal"/>
    <w:rsid w:val="004263E6"/>
    <w:pPr>
      <w:keepNext/>
      <w:spacing w:before="240" w:after="0" w:line="240" w:lineRule="auto"/>
      <w:outlineLvl w:val="0"/>
    </w:pPr>
    <w:rPr>
      <w:rFonts w:ascii="Times New Roman" w:eastAsia="Times New Roman" w:hAnsi="Times New Roman" w:cs="Times New Roman"/>
      <w:b/>
      <w:kern w:val="28"/>
      <w:sz w:val="24"/>
      <w:szCs w:val="24"/>
      <w:lang w:val="en-US"/>
    </w:rPr>
  </w:style>
  <w:style w:type="paragraph" w:styleId="Footer">
    <w:name w:val="footer"/>
    <w:basedOn w:val="Normal"/>
    <w:link w:val="FooterChar"/>
    <w:uiPriority w:val="99"/>
    <w:unhideWhenUsed/>
    <w:rsid w:val="004263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63E6"/>
    <w:rPr>
      <w:kern w:val="0"/>
      <w:lang w:val="fr-FR"/>
      <w14:ligatures w14:val="none"/>
    </w:rPr>
  </w:style>
  <w:style w:type="character" w:styleId="PageNumber">
    <w:name w:val="page number"/>
    <w:basedOn w:val="DefaultParagraphFont"/>
    <w:uiPriority w:val="99"/>
    <w:semiHidden/>
    <w:unhideWhenUsed/>
    <w:rsid w:val="004263E6"/>
  </w:style>
  <w:style w:type="character" w:styleId="LineNumber">
    <w:name w:val="line number"/>
    <w:basedOn w:val="DefaultParagraphFont"/>
    <w:uiPriority w:val="99"/>
    <w:semiHidden/>
    <w:unhideWhenUsed/>
    <w:rsid w:val="004263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earthstat.org/yield-gaps-climate-bins-major-crop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hyperlink" Target="http://www.yieldgap.or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earthstat.org/yield-gaps-climate-bins-major-crops/"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www.earthstat.org/yield-gaps-climate-bins-major-crops/" TargetMode="External"/><Relationship Id="rId5" Type="http://schemas.openxmlformats.org/officeDocument/2006/relationships/image" Target="media/image2.png"/><Relationship Id="rId15" Type="http://schemas.openxmlformats.org/officeDocument/2006/relationships/hyperlink" Target="https://github.com/ramiadantsoa/Yield_trends" TargetMode="External"/><Relationship Id="rId10" Type="http://schemas.openxmlformats.org/officeDocument/2006/relationships/hyperlink" Target="https://github.com/ramiadantsoa/Yield_trends" TargetMode="External"/><Relationship Id="rId4" Type="http://schemas.openxmlformats.org/officeDocument/2006/relationships/image" Target="media/image1.png"/><Relationship Id="rId9" Type="http://schemas.openxmlformats.org/officeDocument/2006/relationships/hyperlink" Target="http://www.yieldgap.org/" TargetMode="External"/><Relationship Id="rId14" Type="http://schemas.openxmlformats.org/officeDocument/2006/relationships/hyperlink" Target="http://www.yieldga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5467</Words>
  <Characters>31165</Characters>
  <Application>Microsoft Office Word</Application>
  <DocSecurity>0</DocSecurity>
  <Lines>259</Lines>
  <Paragraphs>73</Paragraphs>
  <ScaleCrop>false</ScaleCrop>
  <Company>SpringerNature</Company>
  <LinksUpToDate>false</LinksUpToDate>
  <CharactersWithSpaces>36559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2024-05-03T08:06:00Z</dcterms:created>
  <dcterms:modified xsi:type="dcterms:W3CDTF">2024-05-03T08:07:00Z</dcterms:modified>
</cp:coreProperties>
</file>