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3BE05" w14:textId="42B880DD" w:rsidR="00FB2740" w:rsidRDefault="002D4BF1" w:rsidP="002D4BF1">
      <w:pPr>
        <w:pStyle w:val="Heading1"/>
        <w:rPr>
          <w:lang w:val="en-US"/>
        </w:rPr>
      </w:pPr>
      <w:r>
        <w:rPr>
          <w:lang w:val="en-US"/>
        </w:rPr>
        <w:t>Supplementary material</w:t>
      </w:r>
    </w:p>
    <w:p w14:paraId="692D3B8F" w14:textId="2D53AF11" w:rsidR="002D4BF1" w:rsidRDefault="002D4BF1" w:rsidP="002D4BF1">
      <w:pPr>
        <w:pStyle w:val="Heading2"/>
        <w:numPr>
          <w:ilvl w:val="0"/>
          <w:numId w:val="1"/>
        </w:numPr>
        <w:rPr>
          <w:lang w:val="en-US"/>
        </w:rPr>
      </w:pPr>
      <w:r>
        <w:rPr>
          <w:lang w:val="en-US"/>
        </w:rPr>
        <w:t>LIFE-</w:t>
      </w:r>
      <w:proofErr w:type="gramStart"/>
      <w:r>
        <w:rPr>
          <w:lang w:val="en-US"/>
        </w:rPr>
        <w:t>restore</w:t>
      </w:r>
      <w:proofErr w:type="gramEnd"/>
      <w:r>
        <w:rPr>
          <w:lang w:val="en-US"/>
        </w:rPr>
        <w:t xml:space="preserve"> </w:t>
      </w:r>
    </w:p>
    <w:p w14:paraId="7FB32843" w14:textId="067CD183" w:rsidR="003F3D9E" w:rsidRDefault="00993509" w:rsidP="002D4BF1">
      <w:pPr>
        <w:rPr>
          <w:lang w:val="en-US"/>
        </w:rPr>
      </w:pPr>
      <w:r>
        <w:rPr>
          <w:lang w:val="en-US"/>
        </w:rPr>
        <w:t xml:space="preserve">The underlying principle </w:t>
      </w:r>
      <w:r w:rsidR="006F74C4">
        <w:rPr>
          <w:lang w:val="en-US"/>
        </w:rPr>
        <w:t xml:space="preserve">of the Land-cover Impact on Future Extinctions (LIFE) metric </w:t>
      </w:r>
      <w:r>
        <w:rPr>
          <w:lang w:val="en-US"/>
        </w:rPr>
        <w:t>is that the probability of an individual species</w:t>
      </w:r>
      <w:r w:rsidR="001F7A68">
        <w:rPr>
          <w:lang w:val="en-US"/>
        </w:rPr>
        <w:t>’</w:t>
      </w:r>
      <w:r w:rsidR="000130AF">
        <w:rPr>
          <w:lang w:val="en-US"/>
        </w:rPr>
        <w:t xml:space="preserve"> extinction</w:t>
      </w:r>
      <w:r w:rsidR="008C4548">
        <w:rPr>
          <w:lang w:val="en-US"/>
        </w:rPr>
        <w:t xml:space="preserve"> </w:t>
      </w:r>
      <w:r w:rsidR="000130AF">
        <w:rPr>
          <w:lang w:val="en-US"/>
        </w:rPr>
        <w:t>is related</w:t>
      </w:r>
      <w:r w:rsidR="001F7A68">
        <w:rPr>
          <w:lang w:val="en-US"/>
        </w:rPr>
        <w:t xml:space="preserve"> non-linearly</w:t>
      </w:r>
      <w:r w:rsidR="000130AF">
        <w:rPr>
          <w:lang w:val="en-US"/>
        </w:rPr>
        <w:t xml:space="preserve"> </w:t>
      </w:r>
      <w:r w:rsidR="009175EA">
        <w:rPr>
          <w:lang w:val="en-US"/>
        </w:rPr>
        <w:t xml:space="preserve">to the area of habitat available to the species compared to </w:t>
      </w:r>
      <w:r w:rsidR="008C4548">
        <w:rPr>
          <w:lang w:val="en-US"/>
        </w:rPr>
        <w:t xml:space="preserve">the area it would have in the absence of humans. </w:t>
      </w:r>
      <w:r w:rsidR="00E40C93">
        <w:rPr>
          <w:lang w:val="en-US"/>
        </w:rPr>
        <w:t>F</w:t>
      </w:r>
      <w:r w:rsidR="008C4548">
        <w:rPr>
          <w:lang w:val="en-US"/>
        </w:rPr>
        <w:t>or a given land-use change,</w:t>
      </w:r>
      <w:r w:rsidR="00E40C93">
        <w:rPr>
          <w:lang w:val="en-US"/>
        </w:rPr>
        <w:t xml:space="preserve"> LIFE</w:t>
      </w:r>
      <w:r w:rsidR="006E51A8">
        <w:rPr>
          <w:lang w:val="en-US"/>
        </w:rPr>
        <w:t xml:space="preserve"> </w:t>
      </w:r>
      <w:r w:rsidR="00E40C93">
        <w:rPr>
          <w:lang w:val="en-US"/>
        </w:rPr>
        <w:t>score is calculated</w:t>
      </w:r>
      <w:r w:rsidR="008C4548">
        <w:rPr>
          <w:lang w:val="en-US"/>
        </w:rPr>
        <w:t xml:space="preserve"> the </w:t>
      </w:r>
      <w:r w:rsidR="00E40C93">
        <w:rPr>
          <w:lang w:val="en-US"/>
        </w:rPr>
        <w:t xml:space="preserve">sum of the </w:t>
      </w:r>
      <w:r w:rsidR="008C4548">
        <w:rPr>
          <w:lang w:val="en-US"/>
        </w:rPr>
        <w:t>change</w:t>
      </w:r>
      <w:r w:rsidR="00F276A3">
        <w:rPr>
          <w:lang w:val="en-US"/>
        </w:rPr>
        <w:t>s</w:t>
      </w:r>
      <w:r w:rsidR="008C4548">
        <w:rPr>
          <w:lang w:val="en-US"/>
        </w:rPr>
        <w:t xml:space="preserve"> in this probability of extinction is calculated for ~30000 terrestrial </w:t>
      </w:r>
      <w:r w:rsidR="0006561C">
        <w:rPr>
          <w:lang w:val="en-US"/>
        </w:rPr>
        <w:t>vertebrates</w:t>
      </w:r>
      <w:r w:rsidR="002A5D3D">
        <w:rPr>
          <w:lang w:val="en-US"/>
        </w:rPr>
        <w:t>, which is</w:t>
      </w:r>
      <w:r w:rsidR="00F276A3">
        <w:rPr>
          <w:lang w:val="en-US"/>
        </w:rPr>
        <w:t xml:space="preserve"> mathematically equivalent to the change in expected number of extinctions </w:t>
      </w:r>
      <w:r w:rsidR="00BA7F7E">
        <w:rPr>
          <w:lang w:val="en-US"/>
        </w:rPr>
        <w:t>caused by the land-cover change (see Eyres et al in review for more detail).</w:t>
      </w:r>
      <w:r w:rsidR="00F276A3">
        <w:rPr>
          <w:lang w:val="en-US"/>
        </w:rPr>
        <w:t xml:space="preserve"> </w:t>
      </w:r>
      <w:r w:rsidR="00E74BC5">
        <w:rPr>
          <w:lang w:val="en-US"/>
        </w:rPr>
        <w:t>The metric consists of marginal values, and has two components: LIFE</w:t>
      </w:r>
      <w:r w:rsidR="006E51A8">
        <w:rPr>
          <w:lang w:val="en-US"/>
        </w:rPr>
        <w:t>-</w:t>
      </w:r>
      <w:r w:rsidR="00E74BC5">
        <w:rPr>
          <w:lang w:val="en-US"/>
        </w:rPr>
        <w:t>restore, and LIFE</w:t>
      </w:r>
      <w:r w:rsidR="006E51A8">
        <w:rPr>
          <w:lang w:val="en-US"/>
        </w:rPr>
        <w:t>-</w:t>
      </w:r>
      <w:r w:rsidR="00E74BC5">
        <w:rPr>
          <w:lang w:val="en-US"/>
        </w:rPr>
        <w:t xml:space="preserve">convert. </w:t>
      </w:r>
      <w:r w:rsidR="005E3520">
        <w:rPr>
          <w:lang w:val="en-US"/>
        </w:rPr>
        <w:t>LIFE</w:t>
      </w:r>
      <w:r w:rsidR="006E51A8">
        <w:rPr>
          <w:lang w:val="en-US"/>
        </w:rPr>
        <w:t>-</w:t>
      </w:r>
      <w:r w:rsidR="005E3520">
        <w:rPr>
          <w:lang w:val="en-US"/>
        </w:rPr>
        <w:t>restore is a global layer of the marginal LIFE</w:t>
      </w:r>
      <w:r w:rsidR="006E51A8">
        <w:rPr>
          <w:lang w:val="en-US"/>
        </w:rPr>
        <w:t xml:space="preserve"> </w:t>
      </w:r>
      <w:r w:rsidR="005E3520">
        <w:rPr>
          <w:lang w:val="en-US"/>
        </w:rPr>
        <w:t>scores</w:t>
      </w:r>
      <w:r w:rsidR="00A3119A">
        <w:rPr>
          <w:lang w:val="en-US"/>
        </w:rPr>
        <w:t xml:space="preserve"> arising </w:t>
      </w:r>
      <w:r w:rsidR="00AD495D">
        <w:rPr>
          <w:lang w:val="en-US"/>
        </w:rPr>
        <w:t xml:space="preserve">when </w:t>
      </w:r>
      <w:r w:rsidR="00874296">
        <w:rPr>
          <w:lang w:val="en-US"/>
        </w:rPr>
        <w:t xml:space="preserve">one cell of agricultural land (pasture or cropland) </w:t>
      </w:r>
      <w:r w:rsidR="00A42EFF">
        <w:rPr>
          <w:lang w:val="en-US"/>
        </w:rPr>
        <w:t xml:space="preserve">is ‘restored’ to potential natural vegetation – largely this translates to gains for biodiversity (i.e. most species will gain area of habitat and hence reduced extinction risk </w:t>
      </w:r>
      <w:r w:rsidR="00DA730A">
        <w:rPr>
          <w:lang w:val="en-US"/>
        </w:rPr>
        <w:t>from natural habitat over agriculture). Conversely, LIFE</w:t>
      </w:r>
      <w:r w:rsidR="006E51A8">
        <w:rPr>
          <w:lang w:val="en-US"/>
        </w:rPr>
        <w:t>-</w:t>
      </w:r>
      <w:r w:rsidR="00DA730A">
        <w:rPr>
          <w:lang w:val="en-US"/>
        </w:rPr>
        <w:t xml:space="preserve">convert is a global layer of LIFE scores when converting </w:t>
      </w:r>
      <w:r w:rsidR="0037204B">
        <w:rPr>
          <w:lang w:val="en-US"/>
        </w:rPr>
        <w:t>natural habitat to arable land, which for most but not all species will result in an increase</w:t>
      </w:r>
      <w:r w:rsidR="00837122">
        <w:rPr>
          <w:lang w:val="en-US"/>
        </w:rPr>
        <w:t xml:space="preserve"> in</w:t>
      </w:r>
      <w:r w:rsidR="0037204B">
        <w:rPr>
          <w:lang w:val="en-US"/>
        </w:rPr>
        <w:t xml:space="preserve"> extinction risk.</w:t>
      </w:r>
      <w:r w:rsidR="006E51A8">
        <w:rPr>
          <w:lang w:val="en-US"/>
        </w:rPr>
        <w:t xml:space="preserve"> In this study we use a modified version of</w:t>
      </w:r>
      <w:r w:rsidR="00E6602B">
        <w:rPr>
          <w:lang w:val="en-US"/>
        </w:rPr>
        <w:t xml:space="preserve"> the LIFE-restore layer</w:t>
      </w:r>
      <w:r w:rsidR="006D3540">
        <w:rPr>
          <w:lang w:val="en-US"/>
        </w:rPr>
        <w:t xml:space="preserve"> – by </w:t>
      </w:r>
      <w:r w:rsidR="00866AAE">
        <w:rPr>
          <w:lang w:val="en-US"/>
        </w:rPr>
        <w:t xml:space="preserve">estimating </w:t>
      </w:r>
      <w:r w:rsidR="006D3540">
        <w:rPr>
          <w:lang w:val="en-US"/>
        </w:rPr>
        <w:t>the</w:t>
      </w:r>
      <w:r w:rsidR="0083741B">
        <w:rPr>
          <w:lang w:val="en-US"/>
        </w:rPr>
        <w:t xml:space="preserve"> land-footprint of </w:t>
      </w:r>
      <w:r w:rsidR="00866AAE">
        <w:rPr>
          <w:lang w:val="en-US"/>
        </w:rPr>
        <w:t>producing a kilogram of a given commodity</w:t>
      </w:r>
      <w:r w:rsidR="0021445F">
        <w:rPr>
          <w:lang w:val="en-US"/>
        </w:rPr>
        <w:t xml:space="preserve"> nationally</w:t>
      </w:r>
      <w:r w:rsidR="005C45EE">
        <w:rPr>
          <w:lang w:val="en-US"/>
        </w:rPr>
        <w:t xml:space="preserve"> and </w:t>
      </w:r>
      <w:r w:rsidR="00DE253F">
        <w:rPr>
          <w:lang w:val="en-US"/>
        </w:rPr>
        <w:t>by intersecting the location of the production of that commodity with LIFE-restore, we</w:t>
      </w:r>
      <w:r w:rsidR="00796705">
        <w:rPr>
          <w:lang w:val="en-US"/>
        </w:rPr>
        <w:t xml:space="preserve"> are able to</w:t>
      </w:r>
      <w:r w:rsidR="00DE253F">
        <w:rPr>
          <w:lang w:val="en-US"/>
        </w:rPr>
        <w:t xml:space="preserve"> calculate</w:t>
      </w:r>
      <w:r w:rsidR="00CF700B">
        <w:rPr>
          <w:lang w:val="en-US"/>
        </w:rPr>
        <w:t xml:space="preserve"> </w:t>
      </w:r>
      <w:r w:rsidR="00CF700B">
        <w:t>∆E</w:t>
      </w:r>
      <w:r w:rsidR="00227190">
        <w:t xml:space="preserve"> per-kilogram</w:t>
      </w:r>
      <w:r w:rsidR="00CF700B">
        <w:t>:</w:t>
      </w:r>
      <w:r w:rsidR="00DE253F">
        <w:rPr>
          <w:lang w:val="en-US"/>
        </w:rPr>
        <w:t xml:space="preserve"> the ‘foregone </w:t>
      </w:r>
      <w:r w:rsidR="008B732C">
        <w:rPr>
          <w:lang w:val="en-US"/>
        </w:rPr>
        <w:t>change</w:t>
      </w:r>
      <w:r w:rsidR="00DE253F">
        <w:rPr>
          <w:lang w:val="en-US"/>
        </w:rPr>
        <w:t xml:space="preserve"> in </w:t>
      </w:r>
      <w:r w:rsidR="00CF700B">
        <w:rPr>
          <w:lang w:val="en-US"/>
        </w:rPr>
        <w:t xml:space="preserve">expected </w:t>
      </w:r>
      <w:r w:rsidR="00DE253F">
        <w:rPr>
          <w:lang w:val="en-US"/>
        </w:rPr>
        <w:t>extinction</w:t>
      </w:r>
      <w:r w:rsidR="00CF700B">
        <w:rPr>
          <w:lang w:val="en-US"/>
        </w:rPr>
        <w:t>s</w:t>
      </w:r>
      <w:r w:rsidR="00DE253F">
        <w:rPr>
          <w:lang w:val="en-US"/>
        </w:rPr>
        <w:t>’</w:t>
      </w:r>
      <w:r w:rsidR="00865B6C">
        <w:rPr>
          <w:lang w:val="en-US"/>
        </w:rPr>
        <w:t xml:space="preserve"> – the extinction opportunity cost to biodiversity</w:t>
      </w:r>
      <w:r w:rsidR="00865B6C" w:rsidRPr="00865B6C">
        <w:rPr>
          <w:lang w:val="en-US"/>
        </w:rPr>
        <w:t xml:space="preserve"> </w:t>
      </w:r>
      <w:r w:rsidR="00865B6C">
        <w:rPr>
          <w:lang w:val="en-US"/>
        </w:rPr>
        <w:t>per kilogram of commodity</w:t>
      </w:r>
      <w:r w:rsidR="00BD3119">
        <w:rPr>
          <w:lang w:val="en-US"/>
        </w:rPr>
        <w:t xml:space="preserve"> produced in that place</w:t>
      </w:r>
      <w:r w:rsidR="00CF700B">
        <w:rPr>
          <w:lang w:val="en-US"/>
        </w:rPr>
        <w:t>.</w:t>
      </w:r>
    </w:p>
    <w:p w14:paraId="2038A2FF" w14:textId="1FB862CD" w:rsidR="002D4BF1" w:rsidRDefault="005C0AB7" w:rsidP="002D4BF1">
      <w:r>
        <w:rPr>
          <w:lang w:val="en-US"/>
        </w:rPr>
        <w:t>The LIFE metric is based on Jung’s (2020) global habitat maps</w:t>
      </w:r>
      <w:r w:rsidR="00F0186E">
        <w:rPr>
          <w:lang w:val="en-US"/>
        </w:rPr>
        <w:t xml:space="preserve">. Given that </w:t>
      </w:r>
      <w:r w:rsidR="00A56A1E">
        <w:rPr>
          <w:lang w:val="en-US"/>
        </w:rPr>
        <w:t xml:space="preserve">GAEZ </w:t>
      </w:r>
      <w:r w:rsidR="00C919C5">
        <w:rPr>
          <w:lang w:val="en-US"/>
        </w:rPr>
        <w:t>crop layers (</w:t>
      </w:r>
      <w:r w:rsidR="00C919C5" w:rsidRPr="00182D14">
        <w:t>FAO and IIASA</w:t>
      </w:r>
      <w:r w:rsidR="00C919C5">
        <w:t xml:space="preserve">, 2024) may not align with </w:t>
      </w:r>
      <w:r w:rsidR="00497051">
        <w:t>the crop habitat class in Jung’s data, it was necessary to modify the LIFE pipeline slightly to accommodate this analysis</w:t>
      </w:r>
      <w:r w:rsidR="00394932">
        <w:t xml:space="preserve"> – i.e. to avoid ‘restoring’ farmland where there was not farmland before</w:t>
      </w:r>
      <w:r w:rsidR="004F7364">
        <w:t xml:space="preserve"> according to Jung</w:t>
      </w:r>
      <w:r w:rsidR="00497051">
        <w:t xml:space="preserve">. To do this, we removed all </w:t>
      </w:r>
      <w:r w:rsidR="00F044F7">
        <w:t>farmland from the Jung layer</w:t>
      </w:r>
      <w:r w:rsidR="0032303F">
        <w:t xml:space="preserve"> and filled the space with crops where GAEZ </w:t>
      </w:r>
      <w:r w:rsidR="00516B40">
        <w:t xml:space="preserve">has crops, </w:t>
      </w:r>
      <w:r w:rsidR="004F7364">
        <w:t xml:space="preserve">then </w:t>
      </w:r>
      <w:r w:rsidR="00516B40">
        <w:t xml:space="preserve">filling whatever remained with </w:t>
      </w:r>
      <w:r w:rsidR="00905B50">
        <w:t xml:space="preserve">Jung’s </w:t>
      </w:r>
      <w:r w:rsidR="00394932">
        <w:t>potential natural vegetation.</w:t>
      </w:r>
      <w:r w:rsidR="00F044F7">
        <w:t xml:space="preserve"> </w:t>
      </w:r>
    </w:p>
    <w:p w14:paraId="16D747F5" w14:textId="58E5E2E4" w:rsidR="00905B50" w:rsidRDefault="00905B50" w:rsidP="002D4BF1">
      <w:pPr>
        <w:rPr>
          <w:lang w:val="en-US"/>
        </w:rPr>
      </w:pPr>
      <w:r>
        <w:t>We then calculated the change in expected extinctions</w:t>
      </w:r>
      <w:r w:rsidR="00137780">
        <w:t xml:space="preserve"> when restoring farmland to natural habitat for each cell in turn,</w:t>
      </w:r>
      <w:r>
        <w:t xml:space="preserve"> following Eyres (in review).</w:t>
      </w:r>
      <w:r w:rsidR="001133A2">
        <w:t xml:space="preserve"> Dividing</w:t>
      </w:r>
      <w:r w:rsidR="00D414DB">
        <w:t xml:space="preserve"> these</w:t>
      </w:r>
      <w:r w:rsidR="001133A2">
        <w:t xml:space="preserve"> values by the area of farmland restored in each cell gives a per-area restoration impact for each cell (i.e. restoring 1km</w:t>
      </w:r>
      <w:r w:rsidR="001133A2" w:rsidRPr="00FA39EF">
        <w:rPr>
          <w:vertAlign w:val="superscript"/>
        </w:rPr>
        <w:t>2</w:t>
      </w:r>
      <w:r w:rsidR="001133A2">
        <w:t xml:space="preserve"> of farmland </w:t>
      </w:r>
      <w:r w:rsidR="00176DD9">
        <w:t>in X place gives Y benefit), which we then intersect with GAEZ crop layers</w:t>
      </w:r>
      <w:r w:rsidR="00370E9D">
        <w:t xml:space="preserve"> to attribute marginal restoration impact to each crop in each cell, described in the next section.</w:t>
      </w:r>
    </w:p>
    <w:p w14:paraId="0703EB33" w14:textId="43508EDB" w:rsidR="002D4BF1" w:rsidRDefault="00732AB2" w:rsidP="002D4BF1">
      <w:pPr>
        <w:pStyle w:val="Heading2"/>
        <w:numPr>
          <w:ilvl w:val="0"/>
          <w:numId w:val="1"/>
        </w:numPr>
        <w:rPr>
          <w:lang w:val="en-US"/>
        </w:rPr>
      </w:pPr>
      <w:r>
        <w:rPr>
          <w:lang w:val="en-US"/>
        </w:rPr>
        <w:t>National</w:t>
      </w:r>
      <w:r w:rsidR="002D4BF1">
        <w:rPr>
          <w:lang w:val="en-US"/>
        </w:rPr>
        <w:t xml:space="preserve"> commodity </w:t>
      </w:r>
      <w:r>
        <w:rPr>
          <w:lang w:val="en-US"/>
        </w:rPr>
        <w:t xml:space="preserve">production </w:t>
      </w:r>
      <w:r w:rsidR="002D4BF1">
        <w:rPr>
          <w:lang w:val="en-US"/>
        </w:rPr>
        <w:t>impact</w:t>
      </w:r>
      <w:r w:rsidR="00A722F1">
        <w:rPr>
          <w:lang w:val="en-US"/>
        </w:rPr>
        <w:t>s</w:t>
      </w:r>
    </w:p>
    <w:p w14:paraId="1E0D1CBA" w14:textId="59A5E198" w:rsidR="002D4BF1" w:rsidRPr="00E84521" w:rsidRDefault="00B02BFF" w:rsidP="002D4BF1">
      <w:pPr>
        <w:rPr>
          <w:lang w:val="en-US"/>
        </w:rPr>
      </w:pPr>
      <w:r>
        <w:rPr>
          <w:lang w:val="en-US"/>
        </w:rPr>
        <w:t xml:space="preserve">To estimate the opportunity cost of producing a given crop in a country, we begin by </w:t>
      </w:r>
      <w:r w:rsidR="002321B1">
        <w:rPr>
          <w:lang w:val="en-US"/>
        </w:rPr>
        <w:t>calculating the median LIFE-score per-area</w:t>
      </w:r>
      <w:r>
        <w:rPr>
          <w:lang w:val="en-US"/>
        </w:rPr>
        <w:t xml:space="preserve"> for that country</w:t>
      </w:r>
      <w:r w:rsidR="002321B1">
        <w:rPr>
          <w:lang w:val="en-US"/>
        </w:rPr>
        <w:t xml:space="preserve">, weighted by the production of that crop occurring in </w:t>
      </w:r>
      <w:r>
        <w:rPr>
          <w:lang w:val="en-US"/>
        </w:rPr>
        <w:t xml:space="preserve">each </w:t>
      </w:r>
      <w:r w:rsidR="002321B1">
        <w:rPr>
          <w:lang w:val="en-US"/>
        </w:rPr>
        <w:t xml:space="preserve">cell, then converting to a per-mass score via national </w:t>
      </w:r>
      <w:r w:rsidR="002321B1" w:rsidRPr="00E84521">
        <w:rPr>
          <w:lang w:val="en-US"/>
        </w:rPr>
        <w:t>yield data (FAO</w:t>
      </w:r>
      <w:r w:rsidR="00E84521" w:rsidRPr="00E84521">
        <w:rPr>
          <w:lang w:val="en-US"/>
        </w:rPr>
        <w:t>,</w:t>
      </w:r>
      <w:r w:rsidR="002321B1" w:rsidRPr="00E84521">
        <w:rPr>
          <w:lang w:val="en-US"/>
        </w:rPr>
        <w:t xml:space="preserve"> 2024).</w:t>
      </w:r>
    </w:p>
    <w:p w14:paraId="20D90F22" w14:textId="6D649053" w:rsidR="00146B04" w:rsidRDefault="00146B04" w:rsidP="00146B04">
      <w:pPr>
        <w:rPr>
          <w:lang w:val="en-US"/>
        </w:rPr>
      </w:pPr>
      <w:r w:rsidRPr="00E84521">
        <w:rPr>
          <w:lang w:val="en-US"/>
        </w:rPr>
        <w:t>To estimate the ‘grazing’ footprint of an animal product, we follow the accounting method used in Alexander (2017) and Laroche (2020). Subtracting national feed utilization from animal product production (FAO</w:t>
      </w:r>
      <w:r w:rsidR="0056724E" w:rsidRPr="00E84521">
        <w:rPr>
          <w:lang w:val="en-US"/>
        </w:rPr>
        <w:t xml:space="preserve">, </w:t>
      </w:r>
      <w:r w:rsidRPr="00E84521">
        <w:rPr>
          <w:lang w:val="en-US"/>
        </w:rPr>
        <w:t xml:space="preserve">2024), taking conversion factors into account, and </w:t>
      </w:r>
      <w:proofErr w:type="gramStart"/>
      <w:r w:rsidRPr="00E84521">
        <w:rPr>
          <w:lang w:val="en-US"/>
        </w:rPr>
        <w:t>assuming that</w:t>
      </w:r>
      <w:proofErr w:type="gramEnd"/>
      <w:r w:rsidRPr="00E84521">
        <w:rPr>
          <w:lang w:val="en-US"/>
        </w:rPr>
        <w:t xml:space="preserve"> monogastric animals derive all of their energy from feed rather than grazing, we are left with a ‘grazing produced’ production mass from which we can estimate the national intensity of grazing system production. To estimate </w:t>
      </w:r>
      <w:r w:rsidR="00177B4B">
        <w:rPr>
          <w:lang w:val="en-US"/>
        </w:rPr>
        <w:t xml:space="preserve">a </w:t>
      </w:r>
      <w:r w:rsidRPr="00E84521">
        <w:rPr>
          <w:lang w:val="en-US"/>
        </w:rPr>
        <w:t>LIFE-score per-area for grazed land,</w:t>
      </w:r>
      <w:r w:rsidR="00B11D42">
        <w:rPr>
          <w:lang w:val="en-US"/>
        </w:rPr>
        <w:t xml:space="preserve"> as with crops, we </w:t>
      </w:r>
      <w:r w:rsidR="00B11D42">
        <w:rPr>
          <w:lang w:val="en-US"/>
        </w:rPr>
        <w:lastRenderedPageBreak/>
        <w:t>calculate the</w:t>
      </w:r>
      <w:r w:rsidRPr="00E84521">
        <w:rPr>
          <w:lang w:val="en-US"/>
        </w:rPr>
        <w:t xml:space="preserve"> median per-area LIFE restore score of cells containing livestock, weighted by the density of those livestock from the Gridded Livestock of the World (</w:t>
      </w:r>
      <w:r w:rsidR="00F50300" w:rsidRPr="00E84521">
        <w:rPr>
          <w:lang w:val="en-US"/>
        </w:rPr>
        <w:t>Gilbert</w:t>
      </w:r>
      <w:r w:rsidR="0056724E" w:rsidRPr="00E84521">
        <w:rPr>
          <w:lang w:val="en-US"/>
        </w:rPr>
        <w:t>, 2018</w:t>
      </w:r>
      <w:r w:rsidRPr="00E84521">
        <w:rPr>
          <w:lang w:val="en-US"/>
        </w:rPr>
        <w:t>)</w:t>
      </w:r>
      <w:r w:rsidR="00B11D42">
        <w:rPr>
          <w:lang w:val="en-US"/>
        </w:rPr>
        <w:t>. This is coarse</w:t>
      </w:r>
      <w:r w:rsidR="00177B4B">
        <w:rPr>
          <w:lang w:val="en-US"/>
        </w:rPr>
        <w:t>:</w:t>
      </w:r>
      <w:r w:rsidR="00B11D42">
        <w:rPr>
          <w:lang w:val="en-US"/>
        </w:rPr>
        <w:t xml:space="preserve"> </w:t>
      </w:r>
      <w:proofErr w:type="gramStart"/>
      <w:r w:rsidR="008D43D4">
        <w:rPr>
          <w:lang w:val="en-US"/>
        </w:rPr>
        <w:t>in-effect</w:t>
      </w:r>
      <w:proofErr w:type="gramEnd"/>
      <w:r w:rsidR="008D43D4">
        <w:rPr>
          <w:lang w:val="en-US"/>
        </w:rPr>
        <w:t xml:space="preserve"> </w:t>
      </w:r>
      <w:r w:rsidR="00970F37">
        <w:rPr>
          <w:lang w:val="en-US"/>
        </w:rPr>
        <w:t xml:space="preserve">we are </w:t>
      </w:r>
      <w:r w:rsidR="005328A9">
        <w:rPr>
          <w:lang w:val="en-US"/>
        </w:rPr>
        <w:t xml:space="preserve">asserting </w:t>
      </w:r>
      <w:r w:rsidR="00A722F1">
        <w:rPr>
          <w:lang w:val="en-US"/>
        </w:rPr>
        <w:t xml:space="preserve">that a kilogram of product is equally likely to have originated from any of one the livestock </w:t>
      </w:r>
      <w:r w:rsidR="00470678">
        <w:rPr>
          <w:lang w:val="en-US"/>
        </w:rPr>
        <w:t xml:space="preserve">in the country. </w:t>
      </w:r>
      <w:proofErr w:type="gramStart"/>
      <w:r w:rsidR="00970F37">
        <w:rPr>
          <w:lang w:val="en-US"/>
        </w:rPr>
        <w:t>In reality, this</w:t>
      </w:r>
      <w:proofErr w:type="gramEnd"/>
      <w:r w:rsidR="00970F37">
        <w:rPr>
          <w:lang w:val="en-US"/>
        </w:rPr>
        <w:t xml:space="preserve"> may not be the case –</w:t>
      </w:r>
      <w:r w:rsidR="00177B4B">
        <w:rPr>
          <w:lang w:val="en-US"/>
        </w:rPr>
        <w:t xml:space="preserve"> </w:t>
      </w:r>
      <w:r w:rsidR="00970F37">
        <w:rPr>
          <w:lang w:val="en-US"/>
        </w:rPr>
        <w:t>dense</w:t>
      </w:r>
      <w:r w:rsidR="00177B4B">
        <w:rPr>
          <w:lang w:val="en-US"/>
        </w:rPr>
        <w:t>ly-stocked</w:t>
      </w:r>
      <w:r w:rsidR="00970F37">
        <w:rPr>
          <w:lang w:val="en-US"/>
        </w:rPr>
        <w:t xml:space="preserve"> cattle in particular are more likely to be dairy cattle than beef</w:t>
      </w:r>
      <w:r w:rsidR="005328A9">
        <w:rPr>
          <w:lang w:val="en-US"/>
        </w:rPr>
        <w:t xml:space="preserve"> cattle</w:t>
      </w:r>
      <w:r w:rsidR="00177B4B">
        <w:rPr>
          <w:lang w:val="en-US"/>
        </w:rPr>
        <w:t xml:space="preserve"> -</w:t>
      </w:r>
      <w:r w:rsidR="005328A9" w:rsidRPr="005328A9">
        <w:rPr>
          <w:lang w:val="en-US"/>
        </w:rPr>
        <w:t xml:space="preserve"> </w:t>
      </w:r>
      <w:r w:rsidR="005328A9">
        <w:rPr>
          <w:lang w:val="en-US"/>
        </w:rPr>
        <w:t>but given the lack of robust livestock data we believe this to be a</w:t>
      </w:r>
      <w:r w:rsidR="00177B4B">
        <w:rPr>
          <w:lang w:val="en-US"/>
        </w:rPr>
        <w:t>n unavoidable simplification</w:t>
      </w:r>
      <w:r w:rsidR="00970F37">
        <w:rPr>
          <w:lang w:val="en-US"/>
        </w:rPr>
        <w:t>.</w:t>
      </w:r>
      <w:r w:rsidRPr="00E84521">
        <w:rPr>
          <w:lang w:val="en-US"/>
        </w:rPr>
        <w:t xml:space="preserve"> Following </w:t>
      </w:r>
      <w:proofErr w:type="spellStart"/>
      <w:r w:rsidRPr="00E84521">
        <w:rPr>
          <w:lang w:val="en-US"/>
        </w:rPr>
        <w:t>Schwarzmueller</w:t>
      </w:r>
      <w:proofErr w:type="spellEnd"/>
      <w:r w:rsidRPr="00E84521">
        <w:rPr>
          <w:lang w:val="en-US"/>
        </w:rPr>
        <w:t xml:space="preserve"> (2022), we use FAOSTAT feed data and provenance matrices to calculate the country-wi</w:t>
      </w:r>
      <w:r w:rsidR="00177B4B">
        <w:rPr>
          <w:lang w:val="en-US"/>
        </w:rPr>
        <w:t>d</w:t>
      </w:r>
      <w:r w:rsidRPr="00E84521">
        <w:rPr>
          <w:lang w:val="en-US"/>
        </w:rPr>
        <w:t>e area associated with producing one kilogram of animal product; we then use the previous</w:t>
      </w:r>
      <w:r w:rsidR="00177B4B">
        <w:rPr>
          <w:lang w:val="en-US"/>
        </w:rPr>
        <w:t>ly</w:t>
      </w:r>
      <w:r w:rsidRPr="00E84521">
        <w:rPr>
          <w:lang w:val="en-US"/>
        </w:rPr>
        <w:t xml:space="preserve"> calculated crop LIFE-restore values to estimate the </w:t>
      </w:r>
      <w:r w:rsidR="00FE36B5">
        <w:rPr>
          <w:lang w:val="en-US"/>
        </w:rPr>
        <w:t xml:space="preserve">additional </w:t>
      </w:r>
      <w:r w:rsidRPr="00E84521">
        <w:rPr>
          <w:lang w:val="en-US"/>
        </w:rPr>
        <w:t>feed impact associated with one kilogram of animal product.</w:t>
      </w:r>
    </w:p>
    <w:p w14:paraId="28F98211" w14:textId="2079B4B7" w:rsidR="00D40D6C" w:rsidRDefault="0083682D" w:rsidP="00146B04">
      <w:pPr>
        <w:rPr>
          <w:lang w:val="en-US"/>
        </w:rPr>
      </w:pPr>
      <w:r>
        <w:rPr>
          <w:lang w:val="en-US"/>
        </w:rPr>
        <w:t>To calculate the feed impact of an animal product</w:t>
      </w:r>
      <w:r w:rsidR="00177B4B">
        <w:rPr>
          <w:lang w:val="en-US"/>
        </w:rPr>
        <w:t xml:space="preserve"> </w:t>
      </w:r>
      <w:r>
        <w:rPr>
          <w:lang w:val="en-US"/>
        </w:rPr>
        <w:t xml:space="preserve">we use the conversion factors in </w:t>
      </w:r>
      <w:proofErr w:type="spellStart"/>
      <w:r>
        <w:rPr>
          <w:lang w:val="en-US"/>
        </w:rPr>
        <w:t>Schwarzmueller</w:t>
      </w:r>
      <w:proofErr w:type="spellEnd"/>
      <w:r>
        <w:rPr>
          <w:lang w:val="en-US"/>
        </w:rPr>
        <w:t xml:space="preserve"> (2022) to calculate the feed requirements per kilogram of product. We then </w:t>
      </w:r>
      <w:r w:rsidR="005C10D3">
        <w:rPr>
          <w:lang w:val="en-US"/>
        </w:rPr>
        <w:t xml:space="preserve">use the provenance matrices described in the main text, also based on </w:t>
      </w:r>
      <w:proofErr w:type="spellStart"/>
      <w:r w:rsidR="005C10D3">
        <w:rPr>
          <w:lang w:val="en-US"/>
        </w:rPr>
        <w:t>Schwarzmu</w:t>
      </w:r>
      <w:r w:rsidR="007C2173">
        <w:rPr>
          <w:lang w:val="en-US"/>
        </w:rPr>
        <w:t>e</w:t>
      </w:r>
      <w:r w:rsidR="005C10D3">
        <w:rPr>
          <w:lang w:val="en-US"/>
        </w:rPr>
        <w:t>ller</w:t>
      </w:r>
      <w:proofErr w:type="spellEnd"/>
      <w:r w:rsidR="005C10D3">
        <w:rPr>
          <w:lang w:val="en-US"/>
        </w:rPr>
        <w:t xml:space="preserve"> (2022) to estimate the provenance of </w:t>
      </w:r>
      <w:r w:rsidR="00BB2C91">
        <w:rPr>
          <w:lang w:val="en-US"/>
        </w:rPr>
        <w:t xml:space="preserve">each feed crop in the country. </w:t>
      </w:r>
    </w:p>
    <w:p w14:paraId="6ADF752B" w14:textId="12FBB849" w:rsidR="00732AB2" w:rsidRDefault="00177B4B" w:rsidP="00732AB2">
      <w:pPr>
        <w:pStyle w:val="Heading2"/>
        <w:numPr>
          <w:ilvl w:val="0"/>
          <w:numId w:val="1"/>
        </w:numPr>
        <w:rPr>
          <w:lang w:val="en-US"/>
        </w:rPr>
      </w:pPr>
      <w:r>
        <w:rPr>
          <w:lang w:val="en-US"/>
        </w:rPr>
        <w:t>National c</w:t>
      </w:r>
      <w:r w:rsidR="00732AB2">
        <w:rPr>
          <w:lang w:val="en-US"/>
        </w:rPr>
        <w:t>onsumption impact</w:t>
      </w:r>
      <w:r w:rsidR="00FE36B5">
        <w:rPr>
          <w:lang w:val="en-US"/>
        </w:rPr>
        <w:t>s</w:t>
      </w:r>
    </w:p>
    <w:p w14:paraId="76FC674C" w14:textId="40D35602" w:rsidR="008E28BF" w:rsidRDefault="00732AB2" w:rsidP="002D4BF1">
      <w:pPr>
        <w:rPr>
          <w:lang w:val="en-US"/>
        </w:rPr>
      </w:pPr>
      <w:r>
        <w:rPr>
          <w:lang w:val="en-US"/>
        </w:rPr>
        <w:t xml:space="preserve">To </w:t>
      </w:r>
      <w:r w:rsidR="006E111C">
        <w:rPr>
          <w:lang w:val="en-US"/>
        </w:rPr>
        <w:t xml:space="preserve">estimate </w:t>
      </w:r>
      <w:r>
        <w:rPr>
          <w:lang w:val="en-US"/>
        </w:rPr>
        <w:t xml:space="preserve">the consumption impact of a given commodity in a country, we use the data described in the previous section </w:t>
      </w:r>
      <w:r w:rsidR="006E111C">
        <w:rPr>
          <w:lang w:val="en-US"/>
        </w:rPr>
        <w:t xml:space="preserve">to calculate a weighted (by provenance) impact for each commodity. </w:t>
      </w:r>
      <w:r w:rsidR="00F90776">
        <w:rPr>
          <w:lang w:val="en-US"/>
        </w:rPr>
        <w:t>For example</w:t>
      </w:r>
      <w:r w:rsidR="0078339B">
        <w:rPr>
          <w:lang w:val="en-US"/>
        </w:rPr>
        <w:t>,</w:t>
      </w:r>
      <w:r w:rsidR="00F90776">
        <w:rPr>
          <w:lang w:val="en-US"/>
        </w:rPr>
        <w:t xml:space="preserve"> if a country consumes wheat produced </w:t>
      </w:r>
      <w:r w:rsidR="001B1837">
        <w:rPr>
          <w:lang w:val="en-US"/>
        </w:rPr>
        <w:t>75</w:t>
      </w:r>
      <w:r w:rsidR="00F90776">
        <w:rPr>
          <w:lang w:val="en-US"/>
        </w:rPr>
        <w:t xml:space="preserve">% domestically and </w:t>
      </w:r>
      <w:r w:rsidR="001B1837">
        <w:rPr>
          <w:lang w:val="en-US"/>
        </w:rPr>
        <w:t>25</w:t>
      </w:r>
      <w:r w:rsidR="00F90776">
        <w:rPr>
          <w:lang w:val="en-US"/>
        </w:rPr>
        <w:t xml:space="preserve">% </w:t>
      </w:r>
      <w:r w:rsidR="0078339B">
        <w:rPr>
          <w:lang w:val="en-US"/>
        </w:rPr>
        <w:t>overseas</w:t>
      </w:r>
      <w:r w:rsidR="00F90776">
        <w:rPr>
          <w:lang w:val="en-US"/>
        </w:rPr>
        <w:t xml:space="preserve">, the impact of consuming one kilogram of wheat in that country is </w:t>
      </w:r>
      <w:r w:rsidR="001B1837">
        <w:rPr>
          <w:lang w:val="en-US"/>
        </w:rPr>
        <w:t xml:space="preserve">the impact of </w:t>
      </w:r>
      <w:r w:rsidR="001B1837" w:rsidRPr="0043494B">
        <w:rPr>
          <w:lang w:val="en-US"/>
        </w:rPr>
        <w:t>producing</w:t>
      </w:r>
      <w:r w:rsidR="001B1837">
        <w:rPr>
          <w:lang w:val="en-US"/>
        </w:rPr>
        <w:t xml:space="preserve"> one kilogram of wheat domestically and in the countries</w:t>
      </w:r>
      <w:r w:rsidR="00D2678F">
        <w:rPr>
          <w:lang w:val="en-US"/>
        </w:rPr>
        <w:t xml:space="preserve"> in which it is produced, weighted 75:25</w:t>
      </w:r>
      <w:r w:rsidR="001B1837">
        <w:rPr>
          <w:lang w:val="en-US"/>
        </w:rPr>
        <w:t>.</w:t>
      </w:r>
      <w:r w:rsidR="008E28BF">
        <w:rPr>
          <w:lang w:val="en-US"/>
        </w:rPr>
        <w:t xml:space="preserve"> </w:t>
      </w:r>
    </w:p>
    <w:p w14:paraId="2D5AB592" w14:textId="474401C4" w:rsidR="002D4BF1" w:rsidRDefault="008E28BF" w:rsidP="002D4BF1">
      <w:pPr>
        <w:rPr>
          <w:lang w:val="en-US"/>
        </w:rPr>
      </w:pPr>
      <w:r>
        <w:rPr>
          <w:lang w:val="en-US"/>
        </w:rPr>
        <w:t xml:space="preserve">To calculate the dietary impact of the six countries examined in the paper we simply combine these results with </w:t>
      </w:r>
      <w:r w:rsidR="00E30F36">
        <w:rPr>
          <w:lang w:val="en-US"/>
        </w:rPr>
        <w:t xml:space="preserve">the most recent data </w:t>
      </w:r>
      <w:r w:rsidR="0090400B">
        <w:rPr>
          <w:lang w:val="en-US"/>
        </w:rPr>
        <w:t xml:space="preserve">on food </w:t>
      </w:r>
      <w:r w:rsidR="009027BC">
        <w:rPr>
          <w:lang w:val="en-US"/>
        </w:rPr>
        <w:t xml:space="preserve">commodity consumption </w:t>
      </w:r>
      <w:r w:rsidR="00E30F36">
        <w:rPr>
          <w:lang w:val="en-US"/>
        </w:rPr>
        <w:t xml:space="preserve">from the FAO (2024) for each country. Note that ‘food available’ as defined by the FAO does not account for post-production waste – however, given that the extinction footprint of a product occurs at the </w:t>
      </w:r>
      <w:r w:rsidR="00116695">
        <w:rPr>
          <w:lang w:val="en-US"/>
        </w:rPr>
        <w:t>point of production we believe it better to include food wasted as ‘impactful consumption’.</w:t>
      </w:r>
    </w:p>
    <w:p w14:paraId="23EC0D77" w14:textId="02FE9216" w:rsidR="00F05907" w:rsidRDefault="00F93EFC" w:rsidP="00344E92">
      <w:pPr>
        <w:pStyle w:val="Heading2"/>
        <w:numPr>
          <w:ilvl w:val="0"/>
          <w:numId w:val="1"/>
        </w:numPr>
        <w:rPr>
          <w:lang w:val="en-US"/>
        </w:rPr>
      </w:pPr>
      <w:r>
        <w:rPr>
          <w:lang w:val="en-US"/>
        </w:rPr>
        <w:lastRenderedPageBreak/>
        <w:t>Dietary shift in the UK</w:t>
      </w:r>
    </w:p>
    <w:p w14:paraId="2030DDD7" w14:textId="6521B622" w:rsidR="00F93EFC" w:rsidRDefault="004872D7" w:rsidP="00F93EFC">
      <w:pPr>
        <w:rPr>
          <w:lang w:val="en-US"/>
        </w:rPr>
      </w:pPr>
      <w:r>
        <w:rPr>
          <w:noProof/>
          <w:lang w:val="en-US"/>
        </w:rPr>
        <w:drawing>
          <wp:inline distT="0" distB="0" distL="0" distR="0" wp14:anchorId="08376C0A" wp14:editId="146E438A">
            <wp:extent cx="5727700" cy="5012055"/>
            <wp:effectExtent l="0" t="0" r="6350" b="0"/>
            <wp:docPr id="3216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5012055"/>
                    </a:xfrm>
                    <a:prstGeom prst="rect">
                      <a:avLst/>
                    </a:prstGeom>
                    <a:noFill/>
                    <a:ln>
                      <a:noFill/>
                    </a:ln>
                  </pic:spPr>
                </pic:pic>
              </a:graphicData>
            </a:graphic>
          </wp:inline>
        </w:drawing>
      </w:r>
    </w:p>
    <w:p w14:paraId="33EA04F8" w14:textId="2D6B3673" w:rsidR="004872D7" w:rsidRPr="00EB3DCB" w:rsidRDefault="004872D7" w:rsidP="00EB3DCB">
      <w:pPr>
        <w:jc w:val="both"/>
      </w:pPr>
      <w:r>
        <w:rPr>
          <w:lang w:val="en-US"/>
        </w:rPr>
        <w:t xml:space="preserve">Figure S1. </w:t>
      </w:r>
      <w:r w:rsidR="00EB3DCB" w:rsidRPr="00A009AD">
        <w:t xml:space="preserve">The </w:t>
      </w:r>
      <w:r w:rsidR="00EB3DCB">
        <w:t>extinction impacts</w:t>
      </w:r>
      <w:r w:rsidR="00EB3DCB" w:rsidRPr="00A009AD">
        <w:t xml:space="preserve"> of average daily per-capita food consumption in the</w:t>
      </w:r>
      <w:r w:rsidR="00EB3DCB">
        <w:t xml:space="preserve"> UK</w:t>
      </w:r>
      <w:r w:rsidR="00EB3DCB" w:rsidRPr="00A009AD">
        <w:t xml:space="preserve"> for consumption</w:t>
      </w:r>
      <w:r w:rsidR="00EB3DCB">
        <w:t xml:space="preserve"> in 2021 (FAO, 2024)</w:t>
      </w:r>
      <w:r w:rsidR="00EB3DCB" w:rsidRPr="00A009AD">
        <w:t xml:space="preserve"> and three basic </w:t>
      </w:r>
      <w:r w:rsidR="00EB3DCB">
        <w:t xml:space="preserve">individual </w:t>
      </w:r>
      <w:r w:rsidR="00EB3DCB" w:rsidRPr="00A009AD">
        <w:t xml:space="preserve">dietary </w:t>
      </w:r>
      <w:r w:rsidR="00EB3DCB">
        <w:t>scenarios, aligned with the USA analysis in the main text</w:t>
      </w:r>
      <w:r w:rsidR="00EB3DCB" w:rsidRPr="00A009AD">
        <w:t>.</w:t>
      </w:r>
      <w:r w:rsidR="00EB3DCB">
        <w:t xml:space="preserve"> Spices, coffee, cocoa, tea and maté are hatched since their intake remains constant across scenarios.</w:t>
      </w:r>
      <w:r w:rsidR="00EB3DCB" w:rsidRPr="00A009AD">
        <w:t xml:space="preserve"> The no-ruminant diet has ruminant meat calories replaced with poultry and pig meat calories in the ratio that they are currently consumed. The vegetarian and vegan diets are based on ‘Eatwell’ plates, with constituent commodities consumed in the same ratios that they currently are within each group</w:t>
      </w:r>
      <w:r w:rsidR="00EB3DCB">
        <w:t xml:space="preserve">. </w:t>
      </w:r>
    </w:p>
    <w:p w14:paraId="0EA6F860" w14:textId="034C3387" w:rsidR="002D4BF1" w:rsidRDefault="00820E60" w:rsidP="00820E60">
      <w:pPr>
        <w:pStyle w:val="Heading1"/>
        <w:rPr>
          <w:lang w:val="en-US"/>
        </w:rPr>
      </w:pPr>
      <w:r>
        <w:rPr>
          <w:lang w:val="en-US"/>
        </w:rPr>
        <w:t>References</w:t>
      </w:r>
    </w:p>
    <w:p w14:paraId="619C03DF" w14:textId="6656FADF" w:rsidR="004D02E4" w:rsidRDefault="004D02E4" w:rsidP="007614D0">
      <w:r w:rsidRPr="00E07878">
        <w:t xml:space="preserve">Alexander, P., Brown, C., Arneth, A., Finnigan, J., Moran, D. and Rounsevell, M.D., 2017. Losses, </w:t>
      </w:r>
      <w:proofErr w:type="gramStart"/>
      <w:r w:rsidRPr="00E07878">
        <w:t>inefficiencies</w:t>
      </w:r>
      <w:proofErr w:type="gramEnd"/>
      <w:r w:rsidRPr="00E07878">
        <w:t xml:space="preserve"> and waste in the global food system. </w:t>
      </w:r>
      <w:r w:rsidRPr="00F34CE6">
        <w:rPr>
          <w:i/>
          <w:iCs/>
        </w:rPr>
        <w:t>Agricultural systems,</w:t>
      </w:r>
      <w:r w:rsidRPr="00E07878">
        <w:t xml:space="preserve"> 153, pp.190-200.</w:t>
      </w:r>
    </w:p>
    <w:p w14:paraId="364953E2" w14:textId="5F01C2D3" w:rsidR="00851A0C" w:rsidRPr="00851A0C" w:rsidRDefault="00851A0C" w:rsidP="007614D0">
      <w:pPr>
        <w:rPr>
          <w:i/>
          <w:iCs/>
        </w:rPr>
      </w:pPr>
      <w:r w:rsidRPr="00D66AE4">
        <w:t xml:space="preserve">Eyres, A., Ball, T. S., Dales, M., </w:t>
      </w:r>
      <w:proofErr w:type="spellStart"/>
      <w:r w:rsidRPr="00D66AE4">
        <w:t>Swinfield</w:t>
      </w:r>
      <w:proofErr w:type="spellEnd"/>
      <w:r w:rsidRPr="00D66AE4">
        <w:t xml:space="preserve">, T., Arnell, A., </w:t>
      </w:r>
      <w:proofErr w:type="spellStart"/>
      <w:r w:rsidRPr="00D66AE4">
        <w:t>Baisero</w:t>
      </w:r>
      <w:proofErr w:type="spellEnd"/>
      <w:r w:rsidRPr="00D66AE4">
        <w:t xml:space="preserve">, D., Durán, A. P., Green, J. M. H., </w:t>
      </w:r>
      <w:proofErr w:type="spellStart"/>
      <w:r w:rsidRPr="00D66AE4">
        <w:t>Madhavapeddy</w:t>
      </w:r>
      <w:proofErr w:type="spellEnd"/>
      <w:r w:rsidRPr="00D66AE4">
        <w:t>, A. &amp; Balmford, A.</w:t>
      </w:r>
      <w:r>
        <w:t>,</w:t>
      </w:r>
      <w:r w:rsidRPr="00D66AE4">
        <w:t xml:space="preserve"> </w:t>
      </w:r>
      <w:r w:rsidRPr="00F34CE6">
        <w:rPr>
          <w:i/>
          <w:iCs/>
        </w:rPr>
        <w:t>in review</w:t>
      </w:r>
      <w:r w:rsidRPr="00D66AE4">
        <w:t xml:space="preserve">. LIFE: A metric for quantitively mapping the impact of land-cover </w:t>
      </w:r>
      <w:proofErr w:type="gramStart"/>
      <w:r w:rsidRPr="00D66AE4">
        <w:t>change</w:t>
      </w:r>
      <w:proofErr w:type="gramEnd"/>
      <w:r w:rsidRPr="00D66AE4">
        <w:t xml:space="preserve"> on global extinctions. </w:t>
      </w:r>
      <w:r w:rsidRPr="00F34CE6">
        <w:rPr>
          <w:i/>
          <w:iCs/>
        </w:rPr>
        <w:t>Philosophical Transactions of The Royal Society B.</w:t>
      </w:r>
    </w:p>
    <w:p w14:paraId="059750AB" w14:textId="7EB30EBD" w:rsidR="007614D0" w:rsidRDefault="007614D0" w:rsidP="007614D0">
      <w:r>
        <w:t>FAO, 2024.</w:t>
      </w:r>
      <w:r w:rsidRPr="00FA057F">
        <w:t xml:space="preserve"> </w:t>
      </w:r>
      <w:r>
        <w:t xml:space="preserve">FAOSTAT: </w:t>
      </w:r>
      <w:r w:rsidRPr="00FA057F">
        <w:t>Food and agriculture data</w:t>
      </w:r>
      <w:r>
        <w:t xml:space="preserve">. </w:t>
      </w:r>
      <w:r w:rsidRPr="00F34CE6">
        <w:rPr>
          <w:i/>
          <w:iCs/>
        </w:rPr>
        <w:t xml:space="preserve">www.fao.org/faostat/en/#data </w:t>
      </w:r>
      <w:r w:rsidRPr="00FA057F">
        <w:t>[accessed 20-03-2024</w:t>
      </w:r>
      <w:r>
        <w:t>].</w:t>
      </w:r>
    </w:p>
    <w:p w14:paraId="4548F260" w14:textId="38F43118" w:rsidR="0020296B" w:rsidRDefault="0020296B" w:rsidP="00FE0FB2">
      <w:r w:rsidRPr="00182D14">
        <w:lastRenderedPageBreak/>
        <w:t>FAO and IIASA</w:t>
      </w:r>
      <w:r>
        <w:t>, 2024.</w:t>
      </w:r>
      <w:r w:rsidRPr="00182D14">
        <w:t xml:space="preserve"> Global </w:t>
      </w:r>
      <w:proofErr w:type="spellStart"/>
      <w:r w:rsidRPr="00182D14">
        <w:t>Agro</w:t>
      </w:r>
      <w:proofErr w:type="spellEnd"/>
      <w:r w:rsidRPr="00182D14">
        <w:t xml:space="preserve"> Ecological Zones version 4 (GAEZ v4).</w:t>
      </w:r>
      <w:r>
        <w:t xml:space="preserve"> </w:t>
      </w:r>
      <w:r w:rsidRPr="00F34CE6">
        <w:rPr>
          <w:i/>
          <w:iCs/>
        </w:rPr>
        <w:t>www.fao.org/gaez</w:t>
      </w:r>
      <w:r w:rsidRPr="00182D14">
        <w:t xml:space="preserve"> [accessed</w:t>
      </w:r>
      <w:r>
        <w:t xml:space="preserve"> 20-03-2024].</w:t>
      </w:r>
    </w:p>
    <w:p w14:paraId="6D993D85" w14:textId="30BADBC8" w:rsidR="00513263" w:rsidRDefault="00513263" w:rsidP="00FE0FB2">
      <w:r w:rsidRPr="00560EED">
        <w:t xml:space="preserve">Gilbert, M., Nicolas, G., </w:t>
      </w:r>
      <w:proofErr w:type="spellStart"/>
      <w:r w:rsidRPr="00560EED">
        <w:t>Cinardi</w:t>
      </w:r>
      <w:proofErr w:type="spellEnd"/>
      <w:r w:rsidRPr="00560EED">
        <w:t xml:space="preserve">, G., Van Boeckel, T.P., </w:t>
      </w:r>
      <w:proofErr w:type="spellStart"/>
      <w:r w:rsidRPr="00560EED">
        <w:t>Vanwambeke</w:t>
      </w:r>
      <w:proofErr w:type="spellEnd"/>
      <w:r w:rsidRPr="00560EED">
        <w:t xml:space="preserve">, S.O., Wint, G.R. and Robinson, T.P., 2018. Global distribution data for cattle, buffaloes, horses, sheep, goats, pigs, </w:t>
      </w:r>
      <w:proofErr w:type="gramStart"/>
      <w:r w:rsidRPr="00560EED">
        <w:t>chickens</w:t>
      </w:r>
      <w:proofErr w:type="gramEnd"/>
      <w:r w:rsidRPr="00560EED">
        <w:t xml:space="preserve"> and ducks in 2010. </w:t>
      </w:r>
      <w:r w:rsidRPr="00F34CE6">
        <w:rPr>
          <w:i/>
          <w:iCs/>
        </w:rPr>
        <w:t>Scientific data,</w:t>
      </w:r>
      <w:r w:rsidRPr="00560EED">
        <w:t xml:space="preserve"> 5(1), pp.1-11.</w:t>
      </w:r>
    </w:p>
    <w:p w14:paraId="4BECB274" w14:textId="332248A0" w:rsidR="00201240" w:rsidRDefault="00201240" w:rsidP="00FE0FB2">
      <w:r w:rsidRPr="00201240">
        <w:t xml:space="preserve">Jung, M., Dahal, P.R., Butchart, S.H., Donald, P.F., De Lamo, X., </w:t>
      </w:r>
      <w:proofErr w:type="spellStart"/>
      <w:r w:rsidRPr="00201240">
        <w:t>Lesiv</w:t>
      </w:r>
      <w:proofErr w:type="spellEnd"/>
      <w:r w:rsidRPr="00201240">
        <w:t xml:space="preserve">, M., Kapos, V., </w:t>
      </w:r>
      <w:proofErr w:type="spellStart"/>
      <w:r w:rsidRPr="00201240">
        <w:t>Rondinini</w:t>
      </w:r>
      <w:proofErr w:type="spellEnd"/>
      <w:r w:rsidRPr="00201240">
        <w:t xml:space="preserve">, C. and Visconti, P., 2020. A global map of terrestrial habitat types. </w:t>
      </w:r>
      <w:r w:rsidRPr="00851A0C">
        <w:rPr>
          <w:i/>
          <w:iCs/>
        </w:rPr>
        <w:t>Scientific data</w:t>
      </w:r>
      <w:r w:rsidRPr="00201240">
        <w:t>, 7(1), p.256.</w:t>
      </w:r>
    </w:p>
    <w:p w14:paraId="56C1888B" w14:textId="27537AED" w:rsidR="00BB3F95" w:rsidRDefault="00BB3F95" w:rsidP="00FE0FB2">
      <w:r w:rsidRPr="002E64A0">
        <w:t xml:space="preserve">Laroche, P.C., </w:t>
      </w:r>
      <w:proofErr w:type="spellStart"/>
      <w:r w:rsidRPr="002E64A0">
        <w:t>Schulp</w:t>
      </w:r>
      <w:proofErr w:type="spellEnd"/>
      <w:r w:rsidRPr="002E64A0">
        <w:t xml:space="preserve">, C.J., Kastner, T. and Verburg, P.H., 2020. </w:t>
      </w:r>
      <w:proofErr w:type="spellStart"/>
      <w:r w:rsidRPr="002E64A0">
        <w:t>Telecoupled</w:t>
      </w:r>
      <w:proofErr w:type="spellEnd"/>
      <w:r w:rsidRPr="002E64A0">
        <w:t xml:space="preserve"> environmental impacts of current and alternative Western diets. </w:t>
      </w:r>
      <w:r w:rsidRPr="00F34CE6">
        <w:rPr>
          <w:i/>
          <w:iCs/>
        </w:rPr>
        <w:t>Global Environmental Change</w:t>
      </w:r>
      <w:r w:rsidRPr="002E64A0">
        <w:t>, 62, p.102066.</w:t>
      </w:r>
    </w:p>
    <w:p w14:paraId="672DE1D7" w14:textId="5F298433" w:rsidR="00FE0FB2" w:rsidRPr="00A52247" w:rsidRDefault="00FE0FB2" w:rsidP="00FE0FB2">
      <w:proofErr w:type="spellStart"/>
      <w:r w:rsidRPr="00484316">
        <w:t>Schwarzmueller</w:t>
      </w:r>
      <w:proofErr w:type="spellEnd"/>
      <w:r w:rsidRPr="00484316">
        <w:t>, F., &amp; Kastner, T.</w:t>
      </w:r>
      <w:r>
        <w:t xml:space="preserve">, </w:t>
      </w:r>
      <w:r w:rsidRPr="00484316">
        <w:t xml:space="preserve">2022. Agricultural trade and its impacts on cropland use and the global loss of species habitat. </w:t>
      </w:r>
      <w:r w:rsidRPr="00F34CE6">
        <w:rPr>
          <w:i/>
          <w:iCs/>
        </w:rPr>
        <w:t>Sustainability Science</w:t>
      </w:r>
      <w:r w:rsidRPr="00484316">
        <w:t>, 17(6), 2363-2377.</w:t>
      </w:r>
    </w:p>
    <w:p w14:paraId="24CCFDB5" w14:textId="77777777" w:rsidR="00FE0FB2" w:rsidRPr="00FE0FB2" w:rsidRDefault="00FE0FB2" w:rsidP="007614D0"/>
    <w:p w14:paraId="4585F9BB" w14:textId="77777777" w:rsidR="00820E60" w:rsidRPr="00820E60" w:rsidRDefault="00820E60" w:rsidP="00820E60">
      <w:pPr>
        <w:rPr>
          <w:lang w:val="en-US"/>
        </w:rPr>
      </w:pPr>
    </w:p>
    <w:sectPr w:rsidR="00820E60" w:rsidRPr="00820E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E326F7"/>
    <w:multiLevelType w:val="hybridMultilevel"/>
    <w:tmpl w:val="7DBAB4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8442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010"/>
    <w:rsid w:val="000130AF"/>
    <w:rsid w:val="0006561C"/>
    <w:rsid w:val="000A779C"/>
    <w:rsid w:val="001133A2"/>
    <w:rsid w:val="00116695"/>
    <w:rsid w:val="001209B6"/>
    <w:rsid w:val="00137780"/>
    <w:rsid w:val="00146B04"/>
    <w:rsid w:val="00176DD9"/>
    <w:rsid w:val="00177B4B"/>
    <w:rsid w:val="001B1837"/>
    <w:rsid w:val="001F7A68"/>
    <w:rsid w:val="00201240"/>
    <w:rsid w:val="0020296B"/>
    <w:rsid w:val="00212371"/>
    <w:rsid w:val="0021445F"/>
    <w:rsid w:val="00227190"/>
    <w:rsid w:val="002321B1"/>
    <w:rsid w:val="00262C6B"/>
    <w:rsid w:val="002A5D3D"/>
    <w:rsid w:val="002D4BF1"/>
    <w:rsid w:val="0032303F"/>
    <w:rsid w:val="00331E4A"/>
    <w:rsid w:val="00344E92"/>
    <w:rsid w:val="003634B2"/>
    <w:rsid w:val="00370E9D"/>
    <w:rsid w:val="0037204B"/>
    <w:rsid w:val="00394932"/>
    <w:rsid w:val="003F3D9E"/>
    <w:rsid w:val="0043494B"/>
    <w:rsid w:val="00470678"/>
    <w:rsid w:val="00486AC5"/>
    <w:rsid w:val="004872D7"/>
    <w:rsid w:val="00497051"/>
    <w:rsid w:val="004D02E4"/>
    <w:rsid w:val="004F7364"/>
    <w:rsid w:val="00513263"/>
    <w:rsid w:val="00516B40"/>
    <w:rsid w:val="005328A9"/>
    <w:rsid w:val="0056724E"/>
    <w:rsid w:val="005C0AB7"/>
    <w:rsid w:val="005C10D3"/>
    <w:rsid w:val="005C45EE"/>
    <w:rsid w:val="005E3520"/>
    <w:rsid w:val="00643870"/>
    <w:rsid w:val="006467D9"/>
    <w:rsid w:val="006569CF"/>
    <w:rsid w:val="006A3C18"/>
    <w:rsid w:val="006D3540"/>
    <w:rsid w:val="006E111C"/>
    <w:rsid w:val="006E51A8"/>
    <w:rsid w:val="006F74C4"/>
    <w:rsid w:val="00702B62"/>
    <w:rsid w:val="00732AB2"/>
    <w:rsid w:val="007614D0"/>
    <w:rsid w:val="0078339B"/>
    <w:rsid w:val="00785BAC"/>
    <w:rsid w:val="00796705"/>
    <w:rsid w:val="007C2173"/>
    <w:rsid w:val="00820E60"/>
    <w:rsid w:val="0083682D"/>
    <w:rsid w:val="00837122"/>
    <w:rsid w:val="0083741B"/>
    <w:rsid w:val="00851A0C"/>
    <w:rsid w:val="00865B6C"/>
    <w:rsid w:val="00866AAE"/>
    <w:rsid w:val="00874296"/>
    <w:rsid w:val="008A2BCD"/>
    <w:rsid w:val="008B732C"/>
    <w:rsid w:val="008C4548"/>
    <w:rsid w:val="008D43D4"/>
    <w:rsid w:val="008E28BF"/>
    <w:rsid w:val="00901CC1"/>
    <w:rsid w:val="009027BC"/>
    <w:rsid w:val="0090400B"/>
    <w:rsid w:val="00905B50"/>
    <w:rsid w:val="009175EA"/>
    <w:rsid w:val="00970F37"/>
    <w:rsid w:val="00993509"/>
    <w:rsid w:val="009D5010"/>
    <w:rsid w:val="00A04D34"/>
    <w:rsid w:val="00A3119A"/>
    <w:rsid w:val="00A42EFF"/>
    <w:rsid w:val="00A508D9"/>
    <w:rsid w:val="00A56A1E"/>
    <w:rsid w:val="00A722F1"/>
    <w:rsid w:val="00AB0F86"/>
    <w:rsid w:val="00AD495D"/>
    <w:rsid w:val="00B02BFF"/>
    <w:rsid w:val="00B11D42"/>
    <w:rsid w:val="00B3131C"/>
    <w:rsid w:val="00B46F2A"/>
    <w:rsid w:val="00BA7F7E"/>
    <w:rsid w:val="00BB2C91"/>
    <w:rsid w:val="00BB3F95"/>
    <w:rsid w:val="00BD3119"/>
    <w:rsid w:val="00C919C5"/>
    <w:rsid w:val="00CF700B"/>
    <w:rsid w:val="00D2678F"/>
    <w:rsid w:val="00D40D6C"/>
    <w:rsid w:val="00D414DB"/>
    <w:rsid w:val="00DA730A"/>
    <w:rsid w:val="00DE253F"/>
    <w:rsid w:val="00E30F36"/>
    <w:rsid w:val="00E3426F"/>
    <w:rsid w:val="00E40C93"/>
    <w:rsid w:val="00E6602B"/>
    <w:rsid w:val="00E67800"/>
    <w:rsid w:val="00E74BC5"/>
    <w:rsid w:val="00E84521"/>
    <w:rsid w:val="00EB3DCB"/>
    <w:rsid w:val="00F0186E"/>
    <w:rsid w:val="00F044F7"/>
    <w:rsid w:val="00F05907"/>
    <w:rsid w:val="00F276A3"/>
    <w:rsid w:val="00F50300"/>
    <w:rsid w:val="00F55916"/>
    <w:rsid w:val="00F90776"/>
    <w:rsid w:val="00F93EFC"/>
    <w:rsid w:val="00FA39EF"/>
    <w:rsid w:val="00FB2740"/>
    <w:rsid w:val="00FE0FB2"/>
    <w:rsid w:val="00FE36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473B3"/>
  <w15:chartTrackingRefBased/>
  <w15:docId w15:val="{6CB57255-ED56-4B26-AB4B-94912197A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5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D5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5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5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5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5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5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5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5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5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D5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5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5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5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5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5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5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5010"/>
    <w:rPr>
      <w:rFonts w:eastAsiaTheme="majorEastAsia" w:cstheme="majorBidi"/>
      <w:color w:val="272727" w:themeColor="text1" w:themeTint="D8"/>
    </w:rPr>
  </w:style>
  <w:style w:type="paragraph" w:styleId="Title">
    <w:name w:val="Title"/>
    <w:basedOn w:val="Normal"/>
    <w:next w:val="Normal"/>
    <w:link w:val="TitleChar"/>
    <w:uiPriority w:val="10"/>
    <w:qFormat/>
    <w:rsid w:val="009D5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5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5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5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010"/>
    <w:pPr>
      <w:spacing w:before="160"/>
      <w:jc w:val="center"/>
    </w:pPr>
    <w:rPr>
      <w:i/>
      <w:iCs/>
      <w:color w:val="404040" w:themeColor="text1" w:themeTint="BF"/>
    </w:rPr>
  </w:style>
  <w:style w:type="character" w:customStyle="1" w:styleId="QuoteChar">
    <w:name w:val="Quote Char"/>
    <w:basedOn w:val="DefaultParagraphFont"/>
    <w:link w:val="Quote"/>
    <w:uiPriority w:val="29"/>
    <w:rsid w:val="009D5010"/>
    <w:rPr>
      <w:i/>
      <w:iCs/>
      <w:color w:val="404040" w:themeColor="text1" w:themeTint="BF"/>
    </w:rPr>
  </w:style>
  <w:style w:type="paragraph" w:styleId="ListParagraph">
    <w:name w:val="List Paragraph"/>
    <w:basedOn w:val="Normal"/>
    <w:uiPriority w:val="34"/>
    <w:qFormat/>
    <w:rsid w:val="009D5010"/>
    <w:pPr>
      <w:ind w:left="720"/>
      <w:contextualSpacing/>
    </w:pPr>
  </w:style>
  <w:style w:type="character" w:styleId="IntenseEmphasis">
    <w:name w:val="Intense Emphasis"/>
    <w:basedOn w:val="DefaultParagraphFont"/>
    <w:uiPriority w:val="21"/>
    <w:qFormat/>
    <w:rsid w:val="009D5010"/>
    <w:rPr>
      <w:i/>
      <w:iCs/>
      <w:color w:val="0F4761" w:themeColor="accent1" w:themeShade="BF"/>
    </w:rPr>
  </w:style>
  <w:style w:type="paragraph" w:styleId="IntenseQuote">
    <w:name w:val="Intense Quote"/>
    <w:basedOn w:val="Normal"/>
    <w:next w:val="Normal"/>
    <w:link w:val="IntenseQuoteChar"/>
    <w:uiPriority w:val="30"/>
    <w:qFormat/>
    <w:rsid w:val="009D5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5010"/>
    <w:rPr>
      <w:i/>
      <w:iCs/>
      <w:color w:val="0F4761" w:themeColor="accent1" w:themeShade="BF"/>
    </w:rPr>
  </w:style>
  <w:style w:type="character" w:styleId="IntenseReference">
    <w:name w:val="Intense Reference"/>
    <w:basedOn w:val="DefaultParagraphFont"/>
    <w:uiPriority w:val="32"/>
    <w:qFormat/>
    <w:rsid w:val="009D5010"/>
    <w:rPr>
      <w:b/>
      <w:bCs/>
      <w:smallCaps/>
      <w:color w:val="0F4761" w:themeColor="accent1" w:themeShade="BF"/>
      <w:spacing w:val="5"/>
    </w:rPr>
  </w:style>
  <w:style w:type="paragraph" w:styleId="Revision">
    <w:name w:val="Revision"/>
    <w:hidden/>
    <w:uiPriority w:val="99"/>
    <w:semiHidden/>
    <w:rsid w:val="001209B6"/>
    <w:pPr>
      <w:spacing w:after="0" w:line="240" w:lineRule="auto"/>
    </w:pPr>
  </w:style>
  <w:style w:type="character" w:styleId="CommentReference">
    <w:name w:val="annotation reference"/>
    <w:basedOn w:val="DefaultParagraphFont"/>
    <w:uiPriority w:val="99"/>
    <w:semiHidden/>
    <w:unhideWhenUsed/>
    <w:rsid w:val="003634B2"/>
    <w:rPr>
      <w:sz w:val="16"/>
      <w:szCs w:val="16"/>
    </w:rPr>
  </w:style>
  <w:style w:type="paragraph" w:styleId="CommentText">
    <w:name w:val="annotation text"/>
    <w:basedOn w:val="Normal"/>
    <w:link w:val="CommentTextChar"/>
    <w:uiPriority w:val="99"/>
    <w:unhideWhenUsed/>
    <w:rsid w:val="003634B2"/>
    <w:pPr>
      <w:spacing w:line="240" w:lineRule="auto"/>
    </w:pPr>
    <w:rPr>
      <w:sz w:val="20"/>
      <w:szCs w:val="20"/>
    </w:rPr>
  </w:style>
  <w:style w:type="character" w:customStyle="1" w:styleId="CommentTextChar">
    <w:name w:val="Comment Text Char"/>
    <w:basedOn w:val="DefaultParagraphFont"/>
    <w:link w:val="CommentText"/>
    <w:uiPriority w:val="99"/>
    <w:rsid w:val="003634B2"/>
    <w:rPr>
      <w:sz w:val="20"/>
      <w:szCs w:val="20"/>
    </w:rPr>
  </w:style>
  <w:style w:type="paragraph" w:styleId="CommentSubject">
    <w:name w:val="annotation subject"/>
    <w:basedOn w:val="CommentText"/>
    <w:next w:val="CommentText"/>
    <w:link w:val="CommentSubjectChar"/>
    <w:uiPriority w:val="99"/>
    <w:semiHidden/>
    <w:unhideWhenUsed/>
    <w:rsid w:val="003634B2"/>
    <w:rPr>
      <w:b/>
      <w:bCs/>
    </w:rPr>
  </w:style>
  <w:style w:type="character" w:customStyle="1" w:styleId="CommentSubjectChar">
    <w:name w:val="Comment Subject Char"/>
    <w:basedOn w:val="CommentTextChar"/>
    <w:link w:val="CommentSubject"/>
    <w:uiPriority w:val="99"/>
    <w:semiHidden/>
    <w:rsid w:val="003634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1179</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Ball</dc:creator>
  <cp:keywords/>
  <dc:description/>
  <cp:lastModifiedBy>Thomas Ball</cp:lastModifiedBy>
  <cp:revision>2</cp:revision>
  <dcterms:created xsi:type="dcterms:W3CDTF">2024-04-19T06:38:00Z</dcterms:created>
  <dcterms:modified xsi:type="dcterms:W3CDTF">2024-04-19T06:38:00Z</dcterms:modified>
</cp:coreProperties>
</file>