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4"/>
        <w:tblW w:w="14490" w:type="dxa"/>
        <w:tblInd w:w="0" w:type="dxa"/>
        <w:tblLayout w:type="autofit"/>
        <w:tblCellMar>
          <w:top w:w="0" w:type="dxa"/>
          <w:left w:w="108" w:type="dxa"/>
          <w:bottom w:w="0" w:type="dxa"/>
          <w:right w:w="108" w:type="dxa"/>
        </w:tblCellMar>
      </w:tblPr>
      <w:tblGrid>
        <w:gridCol w:w="587"/>
        <w:gridCol w:w="1822"/>
        <w:gridCol w:w="7041"/>
        <w:gridCol w:w="720"/>
        <w:gridCol w:w="4320"/>
      </w:tblGrid>
      <w:tr>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7041"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7041"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20" w:type="dxa"/>
            <w:tcBorders>
              <w:top w:val="single" w:color="7F7F7F" w:sz="6" w:space="0"/>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ascii="Arial" w:hAnsi="Arial" w:eastAsia="Times New Roman" w:cs="Arial"/>
                <w:sz w:val="18"/>
                <w:szCs w:val="18"/>
                <w:lang w:val="en-GB" w:eastAsia="en-GB"/>
              </w:rPr>
              <w:t>Mendelian randomization and single-cell analysis reveal relationships between sleep disorders and myocardial infarction</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2</w:t>
            </w:r>
          </w:p>
        </w:tc>
        <w:tc>
          <w:tcPr>
            <w:tcW w:w="4320" w:type="dxa"/>
            <w:shd w:val="clear" w:color="auto" w:fill="EEEEEE"/>
          </w:tcPr>
          <w:p>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Sleep disorders not only result in daytime somnolence but also worsen cardiovascular problems, metabolic dysfunction associated with obesity, systemic inflammation, and compromised immune responses to infections.</w:t>
            </w:r>
          </w:p>
          <w:p>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MR analysis methods have a unique role to play in exploring the causal impact of exposure factors on disease. The two alleles of a single nucleotide polymorphism (SNP) are randomly segregated following Mendel's laws. Compared to other research methods, MR is generally less susceptible to problems such as reverse causality and confounding. Establishing causal relationships between sleep disorders and susceptibility to MI could mitigate their impact on MI risk. This aspect could help avoid erroneous conclusions, thereby preventing the dissemination of inaccurate information or unnecessary anxiety.</w:t>
            </w:r>
          </w:p>
        </w:tc>
      </w:tr>
      <w:tr>
        <w:tblPrEx>
          <w:tblCellMar>
            <w:top w:w="0" w:type="dxa"/>
            <w:left w:w="108" w:type="dxa"/>
            <w:bottom w:w="0" w:type="dxa"/>
            <w:right w:w="108" w:type="dxa"/>
          </w:tblCellMar>
        </w:tblPrEx>
        <w:tc>
          <w:tcPr>
            <w:tcW w:w="587"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7041"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color="7F7F7F" w:sz="6" w:space="0"/>
            </w:tcBorders>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2</w:t>
            </w:r>
          </w:p>
        </w:tc>
        <w:tc>
          <w:tcPr>
            <w:tcW w:w="4320" w:type="dxa"/>
            <w:tcBorders>
              <w:bottom w:val="single" w:color="7F7F7F" w:sz="6" w:space="0"/>
            </w:tcBorders>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W</w:t>
            </w:r>
            <w:r>
              <w:rPr>
                <w:rFonts w:hint="eastAsia" w:eastAsia="Times New Roman"/>
                <w:sz w:val="18"/>
                <w:szCs w:val="18"/>
                <w:lang w:val="en-GB" w:eastAsia="en-GB"/>
              </w:rPr>
              <w:t>e utilise MR analysis in order to elucidate causality between sleep disorders and MI using pooled statistics from GWASs.</w:t>
            </w:r>
          </w:p>
        </w:tc>
      </w:tr>
      <w:tr>
        <w:tblPrEx>
          <w:tblCellMar>
            <w:top w:w="0" w:type="dxa"/>
            <w:left w:w="108" w:type="dxa"/>
            <w:bottom w:w="0" w:type="dxa"/>
            <w:right w:w="108" w:type="dxa"/>
          </w:tblCellMar>
        </w:tblPrEx>
        <w:tc>
          <w:tcPr>
            <w:tcW w:w="587"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7041"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pPr>
              <w:spacing w:before="96" w:beforeLines="40" w:after="96" w:afterLines="40" w:line="24" w:lineRule="atLeast"/>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11</w:t>
            </w:r>
          </w:p>
        </w:tc>
        <w:tc>
          <w:tcPr>
            <w:tcW w:w="4320"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GWAS data for the four sleep disorders as exposures were sourced from the GWAS Catalogue, UK Biobank, and FinnGen[9, 10] (Supplementary Table 1). MI GWAS data as outcome were searched from CARDIoGRAMplusC4D[11] (Supplementary Table 1).</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20" w:type="dxa"/>
          </w:tcPr>
          <w:p>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320"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The description of sample size in supplementary Table1.</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MR analysis relies on three assumptions: 1. The instrumental variables demonstrated strong associations with exposure factors (sleep apnoea, snoring, insomnia, and narcolepsy); 2. Instrumental variables affect the risk of MI exclusively through their impact on exposure factors; 3. The instrumental variables are not influenced by confounding factors.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11</w:t>
            </w:r>
          </w:p>
        </w:tc>
        <w:tc>
          <w:tcPr>
            <w:tcW w:w="4320"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The assessment of exposure and outcome are from GWAS Catalogue, UK Biobank, FinnGen, CARDIoGRAMplusC4D dataset.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EEEEEE"/>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pPr>
              <w:spacing w:before="96" w:beforeLines="40" w:after="96" w:afterLines="40" w:line="24" w:lineRule="atLeast"/>
              <w:textAlignment w:val="baseline"/>
              <w:rPr>
                <w:rFonts w:hint="eastAsia" w:ascii="Arial" w:hAnsi="Arial" w:eastAsia="Times New Roman" w:cs="Arial"/>
                <w:sz w:val="18"/>
                <w:szCs w:val="18"/>
                <w:shd w:val="clear" w:color="auto" w:fill="FFFFFF"/>
                <w:lang w:val="en-GB" w:eastAsia="en-GB"/>
              </w:rPr>
            </w:pPr>
          </w:p>
        </w:tc>
        <w:tc>
          <w:tcPr>
            <w:tcW w:w="4320" w:type="dxa"/>
            <w:shd w:val="clear" w:color="auto" w:fill="EEEEEE"/>
          </w:tcPr>
          <w:p>
            <w:pPr>
              <w:spacing w:before="96" w:beforeLines="40" w:after="96" w:afterLines="40" w:line="24" w:lineRule="atLeast"/>
              <w:textAlignment w:val="baseline"/>
              <w:rPr>
                <w:rFonts w:hint="eastAsia" w:ascii="Arial" w:hAnsi="Arial" w:eastAsia="Times New Roman" w:cs="Arial"/>
                <w:sz w:val="18"/>
                <w:szCs w:val="18"/>
                <w:shd w:val="clear" w:color="auto" w:fill="FFFFFF"/>
                <w:lang w:val="en-GB" w:eastAsia="en-GB"/>
              </w:rPr>
            </w:pPr>
            <w:r>
              <w:rPr>
                <w:rFonts w:hint="eastAsia" w:ascii="Arial" w:hAnsi="Arial" w:eastAsia="Times New Roman" w:cs="Arial"/>
                <w:sz w:val="18"/>
                <w:szCs w:val="18"/>
                <w:shd w:val="clear" w:color="auto" w:fill="FFFFFF"/>
                <w:lang w:val="en-US" w:eastAsia="zh-CN"/>
              </w:rPr>
              <w:t>Not applicable</w:t>
            </w:r>
            <w:r>
              <w:rPr>
                <w:rFonts w:hint="default" w:ascii="Arial" w:hAnsi="Arial" w:eastAsia="Times New Roman" w:cs="Arial"/>
                <w:sz w:val="18"/>
                <w:szCs w:val="18"/>
                <w:shd w:val="clear" w:color="auto" w:fill="FFFFFF"/>
                <w:lang w:val="en-GB" w:eastAsia="en-GB"/>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320" w:type="dxa"/>
          </w:tcPr>
          <w:p>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MR analysis relies on three assumptions: 1. The instrumental variables demonstrated strong associations with exposure factors (sleep apnoea, snoring, insomnia, and narcolepsy); 2. Instrumental variables affect the risk of MI exclusively through their impact on exposure factors; 3. The instrumental variables are not influenced by confounding factors.</w:t>
            </w:r>
          </w:p>
          <w:p>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Sensitivity analysis including MR-Egger, weighted median and MR-PRESSO analysis were performed.</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hint="eastAsia" w:ascii="Arial" w:hAnsi="Arial" w:eastAsia="Times New Roman" w:cs="Arial"/>
                <w:sz w:val="18"/>
                <w:szCs w:val="18"/>
                <w:shd w:val="clear" w:color="auto" w:fill="FFFFFF"/>
                <w:lang w:val="en-US" w:eastAsia="zh-CN"/>
              </w:rPr>
              <w:t>Not applicable</w:t>
            </w:r>
            <w:r>
              <w:rPr>
                <w:rFonts w:hint="default" w:ascii="Arial" w:hAnsi="Arial" w:eastAsia="Times New Roman" w:cs="Arial"/>
                <w:sz w:val="18"/>
                <w:szCs w:val="18"/>
                <w:shd w:val="clear" w:color="auto" w:fill="FFFFFF"/>
                <w:lang w:val="en-GB" w:eastAsia="en-GB"/>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320" w:type="dxa"/>
            <w:shd w:val="clear" w:color="auto" w:fill="EEEEEE"/>
          </w:tcPr>
          <w:p>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The same methodology was then used, with MI as the exposure and sleep disorders as the outcome, to examine the effect of MI on sleep disorders. Similarly, SNPs that reached significance (P &lt; 5e-6) for MI were selected as IVs.</w:t>
            </w:r>
          </w:p>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To ensure that the impact of SNPs on both sleep disorders and MI is attributed to the same allele, we harmonized the direction of effect. In addition, we excluded SNPs that were in linkage disequilibrium (LD) with R2 = 0.001 and window size = 10,000 kb from the outcome datasets, and retained the rest[12]. To assess the strength of IVs, we calculated the F-statistic. A F-statistic &gt; 10 is considered to mitigate bias due to weak IVs. The formulae for calculating the R2 and F statistics are as follows: R2 = 2 × β2 / ((2 × β2) + (2 × SE2× N)), F =R2 × (N-2) / (1-R2)</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320" w:type="dxa"/>
          </w:tcPr>
          <w:p>
            <w:pPr>
              <w:spacing w:before="96" w:beforeLines="40" w:after="96" w:afterLines="40" w:line="24" w:lineRule="atLeast"/>
              <w:rPr>
                <w:rFonts w:hint="eastAsia" w:eastAsia="宋体"/>
                <w:sz w:val="18"/>
                <w:szCs w:val="18"/>
                <w:lang w:val="en-US" w:eastAsia="zh-CN"/>
              </w:rPr>
            </w:pPr>
            <w:r>
              <w:rPr>
                <w:rFonts w:hint="eastAsia" w:eastAsia="Times New Roman"/>
                <w:sz w:val="18"/>
                <w:szCs w:val="18"/>
                <w:lang w:val="en-GB" w:eastAsia="en-GB"/>
              </w:rPr>
              <w:t>We computed a Wald ratio estimate for each genetic variant and aggregated them by using the IVW method with multiplicative random effects. This approach has the advantage of providing a composite estimate that reduces potential heterogeneity among Wald ratio estimates due to SNPs</w:t>
            </w:r>
            <w:r>
              <w:rPr>
                <w:rFonts w:hint="eastAsia" w:eastAsia="宋体"/>
                <w:sz w:val="18"/>
                <w:szCs w:val="18"/>
                <w:lang w:val="en-US" w:eastAsia="zh-CN"/>
              </w:rPr>
              <w:t>.</w:t>
            </w:r>
          </w:p>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The data were meticulously harmonized to ensure that the effects of SNPs on exposure and outcome were consistent with those of the same allele. For SNPs with varying effect alleles originating from different strands, the strand information is rectified to ensure consistency of the effect allele in both datasets.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 missing data</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hint="eastAsia" w:ascii="Arial" w:hAnsi="Arial" w:eastAsia="Times New Roman" w:cs="Arial"/>
                <w:sz w:val="18"/>
                <w:szCs w:val="18"/>
                <w:shd w:val="clear" w:color="auto" w:fill="FFFFFF"/>
                <w:lang w:val="en-US" w:eastAsia="zh-CN"/>
              </w:rPr>
              <w:t>Not applicable</w:t>
            </w:r>
            <w:r>
              <w:rPr>
                <w:rFonts w:hint="default" w:ascii="Arial" w:hAnsi="Arial" w:eastAsia="Times New Roman" w:cs="Arial"/>
                <w:sz w:val="18"/>
                <w:szCs w:val="18"/>
                <w:shd w:val="clear" w:color="auto" w:fill="FFFFFF"/>
                <w:lang w:val="en-GB" w:eastAsia="en-GB"/>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720" w:type="dxa"/>
            <w:shd w:val="clear" w:color="auto" w:fill="EEEEEE"/>
          </w:tcPr>
          <w:p>
            <w:pPr>
              <w:tabs>
                <w:tab w:val="left" w:pos="162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11,12</w:t>
            </w:r>
          </w:p>
        </w:tc>
        <w:tc>
          <w:tcPr>
            <w:tcW w:w="4320"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Sensitivity analysis including MR-Egger, weighted median and MR-PRESSO analysis were performed. MR‒Egger analysis guided the assessment of instrumental variable pleiotropy, with intercepts not equal to zero indicating bias in IVW estimates[18]. Since multiple genetic variants may be invalid, the weighted median method was used, i.e., the median of the MR estimates was chosen as the causality estimate[19]. Horizontal multidirectionality is detected using the MR-PRESSO test, and outliers, if present, should also be removed to correct for multiplicity due to outliers[20]. The heterogeneity of the IVW estimates was tested with Cochran's Q test.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11,12</w:t>
            </w:r>
          </w:p>
        </w:tc>
        <w:tc>
          <w:tcPr>
            <w:tcW w:w="4320" w:type="dxa"/>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Sensitivity analysis including MR-Egger, weighted median and MR-PRESSO analysis were performed. MR‒Egger analysis guided the assessment of instrumental variable pleiotropy, with intercepts not equal to zero indicating bias in IVW estimates[18]. Since multiple genetic variants may be invalid, the weighted median method was used, i.e., the median of the MR estimates was chosen as the causality estimate[19]. Horizontal multidirectionality is detected using the MR-PRESSO test, and outliers, if present, should also be removed to correct for multiplicity due to outliers[20]. The heterogeneity of the IVW estimates was tested with Cochran's Q test.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R version 4.3.2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8" w:lineRule="atLeast"/>
              <w:ind w:left="0" w:right="0" w:firstLine="0"/>
              <w:rPr>
                <w:rFonts w:hint="eastAsia" w:ascii="Arial" w:hAnsi="Arial" w:eastAsia="Times New Roman" w:cs="Arial"/>
                <w:kern w:val="0"/>
                <w:sz w:val="18"/>
                <w:szCs w:val="18"/>
                <w:lang w:val="en-GB" w:eastAsia="en-GB" w:bidi="ar-SA"/>
              </w:rPr>
            </w:pPr>
            <w:r>
              <w:rPr>
                <w:rFonts w:hint="default" w:ascii="Arial" w:hAnsi="Arial" w:eastAsia="Times New Roman" w:cs="Arial"/>
                <w:kern w:val="0"/>
                <w:sz w:val="18"/>
                <w:szCs w:val="18"/>
                <w:lang w:val="en-GB" w:eastAsia="en-GB" w:bidi="ar-SA"/>
              </w:rPr>
              <w:t>TwoSampleMR version 0.5.6</w:t>
            </w:r>
          </w:p>
          <w:p>
            <w:pPr>
              <w:spacing w:before="96" w:beforeLines="40" w:after="96" w:afterLines="40" w:line="24" w:lineRule="atLeast"/>
              <w:rPr>
                <w:rFonts w:hint="eastAsia" w:ascii="Arial" w:hAnsi="Arial" w:eastAsia="Times New Roman" w:cs="Arial"/>
                <w:kern w:val="0"/>
                <w:sz w:val="18"/>
                <w:szCs w:val="18"/>
                <w:lang w:val="en-US" w:eastAsia="zh-CN" w:bidi="ar-SA"/>
              </w:rPr>
            </w:pPr>
            <w:r>
              <w:rPr>
                <w:rFonts w:hint="eastAsia" w:ascii="Arial" w:hAnsi="Arial" w:eastAsia="Times New Roman" w:cs="Arial"/>
                <w:kern w:val="0"/>
                <w:sz w:val="18"/>
                <w:szCs w:val="18"/>
                <w:lang w:val="en-US" w:eastAsia="zh-CN" w:bidi="ar-SA"/>
              </w:rPr>
              <w:t>Biowindford platform</w:t>
            </w:r>
          </w:p>
          <w:p>
            <w:pPr>
              <w:spacing w:before="96" w:beforeLines="40" w:after="96" w:afterLines="40" w:line="24" w:lineRule="atLeast"/>
              <w:rPr>
                <w:rFonts w:hint="eastAsia" w:ascii="Arial" w:hAnsi="Arial" w:eastAsia="Times New Roman" w:cs="Arial"/>
                <w:kern w:val="0"/>
                <w:sz w:val="18"/>
                <w:szCs w:val="18"/>
                <w:lang w:val="en-GB" w:eastAsia="en-GB" w:bidi="ar-SA"/>
              </w:rPr>
            </w:pPr>
            <w:r>
              <w:rPr>
                <w:rFonts w:hint="eastAsia" w:ascii="Arial" w:hAnsi="Arial" w:eastAsia="Times New Roman" w:cs="Arial"/>
                <w:kern w:val="0"/>
                <w:sz w:val="18"/>
                <w:szCs w:val="18"/>
                <w:lang w:val="en-GB" w:eastAsia="en-GB" w:bidi="ar-SA"/>
              </w:rPr>
              <w:t>SMR version 1.3.1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8" w:lineRule="atLeast"/>
              <w:ind w:left="0" w:right="0" w:firstLine="0"/>
              <w:rPr>
                <w:rFonts w:hint="default" w:ascii="Arial" w:hAnsi="Arial" w:eastAsia="Times New Roman" w:cs="Arial"/>
                <w:kern w:val="0"/>
                <w:sz w:val="18"/>
                <w:szCs w:val="18"/>
                <w:lang w:val="en-US" w:eastAsia="zh-CN" w:bidi="ar-SA"/>
              </w:rPr>
            </w:pPr>
            <w:r>
              <w:rPr>
                <w:rFonts w:hint="default" w:ascii="Arial" w:hAnsi="Arial" w:eastAsia="Times New Roman" w:cs="Arial"/>
                <w:kern w:val="0"/>
                <w:sz w:val="18"/>
                <w:szCs w:val="18"/>
                <w:lang w:val="en-GB" w:eastAsia="en-GB" w:bidi="ar-SA"/>
              </w:rPr>
              <w:t>meta package version 6.5-0</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ascii="Arial" w:hAnsi="Arial" w:eastAsia="Times New Roman" w:cs="Arial"/>
                <w:sz w:val="18"/>
                <w:szCs w:val="18"/>
                <w:shd w:val="clear" w:color="auto" w:fill="FFFFFF"/>
                <w:lang w:val="en-US" w:eastAsia="zh-CN"/>
              </w:rPr>
              <w:t>Not applicable</w:t>
            </w:r>
            <w:r>
              <w:rPr>
                <w:rFonts w:hint="default" w:ascii="Arial" w:hAnsi="Arial" w:eastAsia="Times New Roman" w:cs="Arial"/>
                <w:sz w:val="18"/>
                <w:szCs w:val="18"/>
                <w:shd w:val="clear" w:color="auto" w:fill="FFFFFF"/>
                <w:lang w:val="en-GB" w:eastAsia="en-GB"/>
              </w:rPr>
              <w:t>.</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c>
          <w:tcPr>
            <w:tcW w:w="4320" w:type="dxa"/>
          </w:tcPr>
          <w:p>
            <w:pPr>
              <w:keepNext w:val="0"/>
              <w:keepLines w:val="0"/>
              <w:pageBreakBefore w:val="0"/>
              <w:kinsoku/>
              <w:wordWrap/>
              <w:overflowPunct/>
              <w:topLinePunct w:val="0"/>
              <w:autoSpaceDE/>
              <w:autoSpaceDN/>
              <w:bidi w:val="0"/>
              <w:adjustRightInd/>
              <w:snapToGrid/>
              <w:spacing w:line="240" w:lineRule="auto"/>
              <w:textAlignment w:val="auto"/>
              <w:rPr>
                <w:rFonts w:ascii="Times New Roman" w:hAnsi="Times New Roman" w:cs="Times New Roman"/>
                <w:szCs w:val="21"/>
              </w:rPr>
            </w:pPr>
            <w:r>
              <w:rPr>
                <w:rFonts w:hint="eastAsia" w:ascii="Times New Roman" w:hAnsi="Times New Roman" w:cs="Times New Roman"/>
                <w:szCs w:val="21"/>
                <w:lang w:val="en-GB"/>
              </w:rPr>
              <w:t xml:space="preserve">Five phenotypes were selected </w:t>
            </w:r>
            <w:r>
              <w:rPr>
                <w:rFonts w:ascii="Times New Roman" w:hAnsi="Times New Roman" w:eastAsia="宋体" w:cs="Times New Roman"/>
                <w:szCs w:val="21"/>
                <w:lang w:val="en-GB"/>
              </w:rPr>
              <w:t>from the</w:t>
            </w:r>
            <w:r>
              <w:rPr>
                <w:rFonts w:hint="eastAsia" w:ascii="Times New Roman" w:hAnsi="Times New Roman" w:cs="Times New Roman"/>
                <w:szCs w:val="21"/>
                <w:lang w:val="en-GB"/>
              </w:rPr>
              <w:t xml:space="preserve"> GWAS dataset</w:t>
            </w:r>
            <w:r>
              <w:rPr>
                <w:rFonts w:ascii="Times New Roman" w:hAnsi="Times New Roman" w:cs="Times New Roman"/>
                <w:szCs w:val="21"/>
                <w:lang w:val="en-GB"/>
              </w:rPr>
              <w:t xml:space="preserve">: (1) </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ndividuals with sleep apnoea and the general population (total 217,955)</w:t>
            </w:r>
            <w:r>
              <w:rPr>
                <w:rFonts w:ascii="Times New Roman" w:hAnsi="Times New Roman" w:cs="Times New Roman"/>
                <w:szCs w:val="21"/>
                <w:lang w:val="en-GB"/>
              </w:rPr>
              <w:t>;</w:t>
            </w:r>
            <w:r>
              <w:rPr>
                <w:rFonts w:hint="eastAsia" w:ascii="Times New Roman" w:hAnsi="Times New Roman" w:cs="Times New Roman"/>
                <w:szCs w:val="21"/>
                <w:lang w:val="en-GB"/>
              </w:rPr>
              <w:t xml:space="preserve"> (2) </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 xml:space="preserve">ndividuals with snoring and the general population (total 408,317); (3) Individuals with </w:t>
            </w:r>
            <w:r>
              <w:rPr>
                <w:rFonts w:hint="eastAsia" w:ascii="Times New Roman" w:hAnsi="Times New Roman" w:cs="Times New Roman"/>
                <w:szCs w:val="21"/>
                <w:lang w:val="en-US" w:eastAsia="zh-CN"/>
              </w:rPr>
              <w:t>insomnia</w:t>
            </w:r>
            <w:r>
              <w:rPr>
                <w:rFonts w:hint="eastAsia" w:ascii="Times New Roman" w:hAnsi="Times New Roman" w:cs="Times New Roman"/>
                <w:szCs w:val="21"/>
                <w:lang w:val="en-GB"/>
              </w:rPr>
              <w:t xml:space="preserve"> and the general population </w:t>
            </w:r>
            <w:r>
              <w:rPr>
                <w:rFonts w:ascii="Times New Roman" w:hAnsi="Times New Roman" w:cs="Times New Roman"/>
                <w:szCs w:val="21"/>
                <w:lang w:val="en-GB"/>
              </w:rPr>
              <w:t>(</w:t>
            </w:r>
            <w:r>
              <w:rPr>
                <w:rFonts w:hint="eastAsia" w:ascii="Times New Roman" w:hAnsi="Times New Roman" w:cs="Times New Roman"/>
                <w:szCs w:val="21"/>
                <w:lang w:val="en-GB"/>
              </w:rPr>
              <w:t>total 462,341</w:t>
            </w:r>
            <w:r>
              <w:rPr>
                <w:rFonts w:ascii="Times New Roman" w:hAnsi="Times New Roman" w:cs="Times New Roman"/>
                <w:szCs w:val="21"/>
                <w:lang w:val="en-GB"/>
              </w:rPr>
              <w:t>)</w:t>
            </w:r>
            <w:r>
              <w:rPr>
                <w:rFonts w:hint="eastAsia" w:ascii="Times New Roman" w:hAnsi="Times New Roman" w:cs="Times New Roman"/>
                <w:szCs w:val="21"/>
                <w:lang w:val="en-GB"/>
              </w:rPr>
              <w:t xml:space="preserve">; (4) Individuals with </w:t>
            </w:r>
            <w:r>
              <w:rPr>
                <w:rFonts w:hint="eastAsia" w:ascii="Times New Roman" w:hAnsi="Times New Roman" w:cs="Times New Roman"/>
                <w:szCs w:val="21"/>
                <w:lang w:val="en-US" w:eastAsia="zh-CN"/>
              </w:rPr>
              <w:t>narcolepsy</w:t>
            </w:r>
            <w:r>
              <w:rPr>
                <w:rFonts w:hint="eastAsia" w:ascii="Times New Roman" w:hAnsi="Times New Roman" w:cs="Times New Roman"/>
                <w:szCs w:val="21"/>
                <w:lang w:val="en-GB"/>
              </w:rPr>
              <w:t xml:space="preserve"> and the general population </w:t>
            </w:r>
            <w:r>
              <w:rPr>
                <w:rFonts w:ascii="Times New Roman" w:hAnsi="Times New Roman" w:cs="Times New Roman"/>
                <w:szCs w:val="21"/>
                <w:lang w:val="en-GB"/>
              </w:rPr>
              <w:t>(</w:t>
            </w:r>
            <w:r>
              <w:rPr>
                <w:rFonts w:hint="eastAsia" w:ascii="Times New Roman" w:hAnsi="Times New Roman" w:cs="Times New Roman"/>
                <w:szCs w:val="21"/>
                <w:lang w:val="en-GB"/>
              </w:rPr>
              <w:t>total 460,913</w:t>
            </w:r>
            <w:r>
              <w:rPr>
                <w:rFonts w:ascii="Times New Roman" w:hAnsi="Times New Roman" w:cs="Times New Roman"/>
                <w:szCs w:val="21"/>
                <w:lang w:val="en-GB"/>
              </w:rPr>
              <w:t>)</w:t>
            </w:r>
            <w:r>
              <w:rPr>
                <w:rFonts w:hint="eastAsia" w:ascii="Times New Roman" w:hAnsi="Times New Roman" w:cs="Times New Roman"/>
                <w:szCs w:val="21"/>
                <w:lang w:val="en-GB"/>
              </w:rPr>
              <w:t xml:space="preserve">; </w:t>
            </w:r>
            <w:r>
              <w:rPr>
                <w:rFonts w:ascii="Times New Roman" w:hAnsi="Times New Roman" w:eastAsia="宋体" w:cs="Times New Roman"/>
                <w:szCs w:val="21"/>
                <w:lang w:val="en-GB"/>
              </w:rPr>
              <w:t xml:space="preserve">and </w:t>
            </w:r>
            <w:r>
              <w:rPr>
                <w:rFonts w:hint="eastAsia" w:ascii="Times New Roman" w:hAnsi="Times New Roman" w:cs="Times New Roman"/>
                <w:szCs w:val="21"/>
                <w:lang w:val="en-GB"/>
              </w:rPr>
              <w:t xml:space="preserve">(5) </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ndividuals with MI and the general population (total 171,875) (S</w:t>
            </w:r>
            <w:r>
              <w:rPr>
                <w:rFonts w:ascii="Times New Roman" w:hAnsi="Times New Roman" w:cs="Times New Roman"/>
                <w:szCs w:val="21"/>
                <w:lang w:val="en-GB"/>
              </w:rPr>
              <w:t xml:space="preserve">upplementary Table </w:t>
            </w:r>
            <w:r>
              <w:rPr>
                <w:rFonts w:hint="eastAsia" w:ascii="Times New Roman" w:hAnsi="Times New Roman" w:cs="Times New Roman"/>
                <w:szCs w:val="21"/>
                <w:lang w:val="en-GB"/>
              </w:rPr>
              <w:t>1). All the GWAS summary statistic</w:t>
            </w:r>
            <w:r>
              <w:rPr>
                <w:rFonts w:ascii="Times New Roman" w:hAnsi="Times New Roman" w:cs="Times New Roman"/>
                <w:szCs w:val="21"/>
                <w:lang w:val="en-GB"/>
              </w:rPr>
              <w:t>s</w:t>
            </w:r>
            <w:r>
              <w:rPr>
                <w:rFonts w:hint="eastAsia" w:ascii="Times New Roman" w:hAnsi="Times New Roman" w:cs="Times New Roman"/>
                <w:szCs w:val="21"/>
                <w:lang w:val="en-GB"/>
              </w:rPr>
              <w:t xml:space="preserve"> were based on the population </w:t>
            </w:r>
            <w:r>
              <w:rPr>
                <w:rFonts w:ascii="Times New Roman" w:hAnsi="Times New Roman" w:eastAsia="宋体" w:cs="Times New Roman"/>
                <w:szCs w:val="21"/>
                <w:lang w:val="en-GB"/>
              </w:rPr>
              <w:t>of</w:t>
            </w:r>
            <w:r>
              <w:rPr>
                <w:rFonts w:ascii="Times New Roman" w:hAnsi="Times New Roman" w:cs="Times New Roman"/>
                <w:szCs w:val="21"/>
                <w:lang w:val="en-GB"/>
              </w:rPr>
              <w:t xml:space="preserve"> </w:t>
            </w:r>
            <w:r>
              <w:rPr>
                <w:rFonts w:hint="eastAsia" w:ascii="Times New Roman" w:hAnsi="Times New Roman" w:cs="Times New Roman"/>
                <w:szCs w:val="21"/>
                <w:lang w:val="en-GB"/>
              </w:rPr>
              <w:t>European ancestry.</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c>
          <w:tcPr>
            <w:tcW w:w="4320" w:type="dxa"/>
            <w:shd w:val="clear" w:color="auto" w:fill="EEEEEE"/>
          </w:tcPr>
          <w:p>
            <w:pPr>
              <w:keepNext w:val="0"/>
              <w:keepLines w:val="0"/>
              <w:pageBreakBefore w:val="0"/>
              <w:kinsoku/>
              <w:wordWrap/>
              <w:overflowPunct/>
              <w:topLinePunct w:val="0"/>
              <w:autoSpaceDE/>
              <w:autoSpaceDN/>
              <w:bidi w:val="0"/>
              <w:adjustRightInd/>
              <w:snapToGrid/>
              <w:spacing w:line="240" w:lineRule="auto"/>
              <w:textAlignment w:val="auto"/>
              <w:rPr>
                <w:rFonts w:ascii="Times New Roman" w:hAnsi="Times New Roman" w:cs="Times New Roman"/>
                <w:szCs w:val="21"/>
              </w:rPr>
            </w:pPr>
            <w:r>
              <w:rPr>
                <w:rFonts w:ascii="Times New Roman" w:hAnsi="Times New Roman" w:cs="Times New Roman"/>
                <w:szCs w:val="21"/>
                <w:lang w:val="en-GB"/>
              </w:rPr>
              <w:t>In the forward MR analysis</w:t>
            </w:r>
            <w:r>
              <w:rPr>
                <w:rFonts w:ascii="Times New Roman" w:hAnsi="Times New Roman" w:eastAsia="宋体" w:cs="Times New Roman"/>
                <w:szCs w:val="21"/>
                <w:lang w:val="en-GB"/>
              </w:rPr>
              <w:t>,</w:t>
            </w:r>
            <w:r>
              <w:rPr>
                <w:rFonts w:ascii="Times New Roman" w:hAnsi="Times New Roman" w:cs="Times New Roman"/>
                <w:szCs w:val="21"/>
                <w:lang w:val="en-GB"/>
              </w:rPr>
              <w:t xml:space="preserve"> sleep disorders were the exposure, and MI was the outcome. </w:t>
            </w:r>
            <w:r>
              <w:rPr>
                <w:rFonts w:hint="eastAsia" w:ascii="Times New Roman" w:hAnsi="Times New Roman" w:cs="Times New Roman"/>
                <w:szCs w:val="21"/>
                <w:lang w:val="en-GB"/>
              </w:rPr>
              <w:t>We first explored the causal effect of sleep apnoea on MI.</w:t>
            </w:r>
            <w:r>
              <w:rPr>
                <w:rFonts w:ascii="Times New Roman" w:hAnsi="Times New Roman" w:cs="Times New Roman"/>
                <w:szCs w:val="21"/>
                <w:lang w:val="en-GB"/>
              </w:rPr>
              <w:t xml:space="preserve"> </w:t>
            </w:r>
            <w:r>
              <w:rPr>
                <w:rFonts w:hint="eastAsia" w:ascii="Times New Roman" w:hAnsi="Times New Roman" w:cs="Times New Roman"/>
                <w:szCs w:val="21"/>
                <w:lang w:val="en-GB"/>
              </w:rPr>
              <w:t xml:space="preserve">As depicted in Figure 2 and Supplementary Table 2, </w:t>
            </w:r>
            <w:r>
              <w:rPr>
                <w:rFonts w:hint="eastAsia" w:ascii="Times New Roman" w:hAnsi="Times New Roman" w:cs="Times New Roman"/>
                <w:szCs w:val="21"/>
                <w:lang w:val="en-US" w:eastAsia="zh-CN"/>
              </w:rPr>
              <w:t xml:space="preserve">The </w:t>
            </w:r>
            <w:r>
              <w:rPr>
                <w:rFonts w:hint="eastAsia" w:ascii="Times New Roman" w:hAnsi="Times New Roman" w:cs="Times New Roman"/>
                <w:szCs w:val="21"/>
                <w:lang w:val="en-GB"/>
              </w:rPr>
              <w:t>IVW analys</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s suggest</w:t>
            </w:r>
            <w:r>
              <w:rPr>
                <w:rFonts w:hint="eastAsia" w:ascii="Times New Roman" w:hAnsi="Times New Roman" w:cs="Times New Roman"/>
                <w:szCs w:val="21"/>
                <w:lang w:val="en-US" w:eastAsia="zh-CN"/>
              </w:rPr>
              <w:t>s</w:t>
            </w:r>
            <w:r>
              <w:rPr>
                <w:rFonts w:hint="eastAsia" w:ascii="Times New Roman" w:hAnsi="Times New Roman" w:cs="Times New Roman"/>
                <w:szCs w:val="21"/>
                <w:lang w:val="en-GB"/>
              </w:rPr>
              <w:t xml:space="preserve"> that sleep apnoea is not a risk factor for MI (OR, 1.0512; 95% CI, 0.9751–1.13323;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0.19273), with no observed heterogeneity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0.0571). </w:t>
            </w:r>
            <w:r>
              <w:rPr>
                <w:rFonts w:ascii="Times New Roman" w:hAnsi="Times New Roman" w:eastAsia="宋体" w:cs="Times New Roman"/>
                <w:szCs w:val="21"/>
                <w:lang w:val="en-GB"/>
              </w:rPr>
              <w:t>The MR‒</w:t>
            </w:r>
            <w:r>
              <w:rPr>
                <w:rFonts w:hint="eastAsia" w:ascii="Times New Roman" w:hAnsi="Times New Roman" w:cs="Times New Roman"/>
                <w:szCs w:val="21"/>
                <w:lang w:val="en-GB"/>
              </w:rPr>
              <w:t>Egger intercept test revealed no evidence of directional pleiotropy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0.6660). We then explored the effects of snoring, insomnia and narcolepsy on MI. </w:t>
            </w:r>
            <w:r>
              <w:rPr>
                <w:rFonts w:hint="eastAsia" w:ascii="Times New Roman" w:hAnsi="Times New Roman" w:eastAsia="宋体" w:cs="Times New Roman"/>
                <w:szCs w:val="21"/>
                <w:lang w:val="en-GB"/>
              </w:rPr>
              <w:t>IVW results suggest that snoring, insomnia and narcolepsy are all risk factors for MI.</w:t>
            </w:r>
            <w:r>
              <w:rPr>
                <w:rFonts w:hint="eastAsia" w:ascii="Times New Roman" w:hAnsi="Times New Roman" w:cs="Times New Roman"/>
                <w:szCs w:val="21"/>
                <w:lang w:val="en-GB"/>
              </w:rPr>
              <w:t xml:space="preserve"> Snoring-MI (OR, 1.57782; 95% CI, 1.08135-2.30222;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0.01799), insomnia-MI (OR, 1.74914; 95% CI, 1.39146</w:t>
            </w:r>
            <w:r>
              <w:rPr>
                <w:rFonts w:ascii="Times New Roman" w:hAnsi="Times New Roman" w:cs="Times New Roman"/>
                <w:szCs w:val="21"/>
                <w:lang w:val="en-GB"/>
              </w:rPr>
              <w:t>–</w:t>
            </w:r>
            <w:r>
              <w:rPr>
                <w:rFonts w:hint="eastAsia" w:ascii="Times New Roman" w:hAnsi="Times New Roman" w:cs="Times New Roman"/>
                <w:szCs w:val="21"/>
                <w:lang w:val="en-GB"/>
              </w:rPr>
              <w:t xml:space="preserve">2.19876;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0.000001), </w:t>
            </w:r>
            <w:r>
              <w:rPr>
                <w:rFonts w:ascii="Times New Roman" w:hAnsi="Times New Roman" w:eastAsia="宋体" w:cs="Times New Roman"/>
                <w:szCs w:val="21"/>
                <w:lang w:val="en-GB"/>
              </w:rPr>
              <w:t xml:space="preserve">and </w:t>
            </w:r>
            <w:r>
              <w:rPr>
                <w:rFonts w:hint="eastAsia" w:ascii="Times New Roman" w:hAnsi="Times New Roman" w:cs="Times New Roman"/>
                <w:szCs w:val="21"/>
                <w:lang w:val="en-GB"/>
              </w:rPr>
              <w:t>narcolepsy-MI (OR, 1.70949; 95% CI, 1.14139</w:t>
            </w:r>
            <w:r>
              <w:rPr>
                <w:rFonts w:ascii="Times New Roman" w:hAnsi="Times New Roman" w:cs="Times New Roman"/>
                <w:szCs w:val="21"/>
                <w:lang w:val="en-GB"/>
              </w:rPr>
              <w:t>–</w:t>
            </w:r>
            <w:r>
              <w:rPr>
                <w:rFonts w:hint="eastAsia" w:ascii="Times New Roman" w:hAnsi="Times New Roman" w:cs="Times New Roman"/>
                <w:szCs w:val="21"/>
                <w:lang w:val="en-GB"/>
              </w:rPr>
              <w:t xml:space="preserve">2.56037; </w:t>
            </w:r>
            <w:r>
              <w:rPr>
                <w:rFonts w:hint="eastAsia" w:ascii="Times New Roman" w:hAnsi="Times New Roman" w:cs="Times New Roman"/>
                <w:i/>
                <w:iCs/>
                <w:szCs w:val="21"/>
                <w:lang w:val="en-GB"/>
              </w:rPr>
              <w:t>P</w:t>
            </w:r>
            <w:r>
              <w:rPr>
                <w:rFonts w:hint="eastAsia" w:ascii="Times New Roman" w:hAnsi="Times New Roman" w:cs="Times New Roman"/>
                <w:szCs w:val="21"/>
                <w:lang w:val="en-GB" w:eastAsia="zh-CN"/>
              </w:rPr>
              <w:t xml:space="preserve"> = 0.009270). The MR</w:t>
            </w:r>
            <w:r>
              <w:rPr>
                <w:rFonts w:ascii="Times New Roman" w:hAnsi="Times New Roman" w:eastAsia="宋体" w:cs="Times New Roman"/>
                <w:szCs w:val="21"/>
                <w:lang w:val="en-GB"/>
              </w:rPr>
              <w:t>‒</w:t>
            </w:r>
            <w:r>
              <w:rPr>
                <w:rFonts w:hint="eastAsia" w:ascii="Times New Roman" w:hAnsi="Times New Roman" w:cs="Times New Roman"/>
                <w:szCs w:val="21"/>
                <w:lang w:val="en-GB" w:eastAsia="zh-CN"/>
              </w:rPr>
              <w:t xml:space="preserve">Egger intercept test was performed for all three tests and </w:t>
            </w:r>
            <w:r>
              <w:rPr>
                <w:rFonts w:ascii="Times New Roman" w:hAnsi="Times New Roman" w:eastAsia="宋体" w:cs="Times New Roman"/>
                <w:szCs w:val="21"/>
                <w:lang w:val="en-GB"/>
              </w:rPr>
              <w:t>revealed</w:t>
            </w:r>
            <w:r>
              <w:rPr>
                <w:rFonts w:hint="eastAsia" w:ascii="Times New Roman" w:hAnsi="Times New Roman" w:cs="Times New Roman"/>
                <w:szCs w:val="21"/>
                <w:lang w:val="en-GB" w:eastAsia="zh-CN"/>
              </w:rPr>
              <w:t xml:space="preserve"> no directional pleiotropy (</w:t>
            </w:r>
            <w:r>
              <w:rPr>
                <w:rFonts w:hint="eastAsia" w:ascii="Times New Roman" w:hAnsi="Times New Roman" w:cs="Times New Roman"/>
                <w:i/>
                <w:iCs/>
                <w:szCs w:val="21"/>
                <w:lang w:val="en-GB" w:eastAsia="zh-CN"/>
              </w:rPr>
              <w:t xml:space="preserve">P </w:t>
            </w:r>
            <w:r>
              <w:rPr>
                <w:rFonts w:hint="eastAsia" w:ascii="Times New Roman" w:hAnsi="Times New Roman" w:cs="Times New Roman"/>
                <w:szCs w:val="21"/>
                <w:lang w:val="en-GB" w:eastAsia="zh-CN"/>
              </w:rPr>
              <w:t>&gt; 0.05). Even though heterogeneity tests showed heterogeneity between the SNP effects of the different instruments (</w:t>
            </w:r>
            <w:r>
              <w:rPr>
                <w:rFonts w:hint="eastAsia" w:ascii="Times New Roman" w:hAnsi="Times New Roman" w:cs="Times New Roman"/>
                <w:i/>
                <w:iCs/>
                <w:szCs w:val="21"/>
                <w:lang w:val="en-GB" w:eastAsia="zh-CN"/>
              </w:rPr>
              <w:t>P</w:t>
            </w:r>
            <w:r>
              <w:rPr>
                <w:rFonts w:hint="eastAsia" w:ascii="Times New Roman" w:hAnsi="Times New Roman" w:cs="Times New Roman"/>
                <w:szCs w:val="21"/>
                <w:lang w:val="en-GB"/>
              </w:rPr>
              <w:t xml:space="preserve"> &lt; 0.05), this causal association was supported by the leave-one-out analysis. The results demonstrated a noteworthy </w:t>
            </w:r>
            <w:r>
              <w:rPr>
                <w:rFonts w:ascii="Times New Roman" w:hAnsi="Times New Roman" w:eastAsia="宋体" w:cs="Times New Roman"/>
                <w:szCs w:val="21"/>
                <w:lang w:val="en-GB"/>
              </w:rPr>
              <w:t>increase</w:t>
            </w:r>
            <w:r>
              <w:rPr>
                <w:rFonts w:hint="eastAsia" w:ascii="Times New Roman" w:hAnsi="Times New Roman" w:cs="Times New Roman"/>
                <w:szCs w:val="21"/>
                <w:lang w:val="en-GB"/>
              </w:rPr>
              <w:t xml:space="preserve"> in the incidence of </w:t>
            </w:r>
            <w:r>
              <w:rPr>
                <w:rFonts w:hint="eastAsia" w:ascii="Times New Roman" w:hAnsi="Times New Roman" w:cs="Times New Roman"/>
                <w:szCs w:val="21"/>
                <w:lang w:val="en-US" w:eastAsia="zh-CN"/>
              </w:rPr>
              <w:t>MI</w:t>
            </w:r>
            <w:r>
              <w:rPr>
                <w:rFonts w:hint="eastAsia" w:ascii="Times New Roman" w:hAnsi="Times New Roman" w:cs="Times New Roman"/>
                <w:szCs w:val="21"/>
                <w:lang w:val="en-GB"/>
              </w:rPr>
              <w:t xml:space="preserve"> within the sleep-disordered population.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GB" w:eastAsia="zh-CN"/>
              </w:rPr>
              <w:t>As shown in Supplementary Table 3 and Supplementary Figure 1, reverse MR analyses indicated that MI was not a risk factor for sleep disorders.</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lang w:val="en-GB"/>
              </w:rPr>
              <w:t xml:space="preserve">The MR results with sleep disorders as exposure and MI as outcome were pooled and </w:t>
            </w:r>
            <w:r>
              <w:rPr>
                <w:rFonts w:hint="eastAsia" w:ascii="Times New Roman" w:hAnsi="Times New Roman" w:cs="Times New Roman"/>
                <w:szCs w:val="21"/>
                <w:lang w:val="en-US" w:eastAsia="zh-CN"/>
              </w:rPr>
              <w:t>M</w:t>
            </w:r>
            <w:r>
              <w:rPr>
                <w:rFonts w:hint="eastAsia" w:ascii="Times New Roman" w:hAnsi="Times New Roman" w:cs="Times New Roman"/>
                <w:szCs w:val="21"/>
                <w:lang w:val="en-GB"/>
              </w:rPr>
              <w:t>eta-analys</w:t>
            </w:r>
            <w:r>
              <w:rPr>
                <w:rFonts w:hint="eastAsia" w:ascii="Times New Roman" w:hAnsi="Times New Roman" w:cs="Times New Roman"/>
                <w:szCs w:val="21"/>
                <w:lang w:val="en-US" w:eastAsia="zh-CN"/>
              </w:rPr>
              <w:t>is</w:t>
            </w:r>
            <w:r>
              <w:rPr>
                <w:rFonts w:hint="eastAsia" w:ascii="Times New Roman" w:hAnsi="Times New Roman" w:cs="Times New Roman"/>
                <w:szCs w:val="21"/>
                <w:lang w:val="en-GB"/>
              </w:rPr>
              <w:t xml:space="preserve">, </w:t>
            </w:r>
            <w:r>
              <w:rPr>
                <w:rFonts w:ascii="Times New Roman" w:hAnsi="Times New Roman" w:eastAsia="宋体" w:cs="Times New Roman"/>
                <w:szCs w:val="21"/>
                <w:lang w:val="en-GB"/>
              </w:rPr>
              <w:t xml:space="preserve">as </w:t>
            </w:r>
            <w:r>
              <w:rPr>
                <w:rFonts w:hint="eastAsia" w:ascii="Times New Roman" w:hAnsi="Times New Roman" w:cs="Times New Roman"/>
                <w:szCs w:val="21"/>
                <w:lang w:val="en-GB"/>
              </w:rPr>
              <w:t xml:space="preserve">illustrated in Figure 3. Findings suggest that sleep disorders are risk factors for </w:t>
            </w:r>
            <w:r>
              <w:rPr>
                <w:rFonts w:hint="eastAsia" w:ascii="Times New Roman" w:hAnsi="Times New Roman" w:cs="Times New Roman"/>
                <w:szCs w:val="21"/>
                <w:lang w:val="en-GB" w:eastAsia="zh-CN"/>
              </w:rPr>
              <w:t>MI</w:t>
            </w:r>
            <w:r>
              <w:rPr>
                <w:rFonts w:hint="eastAsia" w:ascii="Times New Roman" w:hAnsi="Times New Roman" w:cs="Times New Roman"/>
                <w:szCs w:val="21"/>
                <w:lang w:val="en-GB"/>
              </w:rPr>
              <w:t xml:space="preserve"> risk (OR, 1.43; 95% CI, 1.04</w:t>
            </w:r>
            <w:r>
              <w:rPr>
                <w:rFonts w:ascii="Times New Roman" w:hAnsi="Times New Roman" w:cs="Times New Roman"/>
                <w:szCs w:val="21"/>
                <w:lang w:val="en-GB"/>
              </w:rPr>
              <w:t>–</w:t>
            </w:r>
            <w:r>
              <w:rPr>
                <w:rFonts w:hint="eastAsia" w:ascii="Times New Roman" w:hAnsi="Times New Roman" w:cs="Times New Roman"/>
                <w:szCs w:val="21"/>
                <w:lang w:val="en-GB"/>
              </w:rPr>
              <w:t xml:space="preserve">1.98, </w:t>
            </w:r>
            <w:r>
              <w:rPr>
                <w:rFonts w:hint="eastAsia" w:ascii="Times New Roman" w:hAnsi="Times New Roman" w:cs="Times New Roman"/>
                <w:i/>
                <w:iCs/>
                <w:szCs w:val="21"/>
                <w:lang w:val="en-GB"/>
              </w:rPr>
              <w:t>P</w:t>
            </w:r>
            <w:r>
              <w:rPr>
                <w:rFonts w:ascii="Times New Roman" w:hAnsi="Times New Roman" w:cs="Times New Roman"/>
                <w:i/>
                <w:iCs/>
                <w:szCs w:val="21"/>
                <w:lang w:val="en-GB"/>
              </w:rPr>
              <w:t xml:space="preserve"> </w:t>
            </w:r>
            <w:r>
              <w:rPr>
                <w:rFonts w:hint="eastAsia" w:ascii="Times New Roman" w:hAnsi="Times New Roman" w:cs="Times New Roman"/>
                <w:szCs w:val="21"/>
                <w:lang w:val="en-GB"/>
              </w:rPr>
              <w:t>=</w:t>
            </w:r>
            <w:r>
              <w:rPr>
                <w:rFonts w:ascii="Times New Roman" w:hAnsi="Times New Roman" w:cs="Times New Roman"/>
                <w:szCs w:val="21"/>
                <w:lang w:val="en-GB"/>
              </w:rPr>
              <w:t xml:space="preserve"> </w:t>
            </w:r>
            <w:r>
              <w:rPr>
                <w:rFonts w:hint="eastAsia" w:ascii="Times New Roman" w:hAnsi="Times New Roman" w:cs="Times New Roman"/>
                <w:szCs w:val="21"/>
                <w:lang w:val="en-GB"/>
              </w:rPr>
              <w:t>0.03) (Figure 3). The heterogeneity test revealed I=87%, indicating significant heterogeneity in the meta-analysis.</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c>
          <w:tcPr>
            <w:tcW w:w="4320" w:type="dxa"/>
            <w:shd w:val="clear" w:color="auto" w:fill="EEEEEE"/>
          </w:tcPr>
          <w:p>
            <w:pPr>
              <w:keepNext w:val="0"/>
              <w:keepLines w:val="0"/>
              <w:pageBreakBefore w:val="0"/>
              <w:kinsoku/>
              <w:wordWrap/>
              <w:overflowPunct/>
              <w:topLinePunct w:val="0"/>
              <w:autoSpaceDE/>
              <w:autoSpaceDN/>
              <w:bidi w:val="0"/>
              <w:adjustRightInd/>
              <w:snapToGrid/>
              <w:spacing w:line="240" w:lineRule="auto"/>
              <w:textAlignment w:val="auto"/>
              <w:rPr>
                <w:rFonts w:ascii="Times New Roman" w:hAnsi="Times New Roman" w:cs="Times New Roman"/>
                <w:szCs w:val="21"/>
              </w:rPr>
            </w:pPr>
            <w:r>
              <w:rPr>
                <w:rFonts w:ascii="Times New Roman" w:hAnsi="Times New Roman" w:cs="Times New Roman"/>
                <w:szCs w:val="21"/>
                <w:lang w:val="en-GB"/>
              </w:rPr>
              <w:t>In the forward MR analysis</w:t>
            </w:r>
            <w:r>
              <w:rPr>
                <w:rFonts w:ascii="Times New Roman" w:hAnsi="Times New Roman" w:eastAsia="宋体" w:cs="Times New Roman"/>
                <w:szCs w:val="21"/>
                <w:lang w:val="en-GB"/>
              </w:rPr>
              <w:t>,</w:t>
            </w:r>
            <w:r>
              <w:rPr>
                <w:rFonts w:ascii="Times New Roman" w:hAnsi="Times New Roman" w:cs="Times New Roman"/>
                <w:szCs w:val="21"/>
                <w:lang w:val="en-GB"/>
              </w:rPr>
              <w:t xml:space="preserve"> sleep disorders were the exposure, and MI was the outcome. </w:t>
            </w:r>
            <w:r>
              <w:rPr>
                <w:rFonts w:hint="eastAsia" w:ascii="Times New Roman" w:hAnsi="Times New Roman" w:cs="Times New Roman"/>
                <w:szCs w:val="21"/>
                <w:lang w:val="en-GB"/>
              </w:rPr>
              <w:t>We first explored the causal effect of sleep apnoea on MI.</w:t>
            </w:r>
            <w:r>
              <w:rPr>
                <w:rFonts w:ascii="Times New Roman" w:hAnsi="Times New Roman" w:cs="Times New Roman"/>
                <w:szCs w:val="21"/>
                <w:lang w:val="en-GB"/>
              </w:rPr>
              <w:t xml:space="preserve"> </w:t>
            </w:r>
            <w:r>
              <w:rPr>
                <w:rFonts w:hint="eastAsia" w:ascii="Times New Roman" w:hAnsi="Times New Roman" w:cs="Times New Roman"/>
                <w:szCs w:val="21"/>
                <w:lang w:val="en-GB"/>
              </w:rPr>
              <w:t xml:space="preserve">As depicted in Figure 2 and Supplementary Table 2, </w:t>
            </w:r>
            <w:r>
              <w:rPr>
                <w:rFonts w:hint="eastAsia" w:ascii="Times New Roman" w:hAnsi="Times New Roman" w:cs="Times New Roman"/>
                <w:szCs w:val="21"/>
                <w:lang w:val="en-US" w:eastAsia="zh-CN"/>
              </w:rPr>
              <w:t xml:space="preserve">The </w:t>
            </w:r>
            <w:r>
              <w:rPr>
                <w:rFonts w:hint="eastAsia" w:ascii="Times New Roman" w:hAnsi="Times New Roman" w:cs="Times New Roman"/>
                <w:szCs w:val="21"/>
                <w:lang w:val="en-GB"/>
              </w:rPr>
              <w:t>IVW analys</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s suggest</w:t>
            </w:r>
            <w:r>
              <w:rPr>
                <w:rFonts w:hint="eastAsia" w:ascii="Times New Roman" w:hAnsi="Times New Roman" w:cs="Times New Roman"/>
                <w:szCs w:val="21"/>
                <w:lang w:val="en-US" w:eastAsia="zh-CN"/>
              </w:rPr>
              <w:t>s</w:t>
            </w:r>
            <w:r>
              <w:rPr>
                <w:rFonts w:hint="eastAsia" w:ascii="Times New Roman" w:hAnsi="Times New Roman" w:cs="Times New Roman"/>
                <w:szCs w:val="21"/>
                <w:lang w:val="en-GB"/>
              </w:rPr>
              <w:t xml:space="preserve"> that sleep apnoea is not a risk factor for MI (OR, 1.0512; 95% CI, 0.9751–1.13323;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0.19273), with no observed heterogeneity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0.0571). </w:t>
            </w:r>
            <w:r>
              <w:rPr>
                <w:rFonts w:ascii="Times New Roman" w:hAnsi="Times New Roman" w:eastAsia="宋体" w:cs="Times New Roman"/>
                <w:szCs w:val="21"/>
                <w:lang w:val="en-GB"/>
              </w:rPr>
              <w:t>The MR‒</w:t>
            </w:r>
            <w:r>
              <w:rPr>
                <w:rFonts w:hint="eastAsia" w:ascii="Times New Roman" w:hAnsi="Times New Roman" w:cs="Times New Roman"/>
                <w:szCs w:val="21"/>
                <w:lang w:val="en-GB"/>
              </w:rPr>
              <w:t>Egger intercept test revealed no evidence of directional pleiotropy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0.6660). We then explored the effects of snoring, insomnia and narcolepsy on MI. </w:t>
            </w:r>
            <w:r>
              <w:rPr>
                <w:rFonts w:hint="eastAsia" w:ascii="Times New Roman" w:hAnsi="Times New Roman" w:eastAsia="宋体" w:cs="Times New Roman"/>
                <w:szCs w:val="21"/>
                <w:lang w:val="en-GB"/>
              </w:rPr>
              <w:t>IVW results suggest that snoring, insomnia and narcolepsy are all risk factors for MI.</w:t>
            </w:r>
            <w:r>
              <w:rPr>
                <w:rFonts w:hint="eastAsia" w:ascii="Times New Roman" w:hAnsi="Times New Roman" w:cs="Times New Roman"/>
                <w:szCs w:val="21"/>
                <w:lang w:val="en-GB"/>
              </w:rPr>
              <w:t xml:space="preserve"> Snoring-MI (OR, 1.57782; 95% CI, 1.08135-2.30222;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0.01799), insomnia-MI (OR, 1.74914; 95% CI, 1.39146</w:t>
            </w:r>
            <w:r>
              <w:rPr>
                <w:rFonts w:ascii="Times New Roman" w:hAnsi="Times New Roman" w:cs="Times New Roman"/>
                <w:szCs w:val="21"/>
                <w:lang w:val="en-GB"/>
              </w:rPr>
              <w:t>–</w:t>
            </w:r>
            <w:r>
              <w:rPr>
                <w:rFonts w:hint="eastAsia" w:ascii="Times New Roman" w:hAnsi="Times New Roman" w:cs="Times New Roman"/>
                <w:szCs w:val="21"/>
                <w:lang w:val="en-GB"/>
              </w:rPr>
              <w:t xml:space="preserve">2.19876;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0.000001), </w:t>
            </w:r>
            <w:r>
              <w:rPr>
                <w:rFonts w:ascii="Times New Roman" w:hAnsi="Times New Roman" w:eastAsia="宋体" w:cs="Times New Roman"/>
                <w:szCs w:val="21"/>
                <w:lang w:val="en-GB"/>
              </w:rPr>
              <w:t xml:space="preserve">and </w:t>
            </w:r>
            <w:r>
              <w:rPr>
                <w:rFonts w:hint="eastAsia" w:ascii="Times New Roman" w:hAnsi="Times New Roman" w:cs="Times New Roman"/>
                <w:szCs w:val="21"/>
                <w:lang w:val="en-GB"/>
              </w:rPr>
              <w:t>narcolepsy-MI (OR, 1.70949; 95% CI, 1.14139</w:t>
            </w:r>
            <w:r>
              <w:rPr>
                <w:rFonts w:ascii="Times New Roman" w:hAnsi="Times New Roman" w:cs="Times New Roman"/>
                <w:szCs w:val="21"/>
                <w:lang w:val="en-GB"/>
              </w:rPr>
              <w:t>–</w:t>
            </w:r>
            <w:r>
              <w:rPr>
                <w:rFonts w:hint="eastAsia" w:ascii="Times New Roman" w:hAnsi="Times New Roman" w:cs="Times New Roman"/>
                <w:szCs w:val="21"/>
                <w:lang w:val="en-GB"/>
              </w:rPr>
              <w:t xml:space="preserve">2.56037; </w:t>
            </w:r>
            <w:r>
              <w:rPr>
                <w:rFonts w:hint="eastAsia" w:ascii="Times New Roman" w:hAnsi="Times New Roman" w:cs="Times New Roman"/>
                <w:i/>
                <w:iCs/>
                <w:szCs w:val="21"/>
                <w:lang w:val="en-GB"/>
              </w:rPr>
              <w:t>P</w:t>
            </w:r>
            <w:r>
              <w:rPr>
                <w:rFonts w:hint="eastAsia" w:ascii="Times New Roman" w:hAnsi="Times New Roman" w:cs="Times New Roman"/>
                <w:szCs w:val="21"/>
                <w:lang w:val="en-GB" w:eastAsia="zh-CN"/>
              </w:rPr>
              <w:t xml:space="preserve"> = 0.009270). The MR</w:t>
            </w:r>
            <w:r>
              <w:rPr>
                <w:rFonts w:ascii="Times New Roman" w:hAnsi="Times New Roman" w:eastAsia="宋体" w:cs="Times New Roman"/>
                <w:szCs w:val="21"/>
                <w:lang w:val="en-GB"/>
              </w:rPr>
              <w:t>‒</w:t>
            </w:r>
            <w:r>
              <w:rPr>
                <w:rFonts w:hint="eastAsia" w:ascii="Times New Roman" w:hAnsi="Times New Roman" w:cs="Times New Roman"/>
                <w:szCs w:val="21"/>
                <w:lang w:val="en-GB" w:eastAsia="zh-CN"/>
              </w:rPr>
              <w:t xml:space="preserve">Egger intercept test was performed for all three tests and </w:t>
            </w:r>
            <w:r>
              <w:rPr>
                <w:rFonts w:ascii="Times New Roman" w:hAnsi="Times New Roman" w:eastAsia="宋体" w:cs="Times New Roman"/>
                <w:szCs w:val="21"/>
                <w:lang w:val="en-GB"/>
              </w:rPr>
              <w:t>revealed</w:t>
            </w:r>
            <w:r>
              <w:rPr>
                <w:rFonts w:hint="eastAsia" w:ascii="Times New Roman" w:hAnsi="Times New Roman" w:cs="Times New Roman"/>
                <w:szCs w:val="21"/>
                <w:lang w:val="en-GB" w:eastAsia="zh-CN"/>
              </w:rPr>
              <w:t xml:space="preserve"> no directional pleiotropy (</w:t>
            </w:r>
            <w:r>
              <w:rPr>
                <w:rFonts w:hint="eastAsia" w:ascii="Times New Roman" w:hAnsi="Times New Roman" w:cs="Times New Roman"/>
                <w:i/>
                <w:iCs/>
                <w:szCs w:val="21"/>
                <w:lang w:val="en-GB" w:eastAsia="zh-CN"/>
              </w:rPr>
              <w:t xml:space="preserve">P </w:t>
            </w:r>
            <w:r>
              <w:rPr>
                <w:rFonts w:hint="eastAsia" w:ascii="Times New Roman" w:hAnsi="Times New Roman" w:cs="Times New Roman"/>
                <w:szCs w:val="21"/>
                <w:lang w:val="en-GB" w:eastAsia="zh-CN"/>
              </w:rPr>
              <w:t>&gt; 0.05). Even though heterogeneity tests showed heterogeneity between the SNP effects of the different instruments (</w:t>
            </w:r>
            <w:r>
              <w:rPr>
                <w:rFonts w:hint="eastAsia" w:ascii="Times New Roman" w:hAnsi="Times New Roman" w:cs="Times New Roman"/>
                <w:i/>
                <w:iCs/>
                <w:szCs w:val="21"/>
                <w:lang w:val="en-GB" w:eastAsia="zh-CN"/>
              </w:rPr>
              <w:t>P</w:t>
            </w:r>
            <w:r>
              <w:rPr>
                <w:rFonts w:hint="eastAsia" w:ascii="Times New Roman" w:hAnsi="Times New Roman" w:cs="Times New Roman"/>
                <w:szCs w:val="21"/>
                <w:lang w:val="en-GB"/>
              </w:rPr>
              <w:t xml:space="preserve"> &lt; 0.05), this causal association was supported by the leave-one-out analysis. The results demonstrated a noteworthy </w:t>
            </w:r>
            <w:r>
              <w:rPr>
                <w:rFonts w:ascii="Times New Roman" w:hAnsi="Times New Roman" w:eastAsia="宋体" w:cs="Times New Roman"/>
                <w:szCs w:val="21"/>
                <w:lang w:val="en-GB"/>
              </w:rPr>
              <w:t>increase</w:t>
            </w:r>
            <w:r>
              <w:rPr>
                <w:rFonts w:hint="eastAsia" w:ascii="Times New Roman" w:hAnsi="Times New Roman" w:cs="Times New Roman"/>
                <w:szCs w:val="21"/>
                <w:lang w:val="en-GB"/>
              </w:rPr>
              <w:t xml:space="preserve"> in the incidence of </w:t>
            </w:r>
            <w:r>
              <w:rPr>
                <w:rFonts w:hint="eastAsia" w:ascii="Times New Roman" w:hAnsi="Times New Roman" w:cs="Times New Roman"/>
                <w:szCs w:val="21"/>
                <w:lang w:val="en-US" w:eastAsia="zh-CN"/>
              </w:rPr>
              <w:t>MI</w:t>
            </w:r>
            <w:r>
              <w:rPr>
                <w:rFonts w:hint="eastAsia" w:ascii="Times New Roman" w:hAnsi="Times New Roman" w:cs="Times New Roman"/>
                <w:szCs w:val="21"/>
                <w:lang w:val="en-GB"/>
              </w:rPr>
              <w:t xml:space="preserve"> within the sleep-disordered population.</w:t>
            </w:r>
          </w:p>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Exposure and outcome populations are from different traits, so there is no overlapping population</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eastAsia="Cambria"/>
                <w:sz w:val="18"/>
                <w:szCs w:val="18"/>
                <w:lang w:val="en-GB" w:eastAsia="en-US"/>
              </w:rPr>
            </w:pPr>
          </w:p>
        </w:tc>
        <w:tc>
          <w:tcPr>
            <w:tcW w:w="4320"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P1=5e-6</w:t>
            </w:r>
          </w:p>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P2=5e-5</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3</w:t>
            </w:r>
          </w:p>
        </w:tc>
        <w:tc>
          <w:tcPr>
            <w:tcW w:w="4320" w:type="dxa"/>
          </w:tcPr>
          <w:p>
            <w:pPr>
              <w:keepNext w:val="0"/>
              <w:keepLines w:val="0"/>
              <w:pageBreakBefore w:val="0"/>
              <w:kinsoku/>
              <w:wordWrap/>
              <w:overflowPunct/>
              <w:topLinePunct w:val="0"/>
              <w:autoSpaceDE/>
              <w:autoSpaceDN/>
              <w:bidi w:val="0"/>
              <w:adjustRightInd/>
              <w:snapToGrid/>
              <w:spacing w:line="240" w:lineRule="auto"/>
              <w:textAlignment w:val="auto"/>
              <w:rPr>
                <w:rFonts w:ascii="Times New Roman" w:hAnsi="Times New Roman" w:cs="Times New Roman"/>
                <w:szCs w:val="21"/>
              </w:rPr>
            </w:pPr>
            <w:r>
              <w:rPr>
                <w:rFonts w:ascii="Times New Roman" w:hAnsi="Times New Roman" w:cs="Times New Roman"/>
                <w:szCs w:val="21"/>
                <w:lang w:val="en-GB"/>
              </w:rPr>
              <w:t>In the forward MR analysis</w:t>
            </w:r>
            <w:r>
              <w:rPr>
                <w:rFonts w:ascii="Times New Roman" w:hAnsi="Times New Roman" w:eastAsia="宋体" w:cs="Times New Roman"/>
                <w:szCs w:val="21"/>
                <w:lang w:val="en-GB"/>
              </w:rPr>
              <w:t>,</w:t>
            </w:r>
            <w:r>
              <w:rPr>
                <w:rFonts w:ascii="Times New Roman" w:hAnsi="Times New Roman" w:cs="Times New Roman"/>
                <w:szCs w:val="21"/>
                <w:lang w:val="en-GB"/>
              </w:rPr>
              <w:t xml:space="preserve"> sleep disorders were the exposure, and MI was the outcome. </w:t>
            </w:r>
            <w:r>
              <w:rPr>
                <w:rFonts w:hint="eastAsia" w:ascii="Times New Roman" w:hAnsi="Times New Roman" w:cs="Times New Roman"/>
                <w:szCs w:val="21"/>
                <w:lang w:val="en-GB"/>
              </w:rPr>
              <w:t>We first explored the causal effect of sleep apnoea on MI.</w:t>
            </w:r>
            <w:r>
              <w:rPr>
                <w:rFonts w:ascii="Times New Roman" w:hAnsi="Times New Roman" w:cs="Times New Roman"/>
                <w:szCs w:val="21"/>
                <w:lang w:val="en-GB"/>
              </w:rPr>
              <w:t xml:space="preserve"> </w:t>
            </w:r>
            <w:r>
              <w:rPr>
                <w:rFonts w:hint="eastAsia" w:ascii="Times New Roman" w:hAnsi="Times New Roman" w:cs="Times New Roman"/>
                <w:szCs w:val="21"/>
                <w:lang w:val="en-GB"/>
              </w:rPr>
              <w:t xml:space="preserve">As depicted in Figure 2 and Supplementary Table 2, </w:t>
            </w:r>
            <w:r>
              <w:rPr>
                <w:rFonts w:hint="eastAsia" w:ascii="Times New Roman" w:hAnsi="Times New Roman" w:cs="Times New Roman"/>
                <w:szCs w:val="21"/>
                <w:lang w:val="en-US" w:eastAsia="zh-CN"/>
              </w:rPr>
              <w:t xml:space="preserve">The </w:t>
            </w:r>
            <w:r>
              <w:rPr>
                <w:rFonts w:hint="eastAsia" w:ascii="Times New Roman" w:hAnsi="Times New Roman" w:cs="Times New Roman"/>
                <w:szCs w:val="21"/>
                <w:lang w:val="en-GB"/>
              </w:rPr>
              <w:t>IVW analys</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s suggest</w:t>
            </w:r>
            <w:r>
              <w:rPr>
                <w:rFonts w:hint="eastAsia" w:ascii="Times New Roman" w:hAnsi="Times New Roman" w:cs="Times New Roman"/>
                <w:szCs w:val="21"/>
                <w:lang w:val="en-US" w:eastAsia="zh-CN"/>
              </w:rPr>
              <w:t>s</w:t>
            </w:r>
            <w:r>
              <w:rPr>
                <w:rFonts w:hint="eastAsia" w:ascii="Times New Roman" w:hAnsi="Times New Roman" w:cs="Times New Roman"/>
                <w:szCs w:val="21"/>
                <w:lang w:val="en-GB"/>
              </w:rPr>
              <w:t xml:space="preserve"> that sleep apnoea is not a risk factor for MI (OR, 1.0512; 95% CI, 0.9751–1.13323;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0.19273), with no observed heterogeneity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0.0571). </w:t>
            </w:r>
            <w:r>
              <w:rPr>
                <w:rFonts w:ascii="Times New Roman" w:hAnsi="Times New Roman" w:eastAsia="宋体" w:cs="Times New Roman"/>
                <w:szCs w:val="21"/>
                <w:lang w:val="en-GB"/>
              </w:rPr>
              <w:t>The MR‒</w:t>
            </w:r>
            <w:r>
              <w:rPr>
                <w:rFonts w:hint="eastAsia" w:ascii="Times New Roman" w:hAnsi="Times New Roman" w:cs="Times New Roman"/>
                <w:szCs w:val="21"/>
                <w:lang w:val="en-GB"/>
              </w:rPr>
              <w:t>Egger intercept test revealed no evidence of directional pleiotropy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0.6660). We then explored the effects of snoring, insomnia and narcolepsy on MI. </w:t>
            </w:r>
            <w:r>
              <w:rPr>
                <w:rFonts w:hint="eastAsia" w:ascii="Times New Roman" w:hAnsi="Times New Roman" w:eastAsia="宋体" w:cs="Times New Roman"/>
                <w:szCs w:val="21"/>
                <w:lang w:val="en-GB"/>
              </w:rPr>
              <w:t>IVW results suggest that snoring, insomnia and narcolepsy are all risk factors for MI.</w:t>
            </w:r>
            <w:r>
              <w:rPr>
                <w:rFonts w:hint="eastAsia" w:ascii="Times New Roman" w:hAnsi="Times New Roman" w:cs="Times New Roman"/>
                <w:szCs w:val="21"/>
                <w:lang w:val="en-GB"/>
              </w:rPr>
              <w:t xml:space="preserve"> Snoring-MI (OR, 1.57782; 95% CI, 1.08135-2.30222;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0.01799), insomnia-MI (OR, 1.74914; 95% CI, 1.39146</w:t>
            </w:r>
            <w:r>
              <w:rPr>
                <w:rFonts w:ascii="Times New Roman" w:hAnsi="Times New Roman" w:cs="Times New Roman"/>
                <w:szCs w:val="21"/>
                <w:lang w:val="en-GB"/>
              </w:rPr>
              <w:t>–</w:t>
            </w:r>
            <w:r>
              <w:rPr>
                <w:rFonts w:hint="eastAsia" w:ascii="Times New Roman" w:hAnsi="Times New Roman" w:cs="Times New Roman"/>
                <w:szCs w:val="21"/>
                <w:lang w:val="en-GB"/>
              </w:rPr>
              <w:t xml:space="preserve">2.19876;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0.000001), </w:t>
            </w:r>
            <w:r>
              <w:rPr>
                <w:rFonts w:ascii="Times New Roman" w:hAnsi="Times New Roman" w:eastAsia="宋体" w:cs="Times New Roman"/>
                <w:szCs w:val="21"/>
                <w:lang w:val="en-GB"/>
              </w:rPr>
              <w:t xml:space="preserve">and </w:t>
            </w:r>
            <w:r>
              <w:rPr>
                <w:rFonts w:hint="eastAsia" w:ascii="Times New Roman" w:hAnsi="Times New Roman" w:cs="Times New Roman"/>
                <w:szCs w:val="21"/>
                <w:lang w:val="en-GB"/>
              </w:rPr>
              <w:t>narcolepsy-MI (OR, 1.70949; 95% CI, 1.14139</w:t>
            </w:r>
            <w:r>
              <w:rPr>
                <w:rFonts w:ascii="Times New Roman" w:hAnsi="Times New Roman" w:cs="Times New Roman"/>
                <w:szCs w:val="21"/>
                <w:lang w:val="en-GB"/>
              </w:rPr>
              <w:t>–</w:t>
            </w:r>
            <w:r>
              <w:rPr>
                <w:rFonts w:hint="eastAsia" w:ascii="Times New Roman" w:hAnsi="Times New Roman" w:cs="Times New Roman"/>
                <w:szCs w:val="21"/>
                <w:lang w:val="en-GB"/>
              </w:rPr>
              <w:t xml:space="preserve">2.56037; </w:t>
            </w:r>
            <w:r>
              <w:rPr>
                <w:rFonts w:hint="eastAsia" w:ascii="Times New Roman" w:hAnsi="Times New Roman" w:cs="Times New Roman"/>
                <w:i/>
                <w:iCs/>
                <w:szCs w:val="21"/>
                <w:lang w:val="en-GB"/>
              </w:rPr>
              <w:t>P</w:t>
            </w:r>
            <w:r>
              <w:rPr>
                <w:rFonts w:hint="eastAsia" w:ascii="Times New Roman" w:hAnsi="Times New Roman" w:cs="Times New Roman"/>
                <w:szCs w:val="21"/>
                <w:lang w:val="en-GB" w:eastAsia="zh-CN"/>
              </w:rPr>
              <w:t xml:space="preserve"> = 0.009270). The MR</w:t>
            </w:r>
            <w:r>
              <w:rPr>
                <w:rFonts w:ascii="Times New Roman" w:hAnsi="Times New Roman" w:eastAsia="宋体" w:cs="Times New Roman"/>
                <w:szCs w:val="21"/>
                <w:lang w:val="en-GB"/>
              </w:rPr>
              <w:t>‒</w:t>
            </w:r>
            <w:r>
              <w:rPr>
                <w:rFonts w:hint="eastAsia" w:ascii="Times New Roman" w:hAnsi="Times New Roman" w:cs="Times New Roman"/>
                <w:szCs w:val="21"/>
                <w:lang w:val="en-GB" w:eastAsia="zh-CN"/>
              </w:rPr>
              <w:t xml:space="preserve">Egger intercept test was performed for all three tests and </w:t>
            </w:r>
            <w:r>
              <w:rPr>
                <w:rFonts w:ascii="Times New Roman" w:hAnsi="Times New Roman" w:eastAsia="宋体" w:cs="Times New Roman"/>
                <w:szCs w:val="21"/>
                <w:lang w:val="en-GB"/>
              </w:rPr>
              <w:t>revealed</w:t>
            </w:r>
            <w:r>
              <w:rPr>
                <w:rFonts w:hint="eastAsia" w:ascii="Times New Roman" w:hAnsi="Times New Roman" w:cs="Times New Roman"/>
                <w:szCs w:val="21"/>
                <w:lang w:val="en-GB" w:eastAsia="zh-CN"/>
              </w:rPr>
              <w:t xml:space="preserve"> no directional pleiotropy (</w:t>
            </w:r>
            <w:r>
              <w:rPr>
                <w:rFonts w:hint="eastAsia" w:ascii="Times New Roman" w:hAnsi="Times New Roman" w:cs="Times New Roman"/>
                <w:i/>
                <w:iCs/>
                <w:szCs w:val="21"/>
                <w:lang w:val="en-GB" w:eastAsia="zh-CN"/>
              </w:rPr>
              <w:t xml:space="preserve">P </w:t>
            </w:r>
            <w:r>
              <w:rPr>
                <w:rFonts w:hint="eastAsia" w:ascii="Times New Roman" w:hAnsi="Times New Roman" w:cs="Times New Roman"/>
                <w:szCs w:val="21"/>
                <w:lang w:val="en-GB" w:eastAsia="zh-CN"/>
              </w:rPr>
              <w:t>&gt; 0.05). Even though heterogeneity tests showed heterogeneity between the SNP effects of the different instruments (</w:t>
            </w:r>
            <w:r>
              <w:rPr>
                <w:rFonts w:hint="eastAsia" w:ascii="Times New Roman" w:hAnsi="Times New Roman" w:cs="Times New Roman"/>
                <w:i/>
                <w:iCs/>
                <w:szCs w:val="21"/>
                <w:lang w:val="en-GB" w:eastAsia="zh-CN"/>
              </w:rPr>
              <w:t>P</w:t>
            </w:r>
            <w:r>
              <w:rPr>
                <w:rFonts w:hint="eastAsia" w:ascii="Times New Roman" w:hAnsi="Times New Roman" w:cs="Times New Roman"/>
                <w:szCs w:val="21"/>
                <w:lang w:val="en-GB"/>
              </w:rPr>
              <w:t xml:space="preserve"> &lt; 0.05), this causal association was supported by the leave-one-out analysis. The results demonstrated a noteworthy </w:t>
            </w:r>
            <w:r>
              <w:rPr>
                <w:rFonts w:ascii="Times New Roman" w:hAnsi="Times New Roman" w:eastAsia="宋体" w:cs="Times New Roman"/>
                <w:szCs w:val="21"/>
                <w:lang w:val="en-GB"/>
              </w:rPr>
              <w:t>increase</w:t>
            </w:r>
            <w:r>
              <w:rPr>
                <w:rFonts w:hint="eastAsia" w:ascii="Times New Roman" w:hAnsi="Times New Roman" w:cs="Times New Roman"/>
                <w:szCs w:val="21"/>
                <w:lang w:val="en-GB"/>
              </w:rPr>
              <w:t xml:space="preserve"> in the incidence of </w:t>
            </w:r>
            <w:r>
              <w:rPr>
                <w:rFonts w:hint="eastAsia" w:ascii="Times New Roman" w:hAnsi="Times New Roman" w:cs="Times New Roman"/>
                <w:szCs w:val="21"/>
                <w:lang w:val="en-US" w:eastAsia="zh-CN"/>
              </w:rPr>
              <w:t>MI</w:t>
            </w:r>
            <w:r>
              <w:rPr>
                <w:rFonts w:hint="eastAsia" w:ascii="Times New Roman" w:hAnsi="Times New Roman" w:cs="Times New Roman"/>
                <w:szCs w:val="21"/>
                <w:lang w:val="en-GB"/>
              </w:rPr>
              <w:t xml:space="preserve"> within the sleep-disordered population.</w:t>
            </w:r>
          </w:p>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Exposure and outcome populations are from different traits, so there is no overlapping population</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Figure 2</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vMerge w:val="restart"/>
          </w:tcPr>
          <w:p>
            <w:pPr>
              <w:keepNext w:val="0"/>
              <w:keepLines w:val="0"/>
              <w:pageBreakBefore w:val="0"/>
              <w:kinsoku/>
              <w:wordWrap/>
              <w:overflowPunct/>
              <w:topLinePunct w:val="0"/>
              <w:autoSpaceDE/>
              <w:autoSpaceDN/>
              <w:bidi w:val="0"/>
              <w:adjustRightInd/>
              <w:snapToGrid/>
              <w:spacing w:line="240" w:lineRule="auto"/>
              <w:textAlignment w:val="auto"/>
              <w:rPr>
                <w:rFonts w:ascii="Times New Roman" w:hAnsi="Times New Roman" w:cs="Times New Roman"/>
                <w:szCs w:val="21"/>
              </w:rPr>
            </w:pPr>
            <w:r>
              <w:rPr>
                <w:rFonts w:ascii="Times New Roman" w:hAnsi="Times New Roman" w:cs="Times New Roman"/>
                <w:szCs w:val="21"/>
                <w:lang w:val="en-GB"/>
              </w:rPr>
              <w:t>In the forward MR analysis</w:t>
            </w:r>
            <w:r>
              <w:rPr>
                <w:rFonts w:ascii="Times New Roman" w:hAnsi="Times New Roman" w:eastAsia="宋体" w:cs="Times New Roman"/>
                <w:szCs w:val="21"/>
                <w:lang w:val="en-GB"/>
              </w:rPr>
              <w:t>,</w:t>
            </w:r>
            <w:r>
              <w:rPr>
                <w:rFonts w:ascii="Times New Roman" w:hAnsi="Times New Roman" w:cs="Times New Roman"/>
                <w:szCs w:val="21"/>
                <w:lang w:val="en-GB"/>
              </w:rPr>
              <w:t xml:space="preserve"> sleep disorders were the exposure, and MI was the outcome. </w:t>
            </w:r>
            <w:r>
              <w:rPr>
                <w:rFonts w:hint="eastAsia" w:ascii="Times New Roman" w:hAnsi="Times New Roman" w:cs="Times New Roman"/>
                <w:szCs w:val="21"/>
                <w:lang w:val="en-GB"/>
              </w:rPr>
              <w:t>We first explored the causal effect of sleep apnoea on MI.</w:t>
            </w:r>
            <w:r>
              <w:rPr>
                <w:rFonts w:ascii="Times New Roman" w:hAnsi="Times New Roman" w:cs="Times New Roman"/>
                <w:szCs w:val="21"/>
                <w:lang w:val="en-GB"/>
              </w:rPr>
              <w:t xml:space="preserve"> </w:t>
            </w:r>
            <w:r>
              <w:rPr>
                <w:rFonts w:hint="eastAsia" w:ascii="Times New Roman" w:hAnsi="Times New Roman" w:cs="Times New Roman"/>
                <w:szCs w:val="21"/>
                <w:lang w:val="en-GB"/>
              </w:rPr>
              <w:t xml:space="preserve">As depicted in Figure 2 and Supplementary Table 2, </w:t>
            </w:r>
            <w:r>
              <w:rPr>
                <w:rFonts w:hint="eastAsia" w:ascii="Times New Roman" w:hAnsi="Times New Roman" w:cs="Times New Roman"/>
                <w:szCs w:val="21"/>
                <w:lang w:val="en-US" w:eastAsia="zh-CN"/>
              </w:rPr>
              <w:t xml:space="preserve">The </w:t>
            </w:r>
            <w:r>
              <w:rPr>
                <w:rFonts w:hint="eastAsia" w:ascii="Times New Roman" w:hAnsi="Times New Roman" w:cs="Times New Roman"/>
                <w:szCs w:val="21"/>
                <w:lang w:val="en-GB"/>
              </w:rPr>
              <w:t>IVW analys</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s suggest</w:t>
            </w:r>
            <w:r>
              <w:rPr>
                <w:rFonts w:hint="eastAsia" w:ascii="Times New Roman" w:hAnsi="Times New Roman" w:cs="Times New Roman"/>
                <w:szCs w:val="21"/>
                <w:lang w:val="en-US" w:eastAsia="zh-CN"/>
              </w:rPr>
              <w:t>s</w:t>
            </w:r>
            <w:r>
              <w:rPr>
                <w:rFonts w:hint="eastAsia" w:ascii="Times New Roman" w:hAnsi="Times New Roman" w:cs="Times New Roman"/>
                <w:szCs w:val="21"/>
                <w:lang w:val="en-GB"/>
              </w:rPr>
              <w:t xml:space="preserve"> that sleep apnoea is not a risk factor for MI (OR, 1.0512; 95% CI, 0.9751–1.13323;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0.19273), with no observed heterogeneity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0.0571). </w:t>
            </w:r>
            <w:r>
              <w:rPr>
                <w:rFonts w:ascii="Times New Roman" w:hAnsi="Times New Roman" w:eastAsia="宋体" w:cs="Times New Roman"/>
                <w:szCs w:val="21"/>
                <w:lang w:val="en-GB"/>
              </w:rPr>
              <w:t>The MR‒</w:t>
            </w:r>
            <w:r>
              <w:rPr>
                <w:rFonts w:hint="eastAsia" w:ascii="Times New Roman" w:hAnsi="Times New Roman" w:cs="Times New Roman"/>
                <w:szCs w:val="21"/>
                <w:lang w:val="en-GB"/>
              </w:rPr>
              <w:t>Egger intercept test revealed no evidence of directional pleiotropy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0.6660). We then explored the effects of snoring, insomnia and narcolepsy on MI. </w:t>
            </w:r>
            <w:r>
              <w:rPr>
                <w:rFonts w:hint="eastAsia" w:ascii="Times New Roman" w:hAnsi="Times New Roman" w:eastAsia="宋体" w:cs="Times New Roman"/>
                <w:szCs w:val="21"/>
                <w:lang w:val="en-GB"/>
              </w:rPr>
              <w:t>IVW results suggest that snoring, insomnia and narcolepsy are all risk factors for MI.</w:t>
            </w:r>
            <w:r>
              <w:rPr>
                <w:rFonts w:hint="eastAsia" w:ascii="Times New Roman" w:hAnsi="Times New Roman" w:cs="Times New Roman"/>
                <w:szCs w:val="21"/>
                <w:lang w:val="en-GB"/>
              </w:rPr>
              <w:t xml:space="preserve"> Snoring-MI (OR, 1.57782; 95% CI, 1.08135-2.30222;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0.01799), insomnia-MI (OR, 1.74914; 95% CI, 1.39146</w:t>
            </w:r>
            <w:r>
              <w:rPr>
                <w:rFonts w:ascii="Times New Roman" w:hAnsi="Times New Roman" w:cs="Times New Roman"/>
                <w:szCs w:val="21"/>
                <w:lang w:val="en-GB"/>
              </w:rPr>
              <w:t>–</w:t>
            </w:r>
            <w:r>
              <w:rPr>
                <w:rFonts w:hint="eastAsia" w:ascii="Times New Roman" w:hAnsi="Times New Roman" w:cs="Times New Roman"/>
                <w:szCs w:val="21"/>
                <w:lang w:val="en-GB"/>
              </w:rPr>
              <w:t xml:space="preserve">2.19876;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0.000001), </w:t>
            </w:r>
            <w:r>
              <w:rPr>
                <w:rFonts w:ascii="Times New Roman" w:hAnsi="Times New Roman" w:eastAsia="宋体" w:cs="Times New Roman"/>
                <w:szCs w:val="21"/>
                <w:lang w:val="en-GB"/>
              </w:rPr>
              <w:t xml:space="preserve">and </w:t>
            </w:r>
            <w:r>
              <w:rPr>
                <w:rFonts w:hint="eastAsia" w:ascii="Times New Roman" w:hAnsi="Times New Roman" w:cs="Times New Roman"/>
                <w:szCs w:val="21"/>
                <w:lang w:val="en-GB"/>
              </w:rPr>
              <w:t>narcolepsy-MI (OR, 1.70949; 95% CI, 1.14139</w:t>
            </w:r>
            <w:r>
              <w:rPr>
                <w:rFonts w:ascii="Times New Roman" w:hAnsi="Times New Roman" w:cs="Times New Roman"/>
                <w:szCs w:val="21"/>
                <w:lang w:val="en-GB"/>
              </w:rPr>
              <w:t>–</w:t>
            </w:r>
            <w:r>
              <w:rPr>
                <w:rFonts w:hint="eastAsia" w:ascii="Times New Roman" w:hAnsi="Times New Roman" w:cs="Times New Roman"/>
                <w:szCs w:val="21"/>
                <w:lang w:val="en-GB"/>
              </w:rPr>
              <w:t xml:space="preserve">2.56037; </w:t>
            </w:r>
            <w:r>
              <w:rPr>
                <w:rFonts w:hint="eastAsia" w:ascii="Times New Roman" w:hAnsi="Times New Roman" w:cs="Times New Roman"/>
                <w:i/>
                <w:iCs/>
                <w:szCs w:val="21"/>
                <w:lang w:val="en-GB"/>
              </w:rPr>
              <w:t>P</w:t>
            </w:r>
            <w:r>
              <w:rPr>
                <w:rFonts w:hint="eastAsia" w:ascii="Times New Roman" w:hAnsi="Times New Roman" w:cs="Times New Roman"/>
                <w:szCs w:val="21"/>
                <w:lang w:val="en-GB" w:eastAsia="zh-CN"/>
              </w:rPr>
              <w:t xml:space="preserve"> = 0.009270). The MR</w:t>
            </w:r>
            <w:r>
              <w:rPr>
                <w:rFonts w:ascii="Times New Roman" w:hAnsi="Times New Roman" w:eastAsia="宋体" w:cs="Times New Roman"/>
                <w:szCs w:val="21"/>
                <w:lang w:val="en-GB"/>
              </w:rPr>
              <w:t>‒</w:t>
            </w:r>
            <w:r>
              <w:rPr>
                <w:rFonts w:hint="eastAsia" w:ascii="Times New Roman" w:hAnsi="Times New Roman" w:cs="Times New Roman"/>
                <w:szCs w:val="21"/>
                <w:lang w:val="en-GB" w:eastAsia="zh-CN"/>
              </w:rPr>
              <w:t xml:space="preserve">Egger intercept test was performed for all three tests and </w:t>
            </w:r>
            <w:r>
              <w:rPr>
                <w:rFonts w:ascii="Times New Roman" w:hAnsi="Times New Roman" w:eastAsia="宋体" w:cs="Times New Roman"/>
                <w:szCs w:val="21"/>
                <w:lang w:val="en-GB"/>
              </w:rPr>
              <w:t>revealed</w:t>
            </w:r>
            <w:r>
              <w:rPr>
                <w:rFonts w:hint="eastAsia" w:ascii="Times New Roman" w:hAnsi="Times New Roman" w:cs="Times New Roman"/>
                <w:szCs w:val="21"/>
                <w:lang w:val="en-GB" w:eastAsia="zh-CN"/>
              </w:rPr>
              <w:t xml:space="preserve"> no directional pleiotropy (</w:t>
            </w:r>
            <w:r>
              <w:rPr>
                <w:rFonts w:hint="eastAsia" w:ascii="Times New Roman" w:hAnsi="Times New Roman" w:cs="Times New Roman"/>
                <w:i/>
                <w:iCs/>
                <w:szCs w:val="21"/>
                <w:lang w:val="en-GB" w:eastAsia="zh-CN"/>
              </w:rPr>
              <w:t xml:space="preserve">P </w:t>
            </w:r>
            <w:r>
              <w:rPr>
                <w:rFonts w:hint="eastAsia" w:ascii="Times New Roman" w:hAnsi="Times New Roman" w:cs="Times New Roman"/>
                <w:szCs w:val="21"/>
                <w:lang w:val="en-GB" w:eastAsia="zh-CN"/>
              </w:rPr>
              <w:t>&gt; 0.05). Even though heterogeneity tests showed heterogeneity between the SNP effects of the different instruments (</w:t>
            </w:r>
            <w:r>
              <w:rPr>
                <w:rFonts w:hint="eastAsia" w:ascii="Times New Roman" w:hAnsi="Times New Roman" w:cs="Times New Roman"/>
                <w:i/>
                <w:iCs/>
                <w:szCs w:val="21"/>
                <w:lang w:val="en-GB" w:eastAsia="zh-CN"/>
              </w:rPr>
              <w:t>P</w:t>
            </w:r>
            <w:r>
              <w:rPr>
                <w:rFonts w:hint="eastAsia" w:ascii="Times New Roman" w:hAnsi="Times New Roman" w:cs="Times New Roman"/>
                <w:szCs w:val="21"/>
                <w:lang w:val="en-GB"/>
              </w:rPr>
              <w:t xml:space="preserve"> &lt; 0.05), this causal association was supported by the leave-one-out analysis. The results demonstrated a noteworthy </w:t>
            </w:r>
            <w:r>
              <w:rPr>
                <w:rFonts w:ascii="Times New Roman" w:hAnsi="Times New Roman" w:eastAsia="宋体" w:cs="Times New Roman"/>
                <w:szCs w:val="21"/>
                <w:lang w:val="en-GB"/>
              </w:rPr>
              <w:t>increase</w:t>
            </w:r>
            <w:r>
              <w:rPr>
                <w:rFonts w:hint="eastAsia" w:ascii="Times New Roman" w:hAnsi="Times New Roman" w:cs="Times New Roman"/>
                <w:szCs w:val="21"/>
                <w:lang w:val="en-GB"/>
              </w:rPr>
              <w:t xml:space="preserve"> in the incidence of </w:t>
            </w:r>
            <w:r>
              <w:rPr>
                <w:rFonts w:hint="eastAsia" w:ascii="Times New Roman" w:hAnsi="Times New Roman" w:cs="Times New Roman"/>
                <w:szCs w:val="21"/>
                <w:lang w:val="en-US" w:eastAsia="zh-CN"/>
              </w:rPr>
              <w:t>MI</w:t>
            </w:r>
            <w:r>
              <w:rPr>
                <w:rFonts w:hint="eastAsia" w:ascii="Times New Roman" w:hAnsi="Times New Roman" w:cs="Times New Roman"/>
                <w:szCs w:val="21"/>
                <w:lang w:val="en-GB"/>
              </w:rPr>
              <w:t xml:space="preserve"> within the sleep-disordered population.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GB" w:eastAsia="zh-CN"/>
              </w:rPr>
              <w:t>As shown in Supplementary Table 3 and Supplementary Figure 1, reverse MR analyses indicated that MI was not a risk factor for sleep disorders.</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20" w:type="dxa"/>
            <w:shd w:val="clear" w:color="auto" w:fill="EEEEEE"/>
          </w:tcPr>
          <w:p>
            <w:pPr>
              <w:spacing w:before="96" w:beforeLines="40" w:after="96" w:afterLines="40" w:line="24" w:lineRule="atLeast"/>
              <w:jc w:val="left"/>
              <w:rPr>
                <w:rFonts w:hint="eastAsia" w:eastAsia="宋体"/>
                <w:sz w:val="18"/>
                <w:szCs w:val="18"/>
                <w:lang w:val="en-US" w:eastAsia="zh-CN"/>
              </w:rPr>
            </w:pPr>
            <w:bookmarkStart w:id="0" w:name="_GoBack"/>
            <w:bookmarkEnd w:id="0"/>
            <w:r>
              <w:rPr>
                <w:rFonts w:hint="eastAsia" w:eastAsia="宋体"/>
                <w:sz w:val="18"/>
                <w:szCs w:val="18"/>
                <w:lang w:val="en-US" w:eastAsia="zh-CN"/>
              </w:rPr>
              <w:t>3</w:t>
            </w:r>
          </w:p>
        </w:tc>
        <w:tc>
          <w:tcPr>
            <w:tcW w:w="4320" w:type="dxa"/>
            <w:vMerge w:val="continue"/>
            <w:tcBorders/>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eastAsia="Cambria"/>
                <w:sz w:val="18"/>
                <w:szCs w:val="18"/>
                <w:lang w:val="en-GB" w:eastAsia="en-US"/>
              </w:rPr>
            </w:pPr>
          </w:p>
        </w:tc>
        <w:tc>
          <w:tcPr>
            <w:tcW w:w="4320"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720" w:type="dxa"/>
            <w:vMerge w:val="restart"/>
            <w:shd w:val="clear" w:color="auto" w:fill="EEEEEE"/>
          </w:tcPr>
          <w:p>
            <w:pPr>
              <w:spacing w:before="96" w:beforeLines="40" w:after="96" w:afterLines="40" w:line="24" w:lineRule="atLeast"/>
              <w:ind w:firstLine="222" w:firstLineChars="0"/>
              <w:rPr>
                <w:rFonts w:hint="default" w:eastAsia="宋体"/>
                <w:sz w:val="18"/>
                <w:szCs w:val="18"/>
                <w:lang w:val="en-US" w:eastAsia="zh-CN"/>
              </w:rPr>
            </w:pPr>
            <w:r>
              <w:rPr>
                <w:rFonts w:hint="eastAsia" w:eastAsia="宋体"/>
                <w:sz w:val="18"/>
                <w:szCs w:val="18"/>
                <w:lang w:val="en-US" w:eastAsia="zh-CN"/>
              </w:rPr>
              <w:t>3,4</w:t>
            </w:r>
          </w:p>
        </w:tc>
        <w:tc>
          <w:tcPr>
            <w:tcW w:w="4320" w:type="dxa"/>
            <w:vMerge w:val="restart"/>
            <w:shd w:val="clear" w:color="auto" w:fill="EEEEEE"/>
          </w:tcPr>
          <w:p>
            <w:pPr>
              <w:keepNext w:val="0"/>
              <w:keepLines w:val="0"/>
              <w:pageBreakBefore w:val="0"/>
              <w:kinsoku/>
              <w:wordWrap/>
              <w:overflowPunct/>
              <w:topLinePunct w:val="0"/>
              <w:autoSpaceDE/>
              <w:autoSpaceDN/>
              <w:bidi w:val="0"/>
              <w:adjustRightInd/>
              <w:snapToGrid/>
              <w:spacing w:line="240" w:lineRule="auto"/>
              <w:textAlignment w:val="auto"/>
              <w:rPr>
                <w:rFonts w:ascii="Times New Roman" w:hAnsi="Times New Roman" w:cs="Times New Roman"/>
                <w:szCs w:val="21"/>
              </w:rPr>
            </w:pPr>
            <w:r>
              <w:rPr>
                <w:rFonts w:ascii="Times New Roman" w:hAnsi="Times New Roman" w:cs="Times New Roman"/>
                <w:szCs w:val="21"/>
                <w:lang w:val="en-GB"/>
              </w:rPr>
              <w:t>In the forward MR analysis</w:t>
            </w:r>
            <w:r>
              <w:rPr>
                <w:rFonts w:ascii="Times New Roman" w:hAnsi="Times New Roman" w:eastAsia="宋体" w:cs="Times New Roman"/>
                <w:szCs w:val="21"/>
                <w:lang w:val="en-GB"/>
              </w:rPr>
              <w:t>,</w:t>
            </w:r>
            <w:r>
              <w:rPr>
                <w:rFonts w:ascii="Times New Roman" w:hAnsi="Times New Roman" w:cs="Times New Roman"/>
                <w:szCs w:val="21"/>
                <w:lang w:val="en-GB"/>
              </w:rPr>
              <w:t xml:space="preserve"> sleep disorders were the exposure, and MI was the outcome. </w:t>
            </w:r>
            <w:r>
              <w:rPr>
                <w:rFonts w:hint="eastAsia" w:ascii="Times New Roman" w:hAnsi="Times New Roman" w:cs="Times New Roman"/>
                <w:szCs w:val="21"/>
                <w:lang w:val="en-GB"/>
              </w:rPr>
              <w:t>We first explored the causal effect of sleep apnoea on MI.</w:t>
            </w:r>
            <w:r>
              <w:rPr>
                <w:rFonts w:ascii="Times New Roman" w:hAnsi="Times New Roman" w:cs="Times New Roman"/>
                <w:szCs w:val="21"/>
                <w:lang w:val="en-GB"/>
              </w:rPr>
              <w:t xml:space="preserve"> </w:t>
            </w:r>
            <w:r>
              <w:rPr>
                <w:rFonts w:hint="eastAsia" w:ascii="Times New Roman" w:hAnsi="Times New Roman" w:cs="Times New Roman"/>
                <w:szCs w:val="21"/>
                <w:lang w:val="en-GB"/>
              </w:rPr>
              <w:t xml:space="preserve">As depicted in Figure 2 and Supplementary Table 2, </w:t>
            </w:r>
            <w:r>
              <w:rPr>
                <w:rFonts w:hint="eastAsia" w:ascii="Times New Roman" w:hAnsi="Times New Roman" w:cs="Times New Roman"/>
                <w:szCs w:val="21"/>
                <w:lang w:val="en-US" w:eastAsia="zh-CN"/>
              </w:rPr>
              <w:t xml:space="preserve">The </w:t>
            </w:r>
            <w:r>
              <w:rPr>
                <w:rFonts w:hint="eastAsia" w:ascii="Times New Roman" w:hAnsi="Times New Roman" w:cs="Times New Roman"/>
                <w:szCs w:val="21"/>
                <w:lang w:val="en-GB"/>
              </w:rPr>
              <w:t>IVW analys</w:t>
            </w:r>
            <w:r>
              <w:rPr>
                <w:rFonts w:hint="eastAsia" w:ascii="Times New Roman" w:hAnsi="Times New Roman" w:cs="Times New Roman"/>
                <w:szCs w:val="21"/>
                <w:lang w:val="en-US" w:eastAsia="zh-CN"/>
              </w:rPr>
              <w:t>i</w:t>
            </w:r>
            <w:r>
              <w:rPr>
                <w:rFonts w:hint="eastAsia" w:ascii="Times New Roman" w:hAnsi="Times New Roman" w:cs="Times New Roman"/>
                <w:szCs w:val="21"/>
                <w:lang w:val="en-GB"/>
              </w:rPr>
              <w:t>s suggest</w:t>
            </w:r>
            <w:r>
              <w:rPr>
                <w:rFonts w:hint="eastAsia" w:ascii="Times New Roman" w:hAnsi="Times New Roman" w:cs="Times New Roman"/>
                <w:szCs w:val="21"/>
                <w:lang w:val="en-US" w:eastAsia="zh-CN"/>
              </w:rPr>
              <w:t>s</w:t>
            </w:r>
            <w:r>
              <w:rPr>
                <w:rFonts w:hint="eastAsia" w:ascii="Times New Roman" w:hAnsi="Times New Roman" w:cs="Times New Roman"/>
                <w:szCs w:val="21"/>
                <w:lang w:val="en-GB"/>
              </w:rPr>
              <w:t xml:space="preserve"> that sleep apnoea is not a risk factor for MI (OR, 1.0512; 95% CI, 0.9751–1.13323;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0.19273), with no observed heterogeneity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0.0571). </w:t>
            </w:r>
            <w:r>
              <w:rPr>
                <w:rFonts w:ascii="Times New Roman" w:hAnsi="Times New Roman" w:eastAsia="宋体" w:cs="Times New Roman"/>
                <w:szCs w:val="21"/>
                <w:lang w:val="en-GB"/>
              </w:rPr>
              <w:t>The MR‒</w:t>
            </w:r>
            <w:r>
              <w:rPr>
                <w:rFonts w:hint="eastAsia" w:ascii="Times New Roman" w:hAnsi="Times New Roman" w:cs="Times New Roman"/>
                <w:szCs w:val="21"/>
                <w:lang w:val="en-GB"/>
              </w:rPr>
              <w:t>Egger intercept test revealed no evidence of directional pleiotropy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0.6660). We then explored the effects of snoring, insomnia and narcolepsy on MI. </w:t>
            </w:r>
            <w:r>
              <w:rPr>
                <w:rFonts w:hint="eastAsia" w:ascii="Times New Roman" w:hAnsi="Times New Roman" w:eastAsia="宋体" w:cs="Times New Roman"/>
                <w:szCs w:val="21"/>
                <w:lang w:val="en-GB"/>
              </w:rPr>
              <w:t>IVW results suggest that snoring, insomnia and narcolepsy are all risk factors for MI.</w:t>
            </w:r>
            <w:r>
              <w:rPr>
                <w:rFonts w:hint="eastAsia" w:ascii="Times New Roman" w:hAnsi="Times New Roman" w:cs="Times New Roman"/>
                <w:szCs w:val="21"/>
                <w:lang w:val="en-GB"/>
              </w:rPr>
              <w:t xml:space="preserve"> Snoring-MI (OR, 1.57782; 95% CI, 1.08135-2.30222;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0.01799), insomnia-MI (OR, 1.74914; 95% CI, 1.39146</w:t>
            </w:r>
            <w:r>
              <w:rPr>
                <w:rFonts w:ascii="Times New Roman" w:hAnsi="Times New Roman" w:cs="Times New Roman"/>
                <w:szCs w:val="21"/>
                <w:lang w:val="en-GB"/>
              </w:rPr>
              <w:t>–</w:t>
            </w:r>
            <w:r>
              <w:rPr>
                <w:rFonts w:hint="eastAsia" w:ascii="Times New Roman" w:hAnsi="Times New Roman" w:cs="Times New Roman"/>
                <w:szCs w:val="21"/>
                <w:lang w:val="en-GB"/>
              </w:rPr>
              <w:t xml:space="preserve">2.19876; </w:t>
            </w:r>
            <w:r>
              <w:rPr>
                <w:rFonts w:hint="eastAsia" w:ascii="Times New Roman" w:hAnsi="Times New Roman" w:cs="Times New Roman"/>
                <w:i/>
                <w:iCs/>
                <w:szCs w:val="21"/>
                <w:lang w:val="en-GB"/>
              </w:rPr>
              <w:t>P</w:t>
            </w:r>
            <w:r>
              <w:rPr>
                <w:rFonts w:hint="eastAsia" w:ascii="Times New Roman" w:hAnsi="Times New Roman" w:cs="Times New Roman"/>
                <w:szCs w:val="21"/>
                <w:lang w:val="en-GB"/>
              </w:rPr>
              <w:t xml:space="preserve"> = 0.000001), </w:t>
            </w:r>
            <w:r>
              <w:rPr>
                <w:rFonts w:ascii="Times New Roman" w:hAnsi="Times New Roman" w:eastAsia="宋体" w:cs="Times New Roman"/>
                <w:szCs w:val="21"/>
                <w:lang w:val="en-GB"/>
              </w:rPr>
              <w:t xml:space="preserve">and </w:t>
            </w:r>
            <w:r>
              <w:rPr>
                <w:rFonts w:hint="eastAsia" w:ascii="Times New Roman" w:hAnsi="Times New Roman" w:cs="Times New Roman"/>
                <w:szCs w:val="21"/>
                <w:lang w:val="en-GB"/>
              </w:rPr>
              <w:t>narcolepsy-MI (OR, 1.70949; 95% CI, 1.14139</w:t>
            </w:r>
            <w:r>
              <w:rPr>
                <w:rFonts w:ascii="Times New Roman" w:hAnsi="Times New Roman" w:cs="Times New Roman"/>
                <w:szCs w:val="21"/>
                <w:lang w:val="en-GB"/>
              </w:rPr>
              <w:t>–</w:t>
            </w:r>
            <w:r>
              <w:rPr>
                <w:rFonts w:hint="eastAsia" w:ascii="Times New Roman" w:hAnsi="Times New Roman" w:cs="Times New Roman"/>
                <w:szCs w:val="21"/>
                <w:lang w:val="en-GB"/>
              </w:rPr>
              <w:t xml:space="preserve">2.56037; </w:t>
            </w:r>
            <w:r>
              <w:rPr>
                <w:rFonts w:hint="eastAsia" w:ascii="Times New Roman" w:hAnsi="Times New Roman" w:cs="Times New Roman"/>
                <w:i/>
                <w:iCs/>
                <w:szCs w:val="21"/>
                <w:lang w:val="en-GB"/>
              </w:rPr>
              <w:t>P</w:t>
            </w:r>
            <w:r>
              <w:rPr>
                <w:rFonts w:hint="eastAsia" w:ascii="Times New Roman" w:hAnsi="Times New Roman" w:cs="Times New Roman"/>
                <w:szCs w:val="21"/>
                <w:lang w:val="en-GB" w:eastAsia="zh-CN"/>
              </w:rPr>
              <w:t xml:space="preserve"> = 0.009270). The MR</w:t>
            </w:r>
            <w:r>
              <w:rPr>
                <w:rFonts w:ascii="Times New Roman" w:hAnsi="Times New Roman" w:eastAsia="宋体" w:cs="Times New Roman"/>
                <w:szCs w:val="21"/>
                <w:lang w:val="en-GB"/>
              </w:rPr>
              <w:t>‒</w:t>
            </w:r>
            <w:r>
              <w:rPr>
                <w:rFonts w:hint="eastAsia" w:ascii="Times New Roman" w:hAnsi="Times New Roman" w:cs="Times New Roman"/>
                <w:szCs w:val="21"/>
                <w:lang w:val="en-GB" w:eastAsia="zh-CN"/>
              </w:rPr>
              <w:t xml:space="preserve">Egger intercept test was performed for all three tests and </w:t>
            </w:r>
            <w:r>
              <w:rPr>
                <w:rFonts w:ascii="Times New Roman" w:hAnsi="Times New Roman" w:eastAsia="宋体" w:cs="Times New Roman"/>
                <w:szCs w:val="21"/>
                <w:lang w:val="en-GB"/>
              </w:rPr>
              <w:t>revealed</w:t>
            </w:r>
            <w:r>
              <w:rPr>
                <w:rFonts w:hint="eastAsia" w:ascii="Times New Roman" w:hAnsi="Times New Roman" w:cs="Times New Roman"/>
                <w:szCs w:val="21"/>
                <w:lang w:val="en-GB" w:eastAsia="zh-CN"/>
              </w:rPr>
              <w:t xml:space="preserve"> no directional pleiotropy (</w:t>
            </w:r>
            <w:r>
              <w:rPr>
                <w:rFonts w:hint="eastAsia" w:ascii="Times New Roman" w:hAnsi="Times New Roman" w:cs="Times New Roman"/>
                <w:i/>
                <w:iCs/>
                <w:szCs w:val="21"/>
                <w:lang w:val="en-GB" w:eastAsia="zh-CN"/>
              </w:rPr>
              <w:t xml:space="preserve">P </w:t>
            </w:r>
            <w:r>
              <w:rPr>
                <w:rFonts w:hint="eastAsia" w:ascii="Times New Roman" w:hAnsi="Times New Roman" w:cs="Times New Roman"/>
                <w:szCs w:val="21"/>
                <w:lang w:val="en-GB" w:eastAsia="zh-CN"/>
              </w:rPr>
              <w:t>&gt; 0.05). Even though heterogeneity tests showed heterogeneity between the SNP effects of the different instruments (</w:t>
            </w:r>
            <w:r>
              <w:rPr>
                <w:rFonts w:hint="eastAsia" w:ascii="Times New Roman" w:hAnsi="Times New Roman" w:cs="Times New Roman"/>
                <w:i/>
                <w:iCs/>
                <w:szCs w:val="21"/>
                <w:lang w:val="en-GB" w:eastAsia="zh-CN"/>
              </w:rPr>
              <w:t>P</w:t>
            </w:r>
            <w:r>
              <w:rPr>
                <w:rFonts w:hint="eastAsia" w:ascii="Times New Roman" w:hAnsi="Times New Roman" w:cs="Times New Roman"/>
                <w:szCs w:val="21"/>
                <w:lang w:val="en-GB"/>
              </w:rPr>
              <w:t xml:space="preserve"> &lt; 0.05), this causal association was supported by the leave-one-out analysis. The results demonstrated a noteworthy </w:t>
            </w:r>
            <w:r>
              <w:rPr>
                <w:rFonts w:ascii="Times New Roman" w:hAnsi="Times New Roman" w:eastAsia="宋体" w:cs="Times New Roman"/>
                <w:szCs w:val="21"/>
                <w:lang w:val="en-GB"/>
              </w:rPr>
              <w:t>increase</w:t>
            </w:r>
            <w:r>
              <w:rPr>
                <w:rFonts w:hint="eastAsia" w:ascii="Times New Roman" w:hAnsi="Times New Roman" w:cs="Times New Roman"/>
                <w:szCs w:val="21"/>
                <w:lang w:val="en-GB"/>
              </w:rPr>
              <w:t xml:space="preserve"> in the incidence of </w:t>
            </w:r>
            <w:r>
              <w:rPr>
                <w:rFonts w:hint="eastAsia" w:ascii="Times New Roman" w:hAnsi="Times New Roman" w:cs="Times New Roman"/>
                <w:szCs w:val="21"/>
                <w:lang w:val="en-US" w:eastAsia="zh-CN"/>
              </w:rPr>
              <w:t>MI</w:t>
            </w:r>
            <w:r>
              <w:rPr>
                <w:rFonts w:hint="eastAsia" w:ascii="Times New Roman" w:hAnsi="Times New Roman" w:cs="Times New Roman"/>
                <w:szCs w:val="21"/>
                <w:lang w:val="en-GB"/>
              </w:rPr>
              <w:t xml:space="preserve"> within the sleep-disordered population.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GB" w:eastAsia="zh-CN"/>
              </w:rPr>
              <w:t>As shown in Supplementary Table 3 and Supplementary Figure 1, reverse MR analyses indicated that MI was not a risk factor for sleep disorders.</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Times New Roman"/>
                <w:sz w:val="18"/>
                <w:szCs w:val="18"/>
                <w:lang w:val="en-GB" w:eastAsia="en-GB"/>
              </w:rPr>
            </w:pPr>
            <w:r>
              <w:rPr>
                <w:rFonts w:hint="eastAsia" w:ascii="Times New Roman" w:hAnsi="Times New Roman" w:cs="Times New Roman"/>
                <w:szCs w:val="21"/>
                <w:lang w:val="en-GB"/>
              </w:rPr>
              <w:t xml:space="preserve">The MR results with sleep disorders as exposure and MI as outcome were pooled and </w:t>
            </w:r>
            <w:r>
              <w:rPr>
                <w:rFonts w:hint="eastAsia" w:ascii="Times New Roman" w:hAnsi="Times New Roman" w:cs="Times New Roman"/>
                <w:szCs w:val="21"/>
                <w:lang w:val="en-US" w:eastAsia="zh-CN"/>
              </w:rPr>
              <w:t>M</w:t>
            </w:r>
            <w:r>
              <w:rPr>
                <w:rFonts w:hint="eastAsia" w:ascii="Times New Roman" w:hAnsi="Times New Roman" w:cs="Times New Roman"/>
                <w:szCs w:val="21"/>
                <w:lang w:val="en-GB"/>
              </w:rPr>
              <w:t>eta-analys</w:t>
            </w:r>
            <w:r>
              <w:rPr>
                <w:rFonts w:hint="eastAsia" w:ascii="Times New Roman" w:hAnsi="Times New Roman" w:cs="Times New Roman"/>
                <w:szCs w:val="21"/>
                <w:lang w:val="en-US" w:eastAsia="zh-CN"/>
              </w:rPr>
              <w:t>is</w:t>
            </w:r>
            <w:r>
              <w:rPr>
                <w:rFonts w:hint="eastAsia" w:ascii="Times New Roman" w:hAnsi="Times New Roman" w:cs="Times New Roman"/>
                <w:szCs w:val="21"/>
                <w:lang w:val="en-GB"/>
              </w:rPr>
              <w:t xml:space="preserve">, </w:t>
            </w:r>
            <w:r>
              <w:rPr>
                <w:rFonts w:ascii="Times New Roman" w:hAnsi="Times New Roman" w:eastAsia="宋体" w:cs="Times New Roman"/>
                <w:szCs w:val="21"/>
                <w:lang w:val="en-GB"/>
              </w:rPr>
              <w:t xml:space="preserve">as </w:t>
            </w:r>
            <w:r>
              <w:rPr>
                <w:rFonts w:hint="eastAsia" w:ascii="Times New Roman" w:hAnsi="Times New Roman" w:cs="Times New Roman"/>
                <w:szCs w:val="21"/>
                <w:lang w:val="en-GB"/>
              </w:rPr>
              <w:t xml:space="preserve">illustrated in Figure 3. Findings suggest that sleep disorders are risk factors for </w:t>
            </w:r>
            <w:r>
              <w:rPr>
                <w:rFonts w:hint="eastAsia" w:ascii="Times New Roman" w:hAnsi="Times New Roman" w:cs="Times New Roman"/>
                <w:szCs w:val="21"/>
                <w:lang w:val="en-GB" w:eastAsia="zh-CN"/>
              </w:rPr>
              <w:t>MI</w:t>
            </w:r>
            <w:r>
              <w:rPr>
                <w:rFonts w:hint="eastAsia" w:ascii="Times New Roman" w:hAnsi="Times New Roman" w:cs="Times New Roman"/>
                <w:szCs w:val="21"/>
                <w:lang w:val="en-GB"/>
              </w:rPr>
              <w:t xml:space="preserve"> risk (OR, 1.43; 95% CI, 1.04</w:t>
            </w:r>
            <w:r>
              <w:rPr>
                <w:rFonts w:ascii="Times New Roman" w:hAnsi="Times New Roman" w:cs="Times New Roman"/>
                <w:szCs w:val="21"/>
                <w:lang w:val="en-GB"/>
              </w:rPr>
              <w:t>–</w:t>
            </w:r>
            <w:r>
              <w:rPr>
                <w:rFonts w:hint="eastAsia" w:ascii="Times New Roman" w:hAnsi="Times New Roman" w:cs="Times New Roman"/>
                <w:szCs w:val="21"/>
                <w:lang w:val="en-GB"/>
              </w:rPr>
              <w:t xml:space="preserve">1.98, </w:t>
            </w:r>
            <w:r>
              <w:rPr>
                <w:rFonts w:hint="eastAsia" w:ascii="Times New Roman" w:hAnsi="Times New Roman" w:cs="Times New Roman"/>
                <w:i/>
                <w:iCs/>
                <w:szCs w:val="21"/>
                <w:lang w:val="en-GB"/>
              </w:rPr>
              <w:t>P</w:t>
            </w:r>
            <w:r>
              <w:rPr>
                <w:rFonts w:ascii="Times New Roman" w:hAnsi="Times New Roman" w:cs="Times New Roman"/>
                <w:i/>
                <w:iCs/>
                <w:szCs w:val="21"/>
                <w:lang w:val="en-GB"/>
              </w:rPr>
              <w:t xml:space="preserve"> </w:t>
            </w:r>
            <w:r>
              <w:rPr>
                <w:rFonts w:hint="eastAsia" w:ascii="Times New Roman" w:hAnsi="Times New Roman" w:cs="Times New Roman"/>
                <w:szCs w:val="21"/>
                <w:lang w:val="en-GB"/>
              </w:rPr>
              <w:t>=</w:t>
            </w:r>
            <w:r>
              <w:rPr>
                <w:rFonts w:ascii="Times New Roman" w:hAnsi="Times New Roman" w:cs="Times New Roman"/>
                <w:szCs w:val="21"/>
                <w:lang w:val="en-GB"/>
              </w:rPr>
              <w:t xml:space="preserve"> </w:t>
            </w:r>
            <w:r>
              <w:rPr>
                <w:rFonts w:hint="eastAsia" w:ascii="Times New Roman" w:hAnsi="Times New Roman" w:cs="Times New Roman"/>
                <w:szCs w:val="21"/>
                <w:lang w:val="en-GB"/>
              </w:rPr>
              <w:t>0.03) (Figure 3). The heterogeneity test revealed I=87%, indicating significant heterogeneity in the meta-analysis.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20" w:type="dxa"/>
            <w:vMerge w:val="continue"/>
            <w:tcBorders/>
          </w:tcPr>
          <w:p>
            <w:pPr>
              <w:spacing w:before="96" w:beforeLines="40" w:after="96" w:afterLines="40" w:line="24" w:lineRule="atLeast"/>
              <w:rPr>
                <w:rFonts w:eastAsia="Times New Roman"/>
                <w:sz w:val="18"/>
                <w:szCs w:val="18"/>
                <w:lang w:val="en-GB" w:eastAsia="en-GB"/>
              </w:rPr>
            </w:pPr>
          </w:p>
        </w:tc>
        <w:tc>
          <w:tcPr>
            <w:tcW w:w="4320" w:type="dxa"/>
            <w:vMerge w:val="continue"/>
            <w:tcBorders/>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720" w:type="dxa"/>
            <w:vMerge w:val="continue"/>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vMerge w:val="continue"/>
            <w:tcBorders/>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720" w:type="dxa"/>
            <w:vMerge w:val="continue"/>
            <w:tcBorders/>
          </w:tcPr>
          <w:p>
            <w:pPr>
              <w:spacing w:before="96" w:beforeLines="40" w:after="96" w:afterLines="40" w:line="24" w:lineRule="atLeast"/>
              <w:rPr>
                <w:rFonts w:eastAsia="Times New Roman"/>
                <w:sz w:val="18"/>
                <w:szCs w:val="18"/>
                <w:lang w:val="en-GB" w:eastAsia="en-GB"/>
              </w:rPr>
            </w:pPr>
          </w:p>
        </w:tc>
        <w:tc>
          <w:tcPr>
            <w:tcW w:w="4320" w:type="dxa"/>
            <w:vMerge w:val="continue"/>
            <w:tcBorders/>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20" w:type="dxa"/>
            <w:vMerge w:val="continue"/>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vMerge w:val="continue"/>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8</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We discovered that sleep disorders act as risk factors for MI, thereby increasing the likelihood of experiencing MI.</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We introduced Meta-analysis with the highest level of evidence to reduce study bias.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hint="default" w:eastAsia="宋体"/>
                <w:sz w:val="18"/>
                <w:szCs w:val="18"/>
                <w:lang w:val="en-US" w:eastAsia="zh-CN"/>
              </w:rPr>
            </w:pPr>
            <w:r>
              <w:rPr>
                <w:rFonts w:hint="eastAsia" w:eastAsia="Times New Roman"/>
                <w:sz w:val="18"/>
                <w:szCs w:val="18"/>
                <w:lang w:val="en-GB" w:eastAsia="en-GB"/>
              </w:rPr>
              <w:t>Our study found no causal association between apnoea and myocardial infarction due to factors of study population and sample size, which is inconsistent with previous observational studies.</w:t>
            </w:r>
            <w:r>
              <w:rPr>
                <w:rFonts w:hint="eastAsia" w:eastAsia="宋体"/>
                <w:sz w:val="18"/>
                <w:szCs w:val="18"/>
                <w:lang w:val="en-US" w:eastAsia="zh-CN"/>
              </w:rPr>
              <w:t xml:space="preserve"> But snoring, insomnia, narcolepsy, are all risk factors for myocardial infarction. Meta-analysis verified this finding.</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8,9</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Instrumental variables for snoring, insomnia, and narcolepsy exhibited significant colocalization with instrumental variables for eQTLs. We searched for potential colocalized genes based on the colocalized SNPs. These candidate genes were subsequently subjected to SMR analysis with MI to validate whether genetic mutations resulting from sleep disorders are indeed associated with the development of MI. The SMR results indicated that LINC02210, LRRC37A, LRRC37A2, KANSL1-AS1 and DND1P1 were risk factors for MI, LRRC37A4P was a protective factor for MI. A review of the literature revealed that no scholars have investigated the relationship between these genes and MI.</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720" w:type="dxa"/>
          </w:tcPr>
          <w:p>
            <w:pPr>
              <w:tabs>
                <w:tab w:val="left" w:pos="1350"/>
              </w:tabs>
              <w:spacing w:before="96" w:beforeLines="40" w:after="96" w:afterLines="40" w:line="24" w:lineRule="atLeast"/>
              <w:rPr>
                <w:rFonts w:eastAsia="Times New Roman"/>
                <w:sz w:val="18"/>
                <w:szCs w:val="18"/>
                <w:lang w:val="en-GB" w:eastAsia="en-GB"/>
              </w:rPr>
            </w:pPr>
          </w:p>
        </w:tc>
        <w:tc>
          <w:tcPr>
            <w:tcW w:w="4320" w:type="dxa"/>
          </w:tcPr>
          <w:p>
            <w:pPr>
              <w:tabs>
                <w:tab w:val="left" w:pos="1350"/>
              </w:tabs>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results of this study demonstrated that snoring, insomnia, and narcolepsy increase the incidence of MI. This is important for the public health sector to develop policies for disease prevention and treatment.</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Times New Roman"/>
                <w:sz w:val="18"/>
                <w:szCs w:val="18"/>
                <w:lang w:val="en-GB" w:eastAsia="en-GB"/>
              </w:rPr>
              <w:t>No discussion</w:t>
            </w:r>
            <w:r>
              <w:rPr>
                <w:rFonts w:hint="eastAsia" w:eastAsia="宋体"/>
                <w:sz w:val="18"/>
                <w:szCs w:val="18"/>
                <w:lang w:val="en-US" w:eastAsia="zh-CN"/>
              </w:rPr>
              <w:t>.</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Segoe UI" w:cs="Times New Roman"/>
                <w:i w:val="0"/>
                <w:iCs w:val="0"/>
                <w:caps w:val="0"/>
                <w:color w:val="333333"/>
                <w:spacing w:val="0"/>
                <w:sz w:val="21"/>
                <w:szCs w:val="21"/>
                <w:shd w:val="clear" w:fill="FFFFFF"/>
                <w:lang w:val="en-US" w:eastAsia="zh-CN"/>
              </w:rPr>
              <w:t>This study was supported by the National Natural Science Foundation of China under Grant Nos. 82270299 and 81670272.</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egoe UI" w:cs="Times New Roman"/>
                <w:b w:val="0"/>
                <w:bCs w:val="0"/>
                <w:i w:val="0"/>
                <w:iCs w:val="0"/>
                <w:caps w:val="0"/>
                <w:color w:val="333333"/>
                <w:spacing w:val="0"/>
                <w:sz w:val="21"/>
                <w:szCs w:val="21"/>
                <w:shd w:val="clear" w:fill="FFFFFF"/>
                <w:lang w:val="en-US" w:eastAsia="zh-CN"/>
              </w:rPr>
            </w:pPr>
            <w:r>
              <w:rPr>
                <w:rFonts w:hint="default" w:ascii="Times New Roman" w:hAnsi="Times New Roman" w:eastAsia="Segoe UI" w:cs="Times New Roman"/>
                <w:b w:val="0"/>
                <w:bCs w:val="0"/>
                <w:i w:val="0"/>
                <w:iCs w:val="0"/>
                <w:caps w:val="0"/>
                <w:color w:val="333333"/>
                <w:spacing w:val="0"/>
                <w:sz w:val="21"/>
                <w:szCs w:val="21"/>
                <w:shd w:val="clear" w:fill="FFFFFF"/>
                <w:lang w:val="en-US" w:eastAsia="zh-CN"/>
              </w:rPr>
              <w:t>Please contact the corresponding author for data requests.</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tcBorders>
              <w:bottom w:val="single" w:color="7F7F7F" w:sz="6" w:space="0"/>
            </w:tcBorders>
            <w:shd w:val="clear" w:color="auto" w:fill="EEEEEE"/>
          </w:tcPr>
          <w:p>
            <w:pPr>
              <w:keepNext w:val="0"/>
              <w:keepLines w:val="0"/>
              <w:pageBreakBefore w:val="0"/>
              <w:widowControl w:val="0"/>
              <w:kinsoku/>
              <w:wordWrap/>
              <w:overflowPunct/>
              <w:topLinePunct w:val="0"/>
              <w:autoSpaceDE/>
              <w:autoSpaceDN/>
              <w:bidi w:val="0"/>
              <w:adjustRightInd/>
              <w:snapToGrid/>
              <w:spacing w:beforeLines="0" w:afterLines="0" w:line="240" w:lineRule="auto"/>
              <w:jc w:val="both"/>
              <w:textAlignment w:val="auto"/>
              <w:rPr>
                <w:rFonts w:eastAsia="Times New Roman"/>
                <w:sz w:val="18"/>
                <w:szCs w:val="18"/>
                <w:lang w:val="en-GB" w:eastAsia="en-GB"/>
              </w:rPr>
            </w:pPr>
            <w:r>
              <w:rPr>
                <w:rFonts w:hint="eastAsia" w:ascii="Times New Roman" w:hAnsi="Times New Roman" w:cs="Times New Roman"/>
                <w:lang w:val="en-US" w:eastAsia="zh-CN"/>
              </w:rPr>
              <w:t>We declare no competing interests.</w:t>
            </w:r>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ucida Console">
    <w:panose1 w:val="020B0609040504020204"/>
    <w:charset w:val="00"/>
    <w:family w:val="auto"/>
    <w:pitch w:val="default"/>
    <w:sig w:usb0="8000028F" w:usb1="00001800" w:usb2="00000000" w:usb3="00000000" w:csb0="0000001F" w:csb1="D7D7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6"/>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zYjQ4ZDExZjFjY2E5YmQ5N2Q1ZjU4N2ZmM2Q1NTU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182A450D"/>
    <w:rsid w:val="33650E4D"/>
    <w:rsid w:val="564A085F"/>
    <w:rsid w:val="6FBB501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spacing w:after="0" w:line="276" w:lineRule="auto"/>
    </w:pPr>
    <w:rPr>
      <w:rFonts w:ascii="Arial" w:hAnsi="Arial" w:eastAsia="Arial" w:cs="Arial"/>
      <w:sz w:val="22"/>
      <w:szCs w:val="22"/>
      <w:lang w:val="en" w:eastAsia="de-CH"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680"/>
        <w:tab w:val="right" w:pos="9360"/>
      </w:tabs>
      <w:spacing w:line="240" w:lineRule="auto"/>
    </w:pPr>
  </w:style>
  <w:style w:type="paragraph" w:styleId="3">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6">
    <w:name w:val="page number"/>
    <w:basedOn w:val="5"/>
    <w:autoRedefine/>
    <w:semiHidden/>
    <w:unhideWhenUsed/>
    <w:qFormat/>
    <w:uiPriority w:val="99"/>
  </w:style>
  <w:style w:type="character" w:styleId="7">
    <w:name w:val="line number"/>
    <w:basedOn w:val="5"/>
    <w:autoRedefine/>
    <w:semiHidden/>
    <w:unhideWhenUsed/>
    <w:qFormat/>
    <w:uiPriority w:val="99"/>
  </w:style>
  <w:style w:type="character" w:customStyle="1" w:styleId="8">
    <w:name w:val="Footer Char"/>
    <w:basedOn w:val="5"/>
    <w:link w:val="2"/>
    <w:autoRedefine/>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11</Pages>
  <Words>1713</Words>
  <Characters>11466</Characters>
  <Lines>286</Lines>
  <Paragraphs>146</Paragraphs>
  <TotalTime>9</TotalTime>
  <ScaleCrop>false</ScaleCrop>
  <LinksUpToDate>false</LinksUpToDate>
  <CharactersWithSpaces>13033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姚</cp:lastModifiedBy>
  <cp:lastPrinted>2021-09-28T07:08:00Z</cp:lastPrinted>
  <dcterms:modified xsi:type="dcterms:W3CDTF">2024-05-01T11:00:01Z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2052-12.1.0.16729</vt:lpwstr>
  </property>
  <property fmtid="{D5CDD505-2E9C-101B-9397-08002B2CF9AE}" pid="27" name="ICV">
    <vt:lpwstr>F48D700536224885B56C5EC82562B4F8_12</vt:lpwstr>
  </property>
</Properties>
</file>