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483803" w14:textId="68B07BB6" w:rsidR="00DF068E" w:rsidRPr="00627F06" w:rsidRDefault="00DF068E" w:rsidP="00DF068E">
      <w:pPr>
        <w:pStyle w:val="a7"/>
        <w:adjustRightInd w:val="0"/>
        <w:snapToGrid w:val="0"/>
        <w:spacing w:line="360" w:lineRule="auto"/>
        <w:rPr>
          <w:rFonts w:ascii="Arial" w:hAnsi="Arial" w:cs="Arial"/>
          <w:b/>
          <w:bCs/>
          <w:i w:val="0"/>
          <w:iCs w:val="0"/>
          <w:sz w:val="24"/>
          <w:szCs w:val="24"/>
        </w:rPr>
      </w:pPr>
      <w:r w:rsidRPr="00627F06">
        <w:rPr>
          <w:rFonts w:ascii="Arial" w:hAnsi="Arial" w:cs="Arial"/>
          <w:b/>
          <w:bCs/>
          <w:i w:val="0"/>
          <w:iCs w:val="0"/>
          <w:sz w:val="24"/>
          <w:szCs w:val="24"/>
        </w:rPr>
        <w:t xml:space="preserve">Definition of </w:t>
      </w:r>
      <w:r w:rsidR="000B7B0A" w:rsidRPr="00627F06">
        <w:rPr>
          <w:rFonts w:ascii="Arial" w:hAnsi="Arial" w:cs="Arial"/>
          <w:b/>
          <w:bCs/>
          <w:i w:val="0"/>
          <w:iCs w:val="0"/>
          <w:sz w:val="24"/>
          <w:szCs w:val="24"/>
        </w:rPr>
        <w:t>outcomes</w:t>
      </w:r>
    </w:p>
    <w:p w14:paraId="48999651" w14:textId="77777777" w:rsidR="00DF068E" w:rsidRPr="0062542D" w:rsidRDefault="00DF068E" w:rsidP="00DF068E"/>
    <w:tbl>
      <w:tblPr>
        <w:tblStyle w:val="aa"/>
        <w:tblW w:w="9776" w:type="dxa"/>
        <w:tblLook w:val="04A0" w:firstRow="1" w:lastRow="0" w:firstColumn="1" w:lastColumn="0" w:noHBand="0" w:noVBand="1"/>
      </w:tblPr>
      <w:tblGrid>
        <w:gridCol w:w="2605"/>
        <w:gridCol w:w="7171"/>
      </w:tblGrid>
      <w:tr w:rsidR="00DF068E" w:rsidRPr="00262859" w14:paraId="4A9A5674" w14:textId="77777777" w:rsidTr="00EF4015">
        <w:tc>
          <w:tcPr>
            <w:tcW w:w="2605" w:type="dxa"/>
          </w:tcPr>
          <w:p w14:paraId="4728895A" w14:textId="2D072460" w:rsidR="00DF068E" w:rsidRPr="00262859" w:rsidRDefault="00DF068E" w:rsidP="002D1850">
            <w:pPr>
              <w:adjustRightInd w:val="0"/>
              <w:snapToGrid w:val="0"/>
              <w:spacing w:line="360" w:lineRule="auto"/>
              <w:rPr>
                <w:rFonts w:ascii="Arial" w:hAnsi="Arial" w:cs="Arial" w:hint="eastAsia"/>
                <w:b/>
                <w:szCs w:val="21"/>
                <w:lang w:eastAsia="ja-JP"/>
              </w:rPr>
            </w:pPr>
            <w:r w:rsidRPr="00262859">
              <w:rPr>
                <w:rFonts w:ascii="Arial" w:hAnsi="Arial" w:cs="Arial"/>
                <w:b/>
                <w:szCs w:val="21"/>
              </w:rPr>
              <w:t>Primary</w:t>
            </w:r>
            <w:r w:rsidR="000C5FA7">
              <w:rPr>
                <w:rFonts w:ascii="Arial" w:hAnsi="Arial" w:cs="Arial" w:hint="eastAsia"/>
                <w:b/>
                <w:szCs w:val="21"/>
                <w:lang w:eastAsia="ja-JP"/>
              </w:rPr>
              <w:t xml:space="preserve"> outcome</w:t>
            </w:r>
          </w:p>
        </w:tc>
        <w:tc>
          <w:tcPr>
            <w:tcW w:w="7171" w:type="dxa"/>
          </w:tcPr>
          <w:p w14:paraId="76ED5508" w14:textId="76EEACCC" w:rsidR="000B7B0A" w:rsidRDefault="00DF068E" w:rsidP="002D1850">
            <w:pPr>
              <w:autoSpaceDE w:val="0"/>
              <w:autoSpaceDN w:val="0"/>
              <w:adjustRightInd w:val="0"/>
              <w:snapToGrid w:val="0"/>
              <w:spacing w:line="360" w:lineRule="auto"/>
              <w:rPr>
                <w:rFonts w:ascii="Arial" w:hAnsi="Arial" w:cs="Arial"/>
                <w:szCs w:val="21"/>
              </w:rPr>
            </w:pPr>
            <w:r w:rsidRPr="00262859">
              <w:rPr>
                <w:rFonts w:ascii="Arial" w:hAnsi="Arial" w:cs="Arial"/>
                <w:szCs w:val="21"/>
              </w:rPr>
              <w:t xml:space="preserve">1. </w:t>
            </w:r>
            <w:r w:rsidR="000B7B0A">
              <w:rPr>
                <w:rFonts w:ascii="Arial" w:hAnsi="Arial" w:cs="Arial" w:hint="eastAsia"/>
                <w:szCs w:val="21"/>
                <w:lang w:eastAsia="ja-JP"/>
              </w:rPr>
              <w:t>A</w:t>
            </w:r>
            <w:r w:rsidR="000B7B0A" w:rsidRPr="000B7B0A">
              <w:rPr>
                <w:rFonts w:ascii="Arial" w:hAnsi="Arial" w:cs="Arial"/>
                <w:szCs w:val="21"/>
              </w:rPr>
              <w:t>ll-cause death</w:t>
            </w:r>
          </w:p>
          <w:p w14:paraId="05CA97B6" w14:textId="0EABB049" w:rsidR="000B7B0A" w:rsidRDefault="000B7B0A" w:rsidP="002D1850">
            <w:pPr>
              <w:autoSpaceDE w:val="0"/>
              <w:autoSpaceDN w:val="0"/>
              <w:adjustRightInd w:val="0"/>
              <w:snapToGrid w:val="0"/>
              <w:spacing w:line="360" w:lineRule="auto"/>
              <w:rPr>
                <w:rFonts w:ascii="Arial" w:hAnsi="Arial" w:cs="Arial"/>
                <w:szCs w:val="21"/>
                <w:lang w:eastAsia="ja-JP"/>
              </w:rPr>
            </w:pPr>
            <w:r>
              <w:rPr>
                <w:rFonts w:ascii="Arial" w:hAnsi="Arial" w:cs="Arial" w:hint="eastAsia"/>
                <w:szCs w:val="21"/>
                <w:lang w:eastAsia="ja-JP"/>
              </w:rPr>
              <w:t>2. H</w:t>
            </w:r>
            <w:r w:rsidRPr="000B7B0A">
              <w:rPr>
                <w:rFonts w:ascii="Arial" w:hAnsi="Arial" w:cs="Arial"/>
                <w:szCs w:val="21"/>
                <w:lang w:eastAsia="ja-JP"/>
              </w:rPr>
              <w:t>ospitalization</w:t>
            </w:r>
            <w:r w:rsidRPr="000B7B0A">
              <w:rPr>
                <w:rFonts w:ascii="Arial" w:hAnsi="Arial" w:cs="Arial"/>
                <w:szCs w:val="21"/>
                <w:lang w:eastAsia="ja-JP"/>
              </w:rPr>
              <w:t xml:space="preserve"> for heart failure</w:t>
            </w:r>
            <w:r w:rsidRPr="000B7B0A">
              <w:rPr>
                <w:rFonts w:ascii="Arial" w:hAnsi="Arial" w:cs="Arial"/>
                <w:szCs w:val="21"/>
                <w:lang w:eastAsia="ja-JP"/>
              </w:rPr>
              <w:t xml:space="preserve"> </w:t>
            </w:r>
          </w:p>
          <w:p w14:paraId="5F104CB5" w14:textId="2CBD8D51" w:rsidR="00DF068E" w:rsidRPr="00262859" w:rsidRDefault="000B7B0A" w:rsidP="002D1850">
            <w:pPr>
              <w:autoSpaceDE w:val="0"/>
              <w:autoSpaceDN w:val="0"/>
              <w:adjustRightInd w:val="0"/>
              <w:snapToGrid w:val="0"/>
              <w:spacing w:line="360" w:lineRule="auto"/>
              <w:rPr>
                <w:rFonts w:ascii="Arial" w:hAnsi="Arial" w:cs="Arial"/>
                <w:szCs w:val="21"/>
              </w:rPr>
            </w:pPr>
            <w:r>
              <w:rPr>
                <w:rFonts w:ascii="Arial" w:hAnsi="Arial" w:cs="Arial" w:hint="eastAsia"/>
                <w:szCs w:val="21"/>
                <w:lang w:eastAsia="ja-JP"/>
              </w:rPr>
              <w:t>3</w:t>
            </w:r>
            <w:r w:rsidR="00DF068E" w:rsidRPr="00262859">
              <w:rPr>
                <w:rFonts w:ascii="Arial" w:hAnsi="Arial" w:cs="Arial"/>
                <w:szCs w:val="21"/>
              </w:rPr>
              <w:t xml:space="preserve">. </w:t>
            </w:r>
            <w:r w:rsidR="00DF068E">
              <w:rPr>
                <w:rFonts w:ascii="Arial" w:hAnsi="Arial" w:cs="Arial"/>
                <w:szCs w:val="21"/>
              </w:rPr>
              <w:t>Nonfatal m</w:t>
            </w:r>
            <w:r w:rsidR="00DF068E" w:rsidRPr="00262859">
              <w:rPr>
                <w:rFonts w:ascii="Arial" w:hAnsi="Arial" w:cs="Arial"/>
                <w:szCs w:val="21"/>
              </w:rPr>
              <w:t>yocardial infarction</w:t>
            </w:r>
          </w:p>
          <w:p w14:paraId="0F5BAA20" w14:textId="0D75CFC2" w:rsidR="00DF068E" w:rsidRPr="00262859" w:rsidRDefault="000B7B0A" w:rsidP="002D1850">
            <w:pPr>
              <w:autoSpaceDE w:val="0"/>
              <w:autoSpaceDN w:val="0"/>
              <w:adjustRightInd w:val="0"/>
              <w:snapToGrid w:val="0"/>
              <w:spacing w:line="360" w:lineRule="auto"/>
              <w:rPr>
                <w:rFonts w:ascii="Arial" w:hAnsi="Arial" w:cs="Arial"/>
                <w:szCs w:val="21"/>
              </w:rPr>
            </w:pPr>
            <w:r>
              <w:rPr>
                <w:rFonts w:ascii="Arial" w:hAnsi="Arial" w:cs="Arial" w:hint="eastAsia"/>
                <w:szCs w:val="21"/>
                <w:lang w:eastAsia="ja-JP"/>
              </w:rPr>
              <w:t>4</w:t>
            </w:r>
            <w:r w:rsidR="00DF068E" w:rsidRPr="00262859">
              <w:rPr>
                <w:rFonts w:ascii="Arial" w:hAnsi="Arial" w:cs="Arial"/>
                <w:szCs w:val="21"/>
              </w:rPr>
              <w:t xml:space="preserve">. </w:t>
            </w:r>
            <w:r w:rsidR="00DF068E">
              <w:rPr>
                <w:rFonts w:ascii="Arial" w:hAnsi="Arial" w:cs="Arial"/>
                <w:szCs w:val="21"/>
              </w:rPr>
              <w:t>Nonfatal s</w:t>
            </w:r>
            <w:r w:rsidR="00DF068E" w:rsidRPr="00262859">
              <w:rPr>
                <w:rFonts w:ascii="Arial" w:hAnsi="Arial" w:cs="Arial"/>
                <w:szCs w:val="21"/>
              </w:rPr>
              <w:t>troke</w:t>
            </w:r>
          </w:p>
        </w:tc>
      </w:tr>
      <w:tr w:rsidR="00DF068E" w:rsidRPr="00262859" w14:paraId="076831DE" w14:textId="77777777" w:rsidTr="00EF4015">
        <w:tc>
          <w:tcPr>
            <w:tcW w:w="2605" w:type="dxa"/>
          </w:tcPr>
          <w:p w14:paraId="1DF38F43" w14:textId="2A967B44" w:rsidR="00DF068E" w:rsidRPr="00262859" w:rsidRDefault="00DF068E" w:rsidP="002D1850">
            <w:pPr>
              <w:adjustRightInd w:val="0"/>
              <w:snapToGrid w:val="0"/>
              <w:spacing w:line="360" w:lineRule="auto"/>
              <w:rPr>
                <w:rFonts w:ascii="Arial" w:hAnsi="Arial" w:cs="Arial" w:hint="eastAsia"/>
                <w:b/>
                <w:szCs w:val="21"/>
                <w:lang w:eastAsia="ja-JP"/>
              </w:rPr>
            </w:pPr>
            <w:r w:rsidRPr="00262859">
              <w:rPr>
                <w:rFonts w:ascii="Arial" w:hAnsi="Arial" w:cs="Arial"/>
                <w:b/>
                <w:szCs w:val="21"/>
              </w:rPr>
              <w:t xml:space="preserve">Secondary </w:t>
            </w:r>
            <w:r w:rsidR="000C5FA7">
              <w:rPr>
                <w:rFonts w:ascii="Arial" w:hAnsi="Arial" w:cs="Arial" w:hint="eastAsia"/>
                <w:b/>
                <w:szCs w:val="21"/>
                <w:lang w:eastAsia="ja-JP"/>
              </w:rPr>
              <w:t>outcome</w:t>
            </w:r>
          </w:p>
        </w:tc>
        <w:tc>
          <w:tcPr>
            <w:tcW w:w="7171" w:type="dxa"/>
          </w:tcPr>
          <w:p w14:paraId="0028B433" w14:textId="59538354" w:rsidR="000B7B0A" w:rsidRDefault="000B7B0A" w:rsidP="000B7B0A">
            <w:pPr>
              <w:autoSpaceDE w:val="0"/>
              <w:autoSpaceDN w:val="0"/>
              <w:adjustRightInd w:val="0"/>
              <w:snapToGrid w:val="0"/>
              <w:spacing w:line="360" w:lineRule="auto"/>
              <w:rPr>
                <w:rFonts w:ascii="Arial" w:hAnsi="Arial" w:cs="Arial"/>
                <w:szCs w:val="21"/>
              </w:rPr>
            </w:pPr>
            <w:r w:rsidRPr="00262859">
              <w:rPr>
                <w:rFonts w:ascii="Arial" w:hAnsi="Arial" w:cs="Arial"/>
                <w:szCs w:val="21"/>
              </w:rPr>
              <w:t xml:space="preserve">1. </w:t>
            </w:r>
            <w:r>
              <w:rPr>
                <w:rFonts w:ascii="Arial" w:hAnsi="Arial" w:cs="Arial" w:hint="eastAsia"/>
                <w:szCs w:val="21"/>
                <w:lang w:eastAsia="ja-JP"/>
              </w:rPr>
              <w:t>A</w:t>
            </w:r>
            <w:r w:rsidRPr="000B7B0A">
              <w:rPr>
                <w:rFonts w:ascii="Arial" w:hAnsi="Arial" w:cs="Arial"/>
                <w:szCs w:val="21"/>
              </w:rPr>
              <w:t>ll-cause death</w:t>
            </w:r>
          </w:p>
          <w:p w14:paraId="3495CA64" w14:textId="260D1771" w:rsidR="000B7B0A" w:rsidRDefault="000B7B0A" w:rsidP="000B7B0A">
            <w:pPr>
              <w:autoSpaceDE w:val="0"/>
              <w:autoSpaceDN w:val="0"/>
              <w:adjustRightInd w:val="0"/>
              <w:snapToGrid w:val="0"/>
              <w:spacing w:line="360" w:lineRule="auto"/>
              <w:rPr>
                <w:rFonts w:ascii="Arial" w:hAnsi="Arial" w:cs="Arial"/>
                <w:szCs w:val="21"/>
                <w:lang w:eastAsia="ja-JP"/>
              </w:rPr>
            </w:pPr>
            <w:r>
              <w:rPr>
                <w:rFonts w:ascii="Arial" w:hAnsi="Arial" w:cs="Arial" w:hint="eastAsia"/>
                <w:szCs w:val="21"/>
                <w:lang w:eastAsia="ja-JP"/>
              </w:rPr>
              <w:t xml:space="preserve">2. </w:t>
            </w:r>
            <w:r>
              <w:rPr>
                <w:rFonts w:ascii="Arial" w:hAnsi="Arial" w:cs="Arial" w:hint="eastAsia"/>
                <w:szCs w:val="21"/>
                <w:lang w:eastAsia="ja-JP"/>
              </w:rPr>
              <w:t>H</w:t>
            </w:r>
            <w:r w:rsidRPr="000B7B0A">
              <w:rPr>
                <w:rFonts w:ascii="Arial" w:hAnsi="Arial" w:cs="Arial"/>
                <w:szCs w:val="21"/>
                <w:lang w:eastAsia="ja-JP"/>
              </w:rPr>
              <w:t xml:space="preserve">ospitalization for heart failure </w:t>
            </w:r>
          </w:p>
          <w:p w14:paraId="71822B34" w14:textId="77777777" w:rsidR="000B7B0A" w:rsidRPr="00262859" w:rsidRDefault="000B7B0A" w:rsidP="000B7B0A">
            <w:pPr>
              <w:autoSpaceDE w:val="0"/>
              <w:autoSpaceDN w:val="0"/>
              <w:adjustRightInd w:val="0"/>
              <w:snapToGrid w:val="0"/>
              <w:spacing w:line="360" w:lineRule="auto"/>
              <w:rPr>
                <w:rFonts w:ascii="Arial" w:hAnsi="Arial" w:cs="Arial"/>
                <w:szCs w:val="21"/>
              </w:rPr>
            </w:pPr>
            <w:r>
              <w:rPr>
                <w:rFonts w:ascii="Arial" w:hAnsi="Arial" w:cs="Arial" w:hint="eastAsia"/>
                <w:szCs w:val="21"/>
                <w:lang w:eastAsia="ja-JP"/>
              </w:rPr>
              <w:t>3</w:t>
            </w:r>
            <w:r w:rsidRPr="00262859">
              <w:rPr>
                <w:rFonts w:ascii="Arial" w:hAnsi="Arial" w:cs="Arial"/>
                <w:szCs w:val="21"/>
              </w:rPr>
              <w:t xml:space="preserve">. </w:t>
            </w:r>
            <w:r>
              <w:rPr>
                <w:rFonts w:ascii="Arial" w:hAnsi="Arial" w:cs="Arial"/>
                <w:szCs w:val="21"/>
              </w:rPr>
              <w:t>Nonfatal m</w:t>
            </w:r>
            <w:r w:rsidRPr="00262859">
              <w:rPr>
                <w:rFonts w:ascii="Arial" w:hAnsi="Arial" w:cs="Arial"/>
                <w:szCs w:val="21"/>
              </w:rPr>
              <w:t>yocardial infarction</w:t>
            </w:r>
          </w:p>
          <w:p w14:paraId="51B21A0C" w14:textId="77777777" w:rsidR="000B7B0A" w:rsidRDefault="000B7B0A" w:rsidP="000B7B0A">
            <w:pPr>
              <w:autoSpaceDE w:val="0"/>
              <w:autoSpaceDN w:val="0"/>
              <w:adjustRightInd w:val="0"/>
              <w:snapToGrid w:val="0"/>
              <w:spacing w:line="360" w:lineRule="auto"/>
              <w:ind w:left="-20"/>
              <w:rPr>
                <w:rFonts w:ascii="Arial" w:hAnsi="Arial" w:cs="Arial"/>
                <w:szCs w:val="21"/>
              </w:rPr>
            </w:pPr>
            <w:r>
              <w:rPr>
                <w:rFonts w:ascii="Arial" w:hAnsi="Arial" w:cs="Arial" w:hint="eastAsia"/>
                <w:szCs w:val="21"/>
                <w:lang w:eastAsia="ja-JP"/>
              </w:rPr>
              <w:t>4</w:t>
            </w:r>
            <w:r w:rsidRPr="00262859">
              <w:rPr>
                <w:rFonts w:ascii="Arial" w:hAnsi="Arial" w:cs="Arial"/>
                <w:szCs w:val="21"/>
              </w:rPr>
              <w:t xml:space="preserve">. </w:t>
            </w:r>
            <w:r>
              <w:rPr>
                <w:rFonts w:ascii="Arial" w:hAnsi="Arial" w:cs="Arial"/>
                <w:szCs w:val="21"/>
              </w:rPr>
              <w:t>Nonfatal s</w:t>
            </w:r>
            <w:r w:rsidRPr="00262859">
              <w:rPr>
                <w:rFonts w:ascii="Arial" w:hAnsi="Arial" w:cs="Arial"/>
                <w:szCs w:val="21"/>
              </w:rPr>
              <w:t>troke</w:t>
            </w:r>
            <w:r w:rsidRPr="00262859">
              <w:rPr>
                <w:rFonts w:ascii="Arial" w:hAnsi="Arial" w:cs="Arial"/>
                <w:szCs w:val="21"/>
              </w:rPr>
              <w:t xml:space="preserve"> </w:t>
            </w:r>
          </w:p>
          <w:p w14:paraId="67717A28" w14:textId="27AC88CC" w:rsidR="00DF068E" w:rsidRPr="00262859" w:rsidRDefault="000B7B0A" w:rsidP="000B7B0A">
            <w:pPr>
              <w:autoSpaceDE w:val="0"/>
              <w:autoSpaceDN w:val="0"/>
              <w:adjustRightInd w:val="0"/>
              <w:snapToGrid w:val="0"/>
              <w:spacing w:line="360" w:lineRule="auto"/>
              <w:ind w:left="-20"/>
              <w:rPr>
                <w:rFonts w:ascii="Arial" w:hAnsi="Arial" w:cs="Arial"/>
                <w:szCs w:val="21"/>
              </w:rPr>
            </w:pPr>
            <w:r>
              <w:rPr>
                <w:rFonts w:ascii="Arial" w:hAnsi="Arial" w:cs="Arial" w:hint="eastAsia"/>
                <w:szCs w:val="21"/>
                <w:lang w:eastAsia="ja-JP"/>
              </w:rPr>
              <w:t>5</w:t>
            </w:r>
            <w:r w:rsidR="00DF068E" w:rsidRPr="00262859">
              <w:rPr>
                <w:rFonts w:ascii="Arial" w:hAnsi="Arial" w:cs="Arial"/>
                <w:szCs w:val="21"/>
              </w:rPr>
              <w:t>. Deterioration in renal function (dialysis or renal transplantation)</w:t>
            </w:r>
          </w:p>
        </w:tc>
      </w:tr>
    </w:tbl>
    <w:p w14:paraId="0AB554AA" w14:textId="77777777" w:rsidR="00DF068E" w:rsidRPr="00262859" w:rsidRDefault="00DF068E" w:rsidP="00DF068E">
      <w:pPr>
        <w:adjustRightInd w:val="0"/>
        <w:snapToGrid w:val="0"/>
        <w:spacing w:line="360" w:lineRule="auto"/>
        <w:rPr>
          <w:rFonts w:ascii="Arial" w:hAnsi="Arial" w:cs="Arial"/>
          <w:szCs w:val="21"/>
        </w:rPr>
      </w:pPr>
    </w:p>
    <w:p w14:paraId="697DB02F" w14:textId="77777777" w:rsidR="00DF068E" w:rsidRPr="00262859" w:rsidRDefault="00DF068E" w:rsidP="00DF068E">
      <w:pPr>
        <w:adjustRightInd w:val="0"/>
        <w:snapToGrid w:val="0"/>
        <w:spacing w:line="360" w:lineRule="auto"/>
        <w:rPr>
          <w:rFonts w:ascii="Arial" w:hAnsi="Arial" w:cs="Arial"/>
          <w:b/>
          <w:bCs/>
          <w:szCs w:val="21"/>
        </w:rPr>
      </w:pPr>
      <w:r w:rsidRPr="00262859">
        <w:rPr>
          <w:rFonts w:ascii="Arial" w:hAnsi="Arial" w:cs="Arial"/>
          <w:b/>
          <w:bCs/>
          <w:szCs w:val="21"/>
        </w:rPr>
        <w:t>Myocardial infarction (non-fatal)</w:t>
      </w:r>
    </w:p>
    <w:p w14:paraId="15DCDE48"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The term MI should be used when there is evidence of myocardial necrosis in a clinical setting consistent with myocardial ischemia. Under these conditions, any one of the following criteria (A and B) meets the diagnosis for myocardial infarction.</w:t>
      </w:r>
    </w:p>
    <w:p w14:paraId="55483683" w14:textId="77777777" w:rsidR="00DF068E" w:rsidRPr="00262859" w:rsidRDefault="00DF068E" w:rsidP="00DF068E">
      <w:pPr>
        <w:adjustRightInd w:val="0"/>
        <w:snapToGrid w:val="0"/>
        <w:spacing w:line="360" w:lineRule="auto"/>
        <w:jc w:val="left"/>
        <w:rPr>
          <w:rFonts w:ascii="Arial" w:hAnsi="Arial" w:cs="Arial"/>
          <w:szCs w:val="21"/>
        </w:rPr>
      </w:pPr>
    </w:p>
    <w:p w14:paraId="4E602EEF"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A. Spontaneous MI (type 1)</w:t>
      </w:r>
    </w:p>
    <w:p w14:paraId="5AF55D84"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To identify a type 1 MI, patients should demonstrate spontaneous symptoms of myocardial ischemia unprovoked by supply/demand inequity, together with ≥1 of the following criteria:</w:t>
      </w:r>
    </w:p>
    <w:p w14:paraId="121170DD"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Cardiac biomarker elevation: Troponin is the preferred marker for adjudicating the presence of acute MI. At least one value should show a rise and/or fall from the lowest cut-point providing 10% imprecision (typically the upper reference limit for the troponin run per standard of clinical care). Creatine kinase-MB is a secondary choice of marker to troponin; a rise in CK-MB above the local upper reference limit would be consistent with myocardial injury.</w:t>
      </w:r>
    </w:p>
    <w:p w14:paraId="422394F1"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ECG changes consistent with new ischemic changes</w:t>
      </w:r>
    </w:p>
    <w:p w14:paraId="6A15C667"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 xml:space="preserve">ECG changes indicative of new ischemia (new ST-T changes or new left bundle branch block [LBBB]) or ECG manifestations of acute myocardial ischemia (in the absence of left ventricular hypertrophy [LVH] and LBBB): </w:t>
      </w:r>
    </w:p>
    <w:p w14:paraId="606949FD"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Development of pathological Q waves in the ECG</w:t>
      </w:r>
    </w:p>
    <w:p w14:paraId="42485051" w14:textId="77777777" w:rsidR="00DF068E" w:rsidRPr="00262859" w:rsidRDefault="00DF068E" w:rsidP="00DF068E">
      <w:pPr>
        <w:pStyle w:val="a9"/>
        <w:numPr>
          <w:ilvl w:val="0"/>
          <w:numId w:val="2"/>
        </w:numPr>
        <w:adjustRightInd w:val="0"/>
        <w:snapToGrid w:val="0"/>
        <w:spacing w:line="360" w:lineRule="auto"/>
        <w:contextualSpacing w:val="0"/>
        <w:jc w:val="left"/>
        <w:rPr>
          <w:rFonts w:ascii="Arial" w:hAnsi="Arial" w:cs="Arial"/>
          <w:szCs w:val="21"/>
        </w:rPr>
      </w:pPr>
      <w:r w:rsidRPr="00262859">
        <w:rPr>
          <w:rFonts w:ascii="Arial" w:hAnsi="Arial" w:cs="Arial"/>
          <w:szCs w:val="21"/>
        </w:rPr>
        <w:t>Any Q-wave in leads V2–V3 ≥0.02 seconds or QS complex in leads V2 and V3</w:t>
      </w:r>
    </w:p>
    <w:p w14:paraId="6B3E125C" w14:textId="77777777" w:rsidR="00DF068E" w:rsidRPr="00262859" w:rsidRDefault="00DF068E" w:rsidP="00DF068E">
      <w:pPr>
        <w:pStyle w:val="a9"/>
        <w:numPr>
          <w:ilvl w:val="0"/>
          <w:numId w:val="2"/>
        </w:numPr>
        <w:adjustRightInd w:val="0"/>
        <w:snapToGrid w:val="0"/>
        <w:spacing w:line="360" w:lineRule="auto"/>
        <w:contextualSpacing w:val="0"/>
        <w:jc w:val="left"/>
        <w:rPr>
          <w:rFonts w:ascii="Arial" w:hAnsi="Arial" w:cs="Arial"/>
          <w:szCs w:val="21"/>
        </w:rPr>
      </w:pPr>
      <w:r w:rsidRPr="00262859">
        <w:rPr>
          <w:rFonts w:ascii="Arial" w:hAnsi="Arial" w:cs="Arial"/>
          <w:szCs w:val="21"/>
        </w:rPr>
        <w:t xml:space="preserve">Q-wave ≥0.03 seconds and ≥0.1 mV deep or QS complex in leads I, II, </w:t>
      </w:r>
      <w:proofErr w:type="spellStart"/>
      <w:r w:rsidRPr="00262859">
        <w:rPr>
          <w:rFonts w:ascii="Arial" w:hAnsi="Arial" w:cs="Arial"/>
          <w:szCs w:val="21"/>
        </w:rPr>
        <w:t>aVL</w:t>
      </w:r>
      <w:proofErr w:type="spellEnd"/>
      <w:r w:rsidRPr="00262859">
        <w:rPr>
          <w:rFonts w:ascii="Arial" w:hAnsi="Arial" w:cs="Arial"/>
          <w:szCs w:val="21"/>
        </w:rPr>
        <w:t xml:space="preserve">, </w:t>
      </w:r>
      <w:proofErr w:type="spellStart"/>
      <w:r w:rsidRPr="00262859">
        <w:rPr>
          <w:rFonts w:ascii="Arial" w:hAnsi="Arial" w:cs="Arial"/>
          <w:szCs w:val="21"/>
        </w:rPr>
        <w:t>aVF</w:t>
      </w:r>
      <w:proofErr w:type="spellEnd"/>
      <w:r w:rsidRPr="00262859">
        <w:rPr>
          <w:rFonts w:ascii="Arial" w:hAnsi="Arial" w:cs="Arial"/>
          <w:szCs w:val="21"/>
        </w:rPr>
        <w:t xml:space="preserve">, or V4-V6 in any two leads of a contiguous lead grouping (I, </w:t>
      </w:r>
      <w:proofErr w:type="spellStart"/>
      <w:r w:rsidRPr="00262859">
        <w:rPr>
          <w:rFonts w:ascii="Arial" w:hAnsi="Arial" w:cs="Arial"/>
          <w:szCs w:val="21"/>
        </w:rPr>
        <w:t>aVL</w:t>
      </w:r>
      <w:proofErr w:type="spellEnd"/>
      <w:r w:rsidRPr="00262859">
        <w:rPr>
          <w:rFonts w:ascii="Arial" w:hAnsi="Arial" w:cs="Arial"/>
          <w:szCs w:val="21"/>
        </w:rPr>
        <w:t xml:space="preserve">, V6; V4-V6; II, III, and </w:t>
      </w:r>
      <w:proofErr w:type="spellStart"/>
      <w:r w:rsidRPr="00262859">
        <w:rPr>
          <w:rFonts w:ascii="Arial" w:hAnsi="Arial" w:cs="Arial"/>
          <w:szCs w:val="21"/>
        </w:rPr>
        <w:t>aVF</w:t>
      </w:r>
      <w:proofErr w:type="spellEnd"/>
      <w:r w:rsidRPr="00262859">
        <w:rPr>
          <w:rFonts w:ascii="Arial" w:hAnsi="Arial" w:cs="Arial"/>
          <w:szCs w:val="21"/>
        </w:rPr>
        <w:t>)</w:t>
      </w:r>
    </w:p>
    <w:p w14:paraId="47533295"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ST elevation: New ST elevation at the J-point in two contiguous leads with the cut-off points: ≥0.2 mV in men or ≥0.15 mV in women in leads V2–V3 and/or ≥0.1 mV in other leads</w:t>
      </w:r>
    </w:p>
    <w:p w14:paraId="5DC84BFA"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ST depression and T-wave changes: New horizontal or down-sloping ST depression ≥0.05 mV in two contiguous leads and/or T inversion ≥0.1 mV in two contiguous leads with prominent R-wave or R/S ratio &gt;1</w:t>
      </w:r>
    </w:p>
    <w:p w14:paraId="6817AB75"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Imaging evidence of new non-viable myocardium or new wall motion abnormality</w:t>
      </w:r>
    </w:p>
    <w:p w14:paraId="6F198815"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p>
    <w:p w14:paraId="41869300"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B. “Demand”-related (type 2) MI</w:t>
      </w:r>
    </w:p>
    <w:p w14:paraId="62C24D20"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lastRenderedPageBreak/>
        <w:t>Patients with type 2 MI should be considered under similar diagnostic criteria as a type 1 MI; however, type 2 MI should be considered present when myocardial ischemia and infarction are consequent to supply/demand inequity, rather than a spontaneous plaque rupture and coronary thrombosis.</w:t>
      </w:r>
    </w:p>
    <w:p w14:paraId="5315B491" w14:textId="77777777" w:rsidR="00DF068E" w:rsidRPr="00262859" w:rsidRDefault="00DF068E" w:rsidP="00DF068E">
      <w:pPr>
        <w:adjustRightInd w:val="0"/>
        <w:snapToGrid w:val="0"/>
        <w:spacing w:line="360" w:lineRule="auto"/>
        <w:jc w:val="left"/>
        <w:rPr>
          <w:rFonts w:ascii="Arial" w:hAnsi="Arial" w:cs="Arial"/>
          <w:szCs w:val="21"/>
        </w:rPr>
      </w:pPr>
    </w:p>
    <w:p w14:paraId="02BD06C1"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C. Percutaneous coronary intervention (PCI)-related MI (type 4a/4b)</w:t>
      </w:r>
    </w:p>
    <w:p w14:paraId="28B8D90E"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For PCI in patients with normal baseline troponin values, elevations of cardiac biomarkers above the 99th percentile URL within 24 hours of the procedure are indicative of peri-procedural myocardial necrosis. By convention, increases of biomarkers &gt;3 × 99th percentile URL (troponin or CK-MB &gt;3 × 99th percentile URL) are consistent with PCI-related MI.</w:t>
      </w:r>
    </w:p>
    <w:p w14:paraId="566BB7BE"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Where the cardiac biomarker is elevated prior to PCI, a ≥20% increase in the value of the second cardiac biomarker sample within 24 hours of PCI and documentation that cardiac biomarker values were decreasing (two samples ≥6 hours apart) prior to the suspected recurrent MI are consistent with PCI-related MI.</w:t>
      </w:r>
    </w:p>
    <w:p w14:paraId="7D74D3B4"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Symptoms of cardiac ischemia are not required.</w:t>
      </w:r>
    </w:p>
    <w:p w14:paraId="05EA9EE0" w14:textId="77777777" w:rsidR="00DF068E" w:rsidRPr="00262859" w:rsidRDefault="00DF068E" w:rsidP="00DF068E">
      <w:pPr>
        <w:adjustRightInd w:val="0"/>
        <w:snapToGrid w:val="0"/>
        <w:spacing w:line="360" w:lineRule="auto"/>
        <w:jc w:val="left"/>
        <w:rPr>
          <w:rFonts w:ascii="Arial" w:hAnsi="Arial" w:cs="Arial"/>
          <w:szCs w:val="21"/>
        </w:rPr>
      </w:pPr>
    </w:p>
    <w:p w14:paraId="14DD9BDE"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D. Coronary artery bypass grafting (CABG)-related MI (type 5)</w:t>
      </w:r>
    </w:p>
    <w:p w14:paraId="14B158BC"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For CABG in patients with normal baseline troponin values, elevation of cardiac biomarkers above the 99th percentile URL within 72 hours of the procedure is indicative of peri-procedural myocardial necrosis. By convention, an increase of biomarkers &gt;5 × 99th percentile URL (troponin or CK-MB &gt;5 × 99th percentile URL) plus at least one of the following is consistent with CABG-related MI:</w:t>
      </w:r>
    </w:p>
    <w:p w14:paraId="72A5E9E7"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New pathological Q waves in at least two contiguous leads on the ECG that persist for 30 days, or new LBBB</w:t>
      </w:r>
    </w:p>
    <w:p w14:paraId="620B394E"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Angiographically documented new graft or native coronary artery occlusion</w:t>
      </w:r>
    </w:p>
    <w:p w14:paraId="63A23EE0"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Imaging evidence of new loss of viable myocardium</w:t>
      </w:r>
    </w:p>
    <w:p w14:paraId="6252F389" w14:textId="77777777" w:rsidR="00DF068E" w:rsidRPr="00262859" w:rsidRDefault="00DF068E" w:rsidP="00DF068E">
      <w:pPr>
        <w:adjustRightInd w:val="0"/>
        <w:snapToGrid w:val="0"/>
        <w:spacing w:line="360" w:lineRule="auto"/>
        <w:jc w:val="left"/>
        <w:rPr>
          <w:rFonts w:ascii="Arial" w:hAnsi="Arial" w:cs="Arial"/>
          <w:szCs w:val="21"/>
        </w:rPr>
      </w:pPr>
    </w:p>
    <w:p w14:paraId="2355B8A5"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If the cardiac biomarker is elevated prior to CABG, a ≥20% increase in the value of the second cardiac biomarker sample within 72 hours of CABG and documentation that cardiac biomarker values were decreasing (two samples ≥6 hours apart) prior to the suspected recurrent MI plus new pathological Q-waves in ≥2 contiguous leads on the electrocardiogram; or new LBBB, angiographically documented new graft, or native coronary artery occlusion; or imaging evidence of new loss of viable myocardium are consistent with a periprocedural MI after CABG. Symptoms of cardiac ischemia are not required.</w:t>
      </w:r>
    </w:p>
    <w:p w14:paraId="2A995EAB" w14:textId="77777777" w:rsidR="00DF068E" w:rsidRPr="00262859" w:rsidRDefault="00DF068E" w:rsidP="00DF068E">
      <w:pPr>
        <w:adjustRightInd w:val="0"/>
        <w:snapToGrid w:val="0"/>
        <w:spacing w:line="360" w:lineRule="auto"/>
        <w:jc w:val="left"/>
        <w:rPr>
          <w:rFonts w:ascii="Arial" w:hAnsi="Arial" w:cs="Arial"/>
          <w:szCs w:val="21"/>
        </w:rPr>
      </w:pPr>
    </w:p>
    <w:p w14:paraId="58D19FF5"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Clinical classification of acute MI. Every MI identified by the CEC will be classified into one of the following categories:</w:t>
      </w:r>
    </w:p>
    <w:p w14:paraId="7CF27209"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Type 1: Spontaneous MI related to ischemia arising from a primary coronary event such as plaque erosion and/or rupture, fissuring, or dissection</w:t>
      </w:r>
    </w:p>
    <w:p w14:paraId="7C0DC305"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Type 2: MI secondary to ischemia attributable to either increased oxygen demand or decreased supply, e.g. coronary artery spasm, coronary embolism, anemia, arrhythmias, hypertension, or hypotension</w:t>
      </w:r>
    </w:p>
    <w:p w14:paraId="36FF8B7B"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Type 3: Sudden unexpected cardiac death, including cardiac arrest, often with symptoms suggestive of myocardial ischemia, accompanied by presumably new ST elevation, new LBBB, or evidence of fresh thrombus in a coronary artery by angiography and/or at autopsy, with death occurring before blood samples could be obtained or before the appearance of cardiac biomarkers in the blood</w:t>
      </w:r>
    </w:p>
    <w:p w14:paraId="0496C07C"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lastRenderedPageBreak/>
        <w:t>•</w:t>
      </w:r>
      <w:r w:rsidRPr="00262859">
        <w:rPr>
          <w:rFonts w:ascii="Arial" w:hAnsi="Arial" w:cs="Arial"/>
          <w:szCs w:val="21"/>
        </w:rPr>
        <w:tab/>
        <w:t>Type 4a: MI associated with PCI</w:t>
      </w:r>
    </w:p>
    <w:p w14:paraId="2662FD83"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Type 4b: MI associated with stent thrombosis as documented by angiography or at autopsy</w:t>
      </w:r>
    </w:p>
    <w:p w14:paraId="3EA4415D"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Type 5: MI associated with CABG</w:t>
      </w:r>
    </w:p>
    <w:p w14:paraId="3E6C5E28" w14:textId="77777777" w:rsidR="00DF068E" w:rsidRPr="00262859" w:rsidRDefault="00DF068E" w:rsidP="00DF068E">
      <w:pPr>
        <w:adjustRightInd w:val="0"/>
        <w:snapToGrid w:val="0"/>
        <w:spacing w:line="360" w:lineRule="auto"/>
        <w:rPr>
          <w:rFonts w:ascii="Arial" w:hAnsi="Arial" w:cs="Arial"/>
          <w:szCs w:val="21"/>
        </w:rPr>
      </w:pPr>
    </w:p>
    <w:p w14:paraId="5E650869" w14:textId="77777777" w:rsidR="00DF068E" w:rsidRPr="00262859" w:rsidRDefault="00DF068E" w:rsidP="00DF068E">
      <w:pPr>
        <w:adjustRightInd w:val="0"/>
        <w:snapToGrid w:val="0"/>
        <w:spacing w:line="360" w:lineRule="auto"/>
        <w:rPr>
          <w:rFonts w:ascii="Arial" w:hAnsi="Arial" w:cs="Arial"/>
          <w:b/>
          <w:bCs/>
          <w:szCs w:val="21"/>
        </w:rPr>
      </w:pPr>
      <w:r w:rsidRPr="00262859">
        <w:rPr>
          <w:rFonts w:ascii="Arial" w:hAnsi="Arial" w:cs="Arial"/>
          <w:b/>
          <w:bCs/>
          <w:szCs w:val="21"/>
        </w:rPr>
        <w:t>Stroke</w:t>
      </w:r>
      <w:r>
        <w:rPr>
          <w:rFonts w:ascii="Arial" w:hAnsi="Arial" w:cs="Arial"/>
          <w:b/>
          <w:bCs/>
          <w:szCs w:val="21"/>
        </w:rPr>
        <w:t xml:space="preserve"> (non-fatal)</w:t>
      </w:r>
    </w:p>
    <w:p w14:paraId="650082DA"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The rapid onset of a new persistent neurologic deficit attributed to an obstruction in cerebral blood flow and/or cerebral hemorrhage with no apparent non-vascular cause (e.g., trauma, tumor, or infection). Available neuroimaging studies must be considered to support the clinical impression and to determine if there is a demonstrable lesion compatible with an acute stroke. Strokes will be classified as ischemic, hemorrhagic, or unknown.</w:t>
      </w:r>
    </w:p>
    <w:p w14:paraId="5FA8D5D0" w14:textId="77777777" w:rsidR="00DF068E" w:rsidRPr="00262859" w:rsidRDefault="00DF068E" w:rsidP="00DF068E">
      <w:pPr>
        <w:adjustRightInd w:val="0"/>
        <w:snapToGrid w:val="0"/>
        <w:spacing w:line="360" w:lineRule="auto"/>
        <w:jc w:val="left"/>
        <w:rPr>
          <w:rFonts w:ascii="Arial" w:hAnsi="Arial" w:cs="Arial"/>
          <w:szCs w:val="21"/>
        </w:rPr>
      </w:pPr>
    </w:p>
    <w:p w14:paraId="6B1F66A0"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Diagnosis of stroke. For the diagnosis of stroke, the following four criteria should be fulfilled:</w:t>
      </w:r>
    </w:p>
    <w:p w14:paraId="2EB0EEB4"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Rapid onset of a focal/global neurological deficit with at least one of the following:</w:t>
      </w:r>
    </w:p>
    <w:p w14:paraId="54C23C7E"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Change in level of consciousness</w:t>
      </w:r>
    </w:p>
    <w:p w14:paraId="3A978417"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Hemiplegia</w:t>
      </w:r>
    </w:p>
    <w:p w14:paraId="61B349C9"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Hemiparesis</w:t>
      </w:r>
    </w:p>
    <w:p w14:paraId="36227F48"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Numbness or sensory loss affecting one side of the body</w:t>
      </w:r>
    </w:p>
    <w:p w14:paraId="6479D022"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Dysphasia/aphasia</w:t>
      </w:r>
    </w:p>
    <w:p w14:paraId="3032A688"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Hemianopia (loss of half of the field of vision of one or both eyes)</w:t>
      </w:r>
    </w:p>
    <w:p w14:paraId="222B84C0"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Other new neurological sign(s)/symptom(s) consistent with stroke</w:t>
      </w:r>
    </w:p>
    <w:p w14:paraId="7A908F51"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 xml:space="preserve">Note: If the mode of onset is uncertain, a diagnosis of stroke may be made </w:t>
      </w:r>
      <w:proofErr w:type="gramStart"/>
      <w:r w:rsidRPr="00262859">
        <w:rPr>
          <w:rFonts w:ascii="Arial" w:hAnsi="Arial" w:cs="Arial"/>
          <w:szCs w:val="21"/>
        </w:rPr>
        <w:t>provided that</w:t>
      </w:r>
      <w:proofErr w:type="gramEnd"/>
      <w:r w:rsidRPr="00262859">
        <w:rPr>
          <w:rFonts w:ascii="Arial" w:hAnsi="Arial" w:cs="Arial"/>
          <w:szCs w:val="21"/>
        </w:rPr>
        <w:t xml:space="preserve"> there is no plausible non-stroke cause for the clinical presentation</w:t>
      </w:r>
    </w:p>
    <w:p w14:paraId="16D700E7"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 xml:space="preserve">Duration of a focal/global neurological deficit ≥24 hours OR &lt;24 hours if attributable to at least one of the following therapeutic interventions: </w:t>
      </w:r>
    </w:p>
    <w:p w14:paraId="514A55BD"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 xml:space="preserve">Pharmacologic (i.e., thrombolytic drug administration) </w:t>
      </w:r>
    </w:p>
    <w:p w14:paraId="2BC819DD"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Non-pharmacologic (i.e., neurointerventional procedure such as intracranial angioplasty)</w:t>
      </w:r>
    </w:p>
    <w:p w14:paraId="369503D5"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or</w:t>
      </w:r>
    </w:p>
    <w:p w14:paraId="0DC0E656"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 xml:space="preserve">Available brain imaging clearly documents a new hemorrhage or infarct </w:t>
      </w:r>
    </w:p>
    <w:p w14:paraId="3C51308F"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or</w:t>
      </w:r>
    </w:p>
    <w:p w14:paraId="11C0A416"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The neurological deficit results in death</w:t>
      </w:r>
    </w:p>
    <w:p w14:paraId="26639412"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No other readily identifiable non-stroke cause for the clinical presentation (e.g., brain tumor, trauma, infection, hypoglycemia, peripheral lesion)</w:t>
      </w:r>
    </w:p>
    <w:p w14:paraId="5534333B"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 xml:space="preserve">Confirmation of the diagnosis by at least one of the </w:t>
      </w:r>
      <w:proofErr w:type="gramStart"/>
      <w:r w:rsidRPr="00262859">
        <w:rPr>
          <w:rFonts w:ascii="Arial" w:hAnsi="Arial" w:cs="Arial"/>
          <w:szCs w:val="21"/>
        </w:rPr>
        <w:t>following:*</w:t>
      </w:r>
      <w:proofErr w:type="gramEnd"/>
    </w:p>
    <w:p w14:paraId="4E9E3D38"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Neurology or neurosurgical specialist</w:t>
      </w:r>
    </w:p>
    <w:p w14:paraId="279F5E91"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Brain imaging procedure (at least one of the followings):</w:t>
      </w:r>
    </w:p>
    <w:p w14:paraId="27FBB69F" w14:textId="77777777" w:rsidR="00DF068E" w:rsidRPr="00262859" w:rsidRDefault="00DF068E" w:rsidP="00DF068E">
      <w:pPr>
        <w:pStyle w:val="a9"/>
        <w:numPr>
          <w:ilvl w:val="0"/>
          <w:numId w:val="4"/>
        </w:numPr>
        <w:adjustRightInd w:val="0"/>
        <w:snapToGrid w:val="0"/>
        <w:spacing w:line="360" w:lineRule="auto"/>
        <w:ind w:leftChars="1" w:left="424" w:hangingChars="201" w:hanging="422"/>
        <w:contextualSpacing w:val="0"/>
        <w:jc w:val="left"/>
        <w:rPr>
          <w:rFonts w:ascii="Arial" w:hAnsi="Arial" w:cs="Arial"/>
          <w:szCs w:val="21"/>
        </w:rPr>
      </w:pPr>
      <w:r w:rsidRPr="00262859">
        <w:rPr>
          <w:rFonts w:ascii="Arial" w:hAnsi="Arial" w:cs="Arial"/>
          <w:szCs w:val="21"/>
        </w:rPr>
        <w:t>CT scan</w:t>
      </w:r>
    </w:p>
    <w:p w14:paraId="7E99B259" w14:textId="77777777" w:rsidR="00DF068E" w:rsidRPr="00262859" w:rsidRDefault="00DF068E" w:rsidP="00DF068E">
      <w:pPr>
        <w:pStyle w:val="a9"/>
        <w:numPr>
          <w:ilvl w:val="0"/>
          <w:numId w:val="4"/>
        </w:numPr>
        <w:adjustRightInd w:val="0"/>
        <w:snapToGrid w:val="0"/>
        <w:spacing w:line="360" w:lineRule="auto"/>
        <w:ind w:leftChars="1" w:left="424" w:hangingChars="201" w:hanging="422"/>
        <w:contextualSpacing w:val="0"/>
        <w:jc w:val="left"/>
        <w:rPr>
          <w:rFonts w:ascii="Arial" w:hAnsi="Arial" w:cs="Arial"/>
          <w:szCs w:val="21"/>
        </w:rPr>
      </w:pPr>
      <w:r w:rsidRPr="00262859">
        <w:rPr>
          <w:rFonts w:ascii="Arial" w:hAnsi="Arial" w:cs="Arial"/>
          <w:szCs w:val="21"/>
        </w:rPr>
        <w:t>MRI scan</w:t>
      </w:r>
    </w:p>
    <w:p w14:paraId="695BF033" w14:textId="77777777" w:rsidR="00DF068E" w:rsidRPr="00262859" w:rsidRDefault="00DF068E" w:rsidP="00DF068E">
      <w:pPr>
        <w:pStyle w:val="a9"/>
        <w:numPr>
          <w:ilvl w:val="0"/>
          <w:numId w:val="4"/>
        </w:numPr>
        <w:adjustRightInd w:val="0"/>
        <w:snapToGrid w:val="0"/>
        <w:spacing w:line="360" w:lineRule="auto"/>
        <w:ind w:leftChars="1" w:left="424" w:hangingChars="201" w:hanging="422"/>
        <w:contextualSpacing w:val="0"/>
        <w:jc w:val="left"/>
        <w:rPr>
          <w:rFonts w:ascii="Arial" w:hAnsi="Arial" w:cs="Arial"/>
          <w:szCs w:val="21"/>
        </w:rPr>
      </w:pPr>
      <w:r w:rsidRPr="00262859">
        <w:rPr>
          <w:rFonts w:ascii="Arial" w:hAnsi="Arial" w:cs="Arial"/>
          <w:szCs w:val="21"/>
        </w:rPr>
        <w:t>Cerebral vessel angiography</w:t>
      </w:r>
    </w:p>
    <w:p w14:paraId="071AB5B7" w14:textId="77777777" w:rsidR="00DF068E" w:rsidRDefault="00DF068E" w:rsidP="00DF068E">
      <w:pPr>
        <w:adjustRightInd w:val="0"/>
        <w:snapToGrid w:val="0"/>
        <w:spacing w:line="360" w:lineRule="auto"/>
        <w:ind w:leftChars="1" w:left="424" w:hangingChars="201" w:hanging="422"/>
        <w:jc w:val="left"/>
        <w:rPr>
          <w:rFonts w:ascii="Arial" w:hAnsi="Arial" w:cs="Arial"/>
          <w:szCs w:val="21"/>
        </w:rPr>
      </w:pPr>
      <w:r w:rsidRPr="00262859">
        <w:rPr>
          <w:rFonts w:ascii="Arial" w:hAnsi="Arial" w:cs="Arial"/>
          <w:szCs w:val="21"/>
        </w:rPr>
        <w:t>–</w:t>
      </w:r>
      <w:r w:rsidRPr="00262859">
        <w:rPr>
          <w:rFonts w:ascii="Arial" w:hAnsi="Arial" w:cs="Arial"/>
          <w:szCs w:val="21"/>
        </w:rPr>
        <w:tab/>
        <w:t>Lumbar puncture (i.e. spinal fluid analysis diagnostic of intracranial hemorrhage)</w:t>
      </w:r>
    </w:p>
    <w:p w14:paraId="26B9D126" w14:textId="77777777" w:rsidR="00DF068E" w:rsidRPr="00262859" w:rsidRDefault="00DF068E" w:rsidP="00DF068E">
      <w:pPr>
        <w:adjustRightInd w:val="0"/>
        <w:snapToGrid w:val="0"/>
        <w:spacing w:line="360" w:lineRule="auto"/>
        <w:ind w:leftChars="1" w:left="424" w:hangingChars="201" w:hanging="422"/>
        <w:jc w:val="left"/>
        <w:rPr>
          <w:rFonts w:ascii="Arial" w:hAnsi="Arial" w:cs="Arial"/>
          <w:szCs w:val="21"/>
        </w:rPr>
      </w:pPr>
    </w:p>
    <w:p w14:paraId="419963F7"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lastRenderedPageBreak/>
        <w:t xml:space="preserve">If a stroke is reported but evidence of confirmation of the diagnosis by the methods outlined above is absent, the event will be discussed at a full </w:t>
      </w:r>
      <w:r>
        <w:rPr>
          <w:rFonts w:ascii="Arial" w:hAnsi="Arial" w:cs="Arial"/>
          <w:szCs w:val="21"/>
        </w:rPr>
        <w:t>CEC</w:t>
      </w:r>
      <w:r w:rsidRPr="00262859">
        <w:rPr>
          <w:rFonts w:ascii="Arial" w:hAnsi="Arial" w:cs="Arial"/>
          <w:szCs w:val="21"/>
        </w:rPr>
        <w:t xml:space="preserve"> meeting. In such cases, the event may be adjudicated as a stroke </w:t>
      </w:r>
      <w:proofErr w:type="gramStart"/>
      <w:r w:rsidRPr="00262859">
        <w:rPr>
          <w:rFonts w:ascii="Arial" w:hAnsi="Arial" w:cs="Arial"/>
          <w:szCs w:val="21"/>
        </w:rPr>
        <w:t>on the basis of</w:t>
      </w:r>
      <w:proofErr w:type="gramEnd"/>
      <w:r w:rsidRPr="00262859">
        <w:rPr>
          <w:rFonts w:ascii="Arial" w:hAnsi="Arial" w:cs="Arial"/>
          <w:szCs w:val="21"/>
        </w:rPr>
        <w:t xml:space="preserve"> the clinical presentation alone, but full </w:t>
      </w:r>
      <w:r>
        <w:rPr>
          <w:rFonts w:ascii="Arial" w:hAnsi="Arial" w:cs="Arial"/>
          <w:szCs w:val="21"/>
        </w:rPr>
        <w:t>CEC</w:t>
      </w:r>
      <w:r w:rsidRPr="00262859">
        <w:rPr>
          <w:rFonts w:ascii="Arial" w:hAnsi="Arial" w:cs="Arial"/>
          <w:szCs w:val="21"/>
        </w:rPr>
        <w:t xml:space="preserve"> consensus will be mandatory.</w:t>
      </w:r>
    </w:p>
    <w:p w14:paraId="349CC74F" w14:textId="77777777" w:rsidR="00DF068E" w:rsidRPr="00262859" w:rsidRDefault="00DF068E" w:rsidP="00DF068E">
      <w:pPr>
        <w:adjustRightInd w:val="0"/>
        <w:snapToGrid w:val="0"/>
        <w:spacing w:line="360" w:lineRule="auto"/>
        <w:jc w:val="left"/>
        <w:rPr>
          <w:rFonts w:ascii="Arial" w:hAnsi="Arial" w:cs="Arial"/>
          <w:szCs w:val="21"/>
        </w:rPr>
      </w:pPr>
    </w:p>
    <w:p w14:paraId="7D96ED99"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 xml:space="preserve">If the acute focal signs represent a worsening of a previous deficit, these signs must have </w:t>
      </w:r>
      <w:proofErr w:type="gramStart"/>
      <w:r w:rsidRPr="00262859">
        <w:rPr>
          <w:rFonts w:ascii="Arial" w:hAnsi="Arial" w:cs="Arial"/>
          <w:szCs w:val="21"/>
        </w:rPr>
        <w:t>either</w:t>
      </w:r>
      <w:proofErr w:type="gramEnd"/>
    </w:p>
    <w:p w14:paraId="222606DD"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Persisted for more than one week</w:t>
      </w:r>
    </w:p>
    <w:p w14:paraId="27E1FE90"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Pr>
          <w:rFonts w:ascii="Arial" w:hAnsi="Arial" w:cs="Arial"/>
          <w:szCs w:val="21"/>
        </w:rPr>
        <w:t>or</w:t>
      </w:r>
    </w:p>
    <w:p w14:paraId="23EFAF95"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Persisted for more than 24 hours and accompanied by an appropriate new CT or MRI finding</w:t>
      </w:r>
    </w:p>
    <w:p w14:paraId="3D2FB5BB"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p>
    <w:p w14:paraId="6A5B8F2A"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Classification of stroke. Strokes are sub-classified as follows:</w:t>
      </w:r>
    </w:p>
    <w:p w14:paraId="55901BFE"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Ischemic (non-hemorrhagic): A stroke caused by an arterial obstruction attributable to either a thrombotic (e.g., large vessel disease/atherosclerotic or small vessel disease/lacunar) or embolic etiology. This category includes ischemic stroke with hemorrhagic transformation (i.e. no evidence of hemorrhage on an initial imaging study but appearance on a subsequent scan)</w:t>
      </w:r>
    </w:p>
    <w:p w14:paraId="148EC208"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 xml:space="preserve">Hemorrhagic: A stroke caused by a hemorrhage in the brain as documented by neuroimaging or autopsy. This category will include strokes attributable to primary intracerebral hemorrhage (intraparenchymal or intraventricular), subdural hematoma and primary subarachnoid </w:t>
      </w:r>
      <w:proofErr w:type="gramStart"/>
      <w:r w:rsidRPr="00262859">
        <w:rPr>
          <w:rFonts w:ascii="Arial" w:hAnsi="Arial" w:cs="Arial"/>
          <w:szCs w:val="21"/>
        </w:rPr>
        <w:t>hemorrhage</w:t>
      </w:r>
      <w:proofErr w:type="gramEnd"/>
    </w:p>
    <w:p w14:paraId="43B66FD1"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Not assessable: The stroke type could not be determined by imaging or other means (e.g., lumbar puncture, neurosurgery, or autopsy) or no imaging was performed.</w:t>
      </w:r>
    </w:p>
    <w:p w14:paraId="48EC86A2" w14:textId="77777777" w:rsidR="00DF068E" w:rsidRPr="00262859" w:rsidRDefault="00DF068E" w:rsidP="00DF068E">
      <w:pPr>
        <w:adjustRightInd w:val="0"/>
        <w:snapToGrid w:val="0"/>
        <w:spacing w:line="360" w:lineRule="auto"/>
        <w:rPr>
          <w:rFonts w:ascii="Arial" w:hAnsi="Arial" w:cs="Arial"/>
          <w:szCs w:val="21"/>
        </w:rPr>
      </w:pPr>
    </w:p>
    <w:p w14:paraId="226123E8" w14:textId="77777777" w:rsidR="00DF068E" w:rsidRPr="00262859" w:rsidRDefault="00DF068E" w:rsidP="00DF068E">
      <w:pPr>
        <w:autoSpaceDE w:val="0"/>
        <w:autoSpaceDN w:val="0"/>
        <w:adjustRightInd w:val="0"/>
        <w:snapToGrid w:val="0"/>
        <w:spacing w:line="360" w:lineRule="auto"/>
        <w:rPr>
          <w:rFonts w:ascii="Arial" w:hAnsi="Arial" w:cs="Arial"/>
          <w:szCs w:val="21"/>
        </w:rPr>
      </w:pPr>
    </w:p>
    <w:p w14:paraId="03AB374E" w14:textId="428EB099" w:rsidR="00DF068E" w:rsidRPr="00262859" w:rsidRDefault="00EF4015" w:rsidP="00DF068E">
      <w:pPr>
        <w:autoSpaceDE w:val="0"/>
        <w:autoSpaceDN w:val="0"/>
        <w:adjustRightInd w:val="0"/>
        <w:snapToGrid w:val="0"/>
        <w:spacing w:line="360" w:lineRule="auto"/>
        <w:rPr>
          <w:rFonts w:ascii="Arial" w:hAnsi="Arial" w:cs="Arial" w:hint="eastAsia"/>
          <w:b/>
          <w:bCs/>
          <w:szCs w:val="21"/>
        </w:rPr>
      </w:pPr>
      <w:r>
        <w:rPr>
          <w:rFonts w:ascii="Arial" w:hAnsi="Arial" w:cs="Arial" w:hint="eastAsia"/>
          <w:b/>
          <w:bCs/>
          <w:szCs w:val="21"/>
        </w:rPr>
        <w:t>H</w:t>
      </w:r>
      <w:r w:rsidR="00DF068E" w:rsidRPr="00262859">
        <w:rPr>
          <w:rFonts w:ascii="Arial" w:hAnsi="Arial" w:cs="Arial"/>
          <w:b/>
          <w:bCs/>
          <w:szCs w:val="21"/>
        </w:rPr>
        <w:t>ospitalization</w:t>
      </w:r>
      <w:r>
        <w:rPr>
          <w:rFonts w:ascii="Arial" w:hAnsi="Arial" w:cs="Arial" w:hint="eastAsia"/>
          <w:b/>
          <w:bCs/>
          <w:szCs w:val="21"/>
        </w:rPr>
        <w:t xml:space="preserve"> for heart failure</w:t>
      </w:r>
    </w:p>
    <w:p w14:paraId="5A754B67"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 xml:space="preserve">The date of this event will be the day of hospitalization of the patient including any overnight stay at an emergency room or chest pain unit. Heart failure with hospitalization is defined as an event that meets </w:t>
      </w:r>
      <w:proofErr w:type="gramStart"/>
      <w:r w:rsidRPr="00262859">
        <w:rPr>
          <w:rFonts w:ascii="Arial" w:hAnsi="Arial" w:cs="Arial"/>
          <w:szCs w:val="21"/>
        </w:rPr>
        <w:t>all of</w:t>
      </w:r>
      <w:proofErr w:type="gramEnd"/>
      <w:r w:rsidRPr="00262859">
        <w:rPr>
          <w:rFonts w:ascii="Arial" w:hAnsi="Arial" w:cs="Arial"/>
          <w:szCs w:val="21"/>
        </w:rPr>
        <w:t xml:space="preserve"> the following criteria: </w:t>
      </w:r>
    </w:p>
    <w:p w14:paraId="60DAA4BA"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w:t>
      </w:r>
      <w:r>
        <w:rPr>
          <w:rFonts w:ascii="Arial" w:hAnsi="Arial" w:cs="Arial"/>
          <w:szCs w:val="21"/>
        </w:rPr>
        <w:t xml:space="preserve">   </w:t>
      </w:r>
      <w:r w:rsidRPr="00262859">
        <w:rPr>
          <w:rFonts w:ascii="Arial" w:hAnsi="Arial" w:cs="Arial"/>
          <w:szCs w:val="21"/>
        </w:rPr>
        <w:t>Requires hospitalization defined as an admission to an inpatient unit or a visit to an emergency department that results in at least a 12-hour stay (or a date change if the time of admission/discharge is not available)</w:t>
      </w:r>
    </w:p>
    <w:p w14:paraId="3EEE6C81"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 xml:space="preserve">Clinical manifestations of heart failure (new or worsening), including at least one of the followings: </w:t>
      </w:r>
    </w:p>
    <w:p w14:paraId="5BC57125"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Dyspnea</w:t>
      </w:r>
    </w:p>
    <w:p w14:paraId="409281F1"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Orthopnea</w:t>
      </w:r>
    </w:p>
    <w:p w14:paraId="4F8FCACC"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Paroxysmal nocturnal dyspnea</w:t>
      </w:r>
    </w:p>
    <w:p w14:paraId="5A63E28D"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Edema</w:t>
      </w:r>
    </w:p>
    <w:p w14:paraId="44F73162"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Pulmonary basilar crackles</w:t>
      </w:r>
    </w:p>
    <w:p w14:paraId="5A2E6799"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Jugular venous distension</w:t>
      </w:r>
    </w:p>
    <w:p w14:paraId="4149411B"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Third heart sound or gallop rhythm</w:t>
      </w:r>
    </w:p>
    <w:p w14:paraId="3253918F"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Radiological evidence of worsening heart failure</w:t>
      </w:r>
    </w:p>
    <w:p w14:paraId="4B03F23E"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Additional/increased therapy: at least one of the followings:</w:t>
      </w:r>
    </w:p>
    <w:p w14:paraId="7170FF73"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Initiation of oral diuretic, intravenous diuretic, inotrope, or vasodilator therapy</w:t>
      </w:r>
    </w:p>
    <w:p w14:paraId="1704D132"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Up-titration of oral diuretic or intravenous therapy, if already on therapy</w:t>
      </w:r>
    </w:p>
    <w:p w14:paraId="2EDA2CBA" w14:textId="77777777" w:rsidR="00DF068E" w:rsidRPr="00262859" w:rsidRDefault="00DF068E" w:rsidP="00DF068E">
      <w:pPr>
        <w:adjustRightInd w:val="0"/>
        <w:snapToGrid w:val="0"/>
        <w:spacing w:line="360" w:lineRule="auto"/>
        <w:ind w:left="424" w:hangingChars="202" w:hanging="424"/>
        <w:jc w:val="left"/>
        <w:rPr>
          <w:rFonts w:ascii="Arial" w:hAnsi="Arial" w:cs="Arial"/>
          <w:szCs w:val="21"/>
        </w:rPr>
      </w:pPr>
      <w:r w:rsidRPr="00262859">
        <w:rPr>
          <w:rFonts w:ascii="Arial" w:hAnsi="Arial" w:cs="Arial"/>
          <w:szCs w:val="21"/>
        </w:rPr>
        <w:t>–</w:t>
      </w:r>
      <w:r w:rsidRPr="00262859">
        <w:rPr>
          <w:rFonts w:ascii="Arial" w:hAnsi="Arial" w:cs="Arial"/>
          <w:szCs w:val="21"/>
        </w:rPr>
        <w:tab/>
        <w:t xml:space="preserve">Initiation of mechanical or surgical intervention (mechanical circulatory support, heart transplantation, or </w:t>
      </w:r>
      <w:r w:rsidRPr="00262859">
        <w:rPr>
          <w:rFonts w:ascii="Arial" w:hAnsi="Arial" w:cs="Arial"/>
          <w:szCs w:val="21"/>
        </w:rPr>
        <w:lastRenderedPageBreak/>
        <w:t>ventricular pacing to improve cardiac function); or the use of ultrafiltration, hemofiltration, or dialysis that is specifically directed at the treatment of heart failure</w:t>
      </w:r>
    </w:p>
    <w:p w14:paraId="02F2B2F1" w14:textId="77777777" w:rsidR="00DF068E" w:rsidRPr="00262859" w:rsidRDefault="00DF068E" w:rsidP="00DF068E">
      <w:pPr>
        <w:adjustRightInd w:val="0"/>
        <w:snapToGrid w:val="0"/>
        <w:spacing w:line="360" w:lineRule="auto"/>
        <w:jc w:val="left"/>
        <w:rPr>
          <w:rFonts w:ascii="Arial" w:hAnsi="Arial" w:cs="Arial"/>
          <w:szCs w:val="21"/>
        </w:rPr>
      </w:pPr>
      <w:r w:rsidRPr="00262859">
        <w:rPr>
          <w:rFonts w:ascii="Arial" w:hAnsi="Arial" w:cs="Arial"/>
          <w:szCs w:val="21"/>
        </w:rPr>
        <w:t>Changes in a biomarker (e.g., brain natriuretic peptide) consistent with CHF will support this diagnosis.</w:t>
      </w:r>
    </w:p>
    <w:p w14:paraId="33C77316" w14:textId="77777777" w:rsidR="00DF068E" w:rsidRPr="00262859" w:rsidRDefault="00DF068E" w:rsidP="00DF068E">
      <w:pPr>
        <w:adjustRightInd w:val="0"/>
        <w:snapToGrid w:val="0"/>
        <w:spacing w:line="360" w:lineRule="auto"/>
        <w:rPr>
          <w:rFonts w:ascii="Arial" w:hAnsi="Arial" w:cs="Arial"/>
          <w:b/>
          <w:bCs/>
          <w:szCs w:val="21"/>
        </w:rPr>
      </w:pPr>
    </w:p>
    <w:p w14:paraId="0596DAEE" w14:textId="77777777" w:rsidR="00DF068E" w:rsidRDefault="00DF068E" w:rsidP="00DF068E">
      <w:pPr>
        <w:adjustRightInd w:val="0"/>
        <w:snapToGrid w:val="0"/>
        <w:spacing w:line="360" w:lineRule="auto"/>
        <w:rPr>
          <w:rFonts w:ascii="Arial" w:hAnsi="Arial" w:cs="Arial"/>
          <w:b/>
          <w:bCs/>
          <w:szCs w:val="21"/>
        </w:rPr>
      </w:pPr>
      <w:r w:rsidRPr="00262859">
        <w:rPr>
          <w:rFonts w:ascii="Arial" w:hAnsi="Arial" w:cs="Arial"/>
          <w:b/>
          <w:bCs/>
          <w:szCs w:val="21"/>
        </w:rPr>
        <w:t>Requirement for Renal Replacement Therapy</w:t>
      </w:r>
    </w:p>
    <w:p w14:paraId="07598EF7" w14:textId="77777777" w:rsidR="00DF068E" w:rsidRPr="006B1E4B" w:rsidRDefault="00DF068E" w:rsidP="00DF068E">
      <w:pPr>
        <w:adjustRightInd w:val="0"/>
        <w:snapToGrid w:val="0"/>
        <w:spacing w:line="360" w:lineRule="auto"/>
        <w:rPr>
          <w:rFonts w:ascii="Arial" w:hAnsi="Arial" w:cs="Arial"/>
          <w:szCs w:val="21"/>
        </w:rPr>
      </w:pPr>
      <w:r w:rsidRPr="006B1E4B">
        <w:rPr>
          <w:rFonts w:ascii="Arial" w:hAnsi="Arial" w:cs="Arial"/>
          <w:szCs w:val="21"/>
        </w:rPr>
        <w:t>Definition of renal replacement therapy:</w:t>
      </w:r>
    </w:p>
    <w:p w14:paraId="11CE5D8B" w14:textId="77777777" w:rsidR="00DF068E" w:rsidRPr="00262859" w:rsidRDefault="00DF068E" w:rsidP="00DF068E">
      <w:pPr>
        <w:adjustRightInd w:val="0"/>
        <w:snapToGrid w:val="0"/>
        <w:spacing w:line="360" w:lineRule="auto"/>
        <w:ind w:left="283" w:hangingChars="135" w:hanging="283"/>
        <w:rPr>
          <w:rFonts w:ascii="Arial" w:hAnsi="Arial" w:cs="Arial"/>
          <w:szCs w:val="21"/>
        </w:rPr>
      </w:pPr>
      <w:r w:rsidRPr="00262859">
        <w:rPr>
          <w:rFonts w:ascii="Arial" w:hAnsi="Arial" w:cs="Arial"/>
          <w:szCs w:val="21"/>
        </w:rPr>
        <w:t>• Kidney transplantation</w:t>
      </w:r>
    </w:p>
    <w:p w14:paraId="34E75FBC" w14:textId="77777777" w:rsidR="00DF068E" w:rsidRPr="00262859" w:rsidRDefault="00DF068E" w:rsidP="00DF068E">
      <w:pPr>
        <w:adjustRightInd w:val="0"/>
        <w:snapToGrid w:val="0"/>
        <w:spacing w:line="360" w:lineRule="auto"/>
        <w:ind w:leftChars="100" w:left="210"/>
        <w:rPr>
          <w:rFonts w:ascii="Arial" w:hAnsi="Arial" w:cs="Arial"/>
          <w:szCs w:val="21"/>
        </w:rPr>
      </w:pPr>
      <w:r w:rsidRPr="00262859">
        <w:rPr>
          <w:rFonts w:ascii="Arial" w:hAnsi="Arial" w:cs="Arial"/>
          <w:szCs w:val="21"/>
        </w:rPr>
        <w:t>Definitive renal replacement therapy prescribed when uremic symptoms have already occurred, or are anticipated to occur, due to the progression of irreversible chronic kidney disease. Death during the transplant surgery will be considered kidney transplantation.</w:t>
      </w:r>
    </w:p>
    <w:p w14:paraId="2B5078A7" w14:textId="77777777" w:rsidR="00DF068E" w:rsidRPr="00262859" w:rsidRDefault="00DF068E" w:rsidP="00DF068E">
      <w:pPr>
        <w:adjustRightInd w:val="0"/>
        <w:snapToGrid w:val="0"/>
        <w:spacing w:line="360" w:lineRule="auto"/>
        <w:ind w:left="283" w:hangingChars="135" w:hanging="283"/>
        <w:rPr>
          <w:rFonts w:ascii="Arial" w:hAnsi="Arial" w:cs="Arial"/>
          <w:szCs w:val="21"/>
        </w:rPr>
      </w:pPr>
      <w:r w:rsidRPr="00262859">
        <w:rPr>
          <w:rFonts w:ascii="Arial" w:hAnsi="Arial" w:cs="Arial"/>
          <w:szCs w:val="21"/>
        </w:rPr>
        <w:t>• Chronic dialysis</w:t>
      </w:r>
    </w:p>
    <w:p w14:paraId="493171D7" w14:textId="77777777" w:rsidR="00DF068E" w:rsidRDefault="00DF068E" w:rsidP="00DF068E">
      <w:pPr>
        <w:adjustRightInd w:val="0"/>
        <w:snapToGrid w:val="0"/>
        <w:spacing w:line="360" w:lineRule="auto"/>
        <w:ind w:leftChars="100" w:left="210"/>
        <w:rPr>
          <w:rFonts w:ascii="Arial" w:hAnsi="Arial" w:cs="Arial"/>
          <w:szCs w:val="21"/>
        </w:rPr>
      </w:pPr>
      <w:r w:rsidRPr="00262859">
        <w:rPr>
          <w:rFonts w:ascii="Arial" w:hAnsi="Arial" w:cs="Arial"/>
          <w:szCs w:val="21"/>
        </w:rPr>
        <w:t>ESKD will be diagnosed if dialysis is performed for 30 days or more and is not subsequently known to recover. Indications for dialysis are indicated in section below.</w:t>
      </w:r>
    </w:p>
    <w:p w14:paraId="08E91069" w14:textId="77777777" w:rsidR="00DF068E" w:rsidRPr="00262859" w:rsidRDefault="00DF068E" w:rsidP="00DF068E">
      <w:pPr>
        <w:adjustRightInd w:val="0"/>
        <w:snapToGrid w:val="0"/>
        <w:spacing w:line="360" w:lineRule="auto"/>
        <w:ind w:leftChars="100" w:left="210"/>
        <w:rPr>
          <w:rFonts w:ascii="Arial" w:hAnsi="Arial" w:cs="Arial"/>
          <w:szCs w:val="21"/>
        </w:rPr>
      </w:pPr>
    </w:p>
    <w:p w14:paraId="702754AC" w14:textId="77777777" w:rsidR="00DF068E" w:rsidRPr="00262859" w:rsidRDefault="00DF068E" w:rsidP="00DF068E">
      <w:pPr>
        <w:adjustRightInd w:val="0"/>
        <w:snapToGrid w:val="0"/>
        <w:spacing w:line="360" w:lineRule="auto"/>
        <w:ind w:left="283" w:hangingChars="135" w:hanging="283"/>
        <w:rPr>
          <w:rFonts w:ascii="Arial" w:hAnsi="Arial" w:cs="Arial"/>
          <w:szCs w:val="21"/>
        </w:rPr>
      </w:pPr>
      <w:r w:rsidRPr="00262859">
        <w:rPr>
          <w:rFonts w:ascii="Arial" w:hAnsi="Arial" w:cs="Arial"/>
          <w:szCs w:val="21"/>
        </w:rPr>
        <w:t>Onset of ESKD</w:t>
      </w:r>
    </w:p>
    <w:p w14:paraId="2FE84418" w14:textId="77777777" w:rsidR="00DF068E" w:rsidRPr="00262859" w:rsidRDefault="00DF068E" w:rsidP="00DF068E">
      <w:pPr>
        <w:adjustRightInd w:val="0"/>
        <w:snapToGrid w:val="0"/>
        <w:spacing w:line="360" w:lineRule="auto"/>
        <w:ind w:leftChars="100" w:left="210"/>
        <w:rPr>
          <w:rFonts w:ascii="Arial" w:hAnsi="Arial" w:cs="Arial"/>
          <w:szCs w:val="21"/>
        </w:rPr>
      </w:pPr>
      <w:r w:rsidRPr="00262859">
        <w:rPr>
          <w:rFonts w:ascii="Arial" w:hAnsi="Arial" w:cs="Arial"/>
          <w:szCs w:val="21"/>
        </w:rPr>
        <w:t>The mode of onset of ESKD will be adjudicated into the following categories:</w:t>
      </w:r>
    </w:p>
    <w:p w14:paraId="7C891F10" w14:textId="77777777" w:rsidR="00DF068E" w:rsidRPr="00262859" w:rsidRDefault="00DF068E" w:rsidP="00DF068E">
      <w:pPr>
        <w:adjustRightInd w:val="0"/>
        <w:snapToGrid w:val="0"/>
        <w:spacing w:line="360" w:lineRule="auto"/>
        <w:ind w:left="283" w:hangingChars="135" w:hanging="283"/>
        <w:rPr>
          <w:rFonts w:ascii="Arial" w:hAnsi="Arial" w:cs="Arial"/>
          <w:szCs w:val="21"/>
        </w:rPr>
      </w:pPr>
      <w:r w:rsidRPr="00262859">
        <w:rPr>
          <w:rFonts w:ascii="Arial" w:hAnsi="Arial" w:cs="Arial"/>
          <w:szCs w:val="21"/>
        </w:rPr>
        <w:t>• Chronic progression</w:t>
      </w:r>
    </w:p>
    <w:p w14:paraId="33799A8E" w14:textId="77777777" w:rsidR="00DF068E" w:rsidRPr="00262859" w:rsidRDefault="00DF068E" w:rsidP="00DF068E">
      <w:pPr>
        <w:adjustRightInd w:val="0"/>
        <w:snapToGrid w:val="0"/>
        <w:spacing w:line="360" w:lineRule="auto"/>
        <w:ind w:left="283" w:hangingChars="135" w:hanging="283"/>
        <w:rPr>
          <w:rFonts w:ascii="Arial" w:hAnsi="Arial" w:cs="Arial"/>
          <w:szCs w:val="21"/>
        </w:rPr>
      </w:pPr>
      <w:r w:rsidRPr="00262859">
        <w:rPr>
          <w:rFonts w:ascii="Arial" w:hAnsi="Arial" w:cs="Arial"/>
          <w:szCs w:val="21"/>
        </w:rPr>
        <w:t xml:space="preserve">• </w:t>
      </w:r>
      <w:proofErr w:type="gramStart"/>
      <w:r w:rsidRPr="00262859">
        <w:rPr>
          <w:rFonts w:ascii="Arial" w:hAnsi="Arial" w:cs="Arial"/>
          <w:szCs w:val="21"/>
        </w:rPr>
        <w:t>Acute deterioration,</w:t>
      </w:r>
      <w:proofErr w:type="gramEnd"/>
      <w:r w:rsidRPr="00262859">
        <w:rPr>
          <w:rFonts w:ascii="Arial" w:hAnsi="Arial" w:cs="Arial"/>
          <w:szCs w:val="21"/>
        </w:rPr>
        <w:t xml:space="preserve"> diagnosed when the decline in kidney function is sudden and acute kidney injury is superimposed on chronic kidney disease resulting in renal replacement therapy. </w:t>
      </w:r>
    </w:p>
    <w:p w14:paraId="5ED74BA1" w14:textId="77777777" w:rsidR="00DF068E" w:rsidRPr="00DF068E" w:rsidRDefault="00DF068E"/>
    <w:sectPr w:rsidR="00DF068E" w:rsidRPr="00DF068E" w:rsidSect="00766453">
      <w:pgSz w:w="12240" w:h="15840" w:code="1"/>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altName w:val="Bold Face PS [RPDL]"/>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4A6A2C"/>
    <w:multiLevelType w:val="hybridMultilevel"/>
    <w:tmpl w:val="D872321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AB5645"/>
    <w:multiLevelType w:val="multilevel"/>
    <w:tmpl w:val="0409001D"/>
    <w:styleLink w:val="1"/>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67C82446"/>
    <w:multiLevelType w:val="multilevel"/>
    <w:tmpl w:val="0409001D"/>
    <w:numStyleLink w:val="1"/>
  </w:abstractNum>
  <w:abstractNum w:abstractNumId="3" w15:restartNumberingAfterBreak="0">
    <w:nsid w:val="6AEE0514"/>
    <w:multiLevelType w:val="hybridMultilevel"/>
    <w:tmpl w:val="EB467B0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50226053">
    <w:abstractNumId w:val="0"/>
  </w:num>
  <w:num w:numId="2" w16cid:durableId="162429242">
    <w:abstractNumId w:val="3"/>
  </w:num>
  <w:num w:numId="3" w16cid:durableId="1357586668">
    <w:abstractNumId w:val="1"/>
  </w:num>
  <w:num w:numId="4" w16cid:durableId="6977054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68E"/>
    <w:rsid w:val="000B7B0A"/>
    <w:rsid w:val="000C5FA7"/>
    <w:rsid w:val="00627F06"/>
    <w:rsid w:val="00766453"/>
    <w:rsid w:val="00DF068E"/>
    <w:rsid w:val="00EF40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A1905DB"/>
  <w15:chartTrackingRefBased/>
  <w15:docId w15:val="{F90B11B1-E018-464D-A9E7-1B6C74093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068E"/>
    <w:pPr>
      <w:widowControl w:val="0"/>
      <w:spacing w:after="0" w:line="240" w:lineRule="auto"/>
      <w:jc w:val="both"/>
    </w:pPr>
    <w:rPr>
      <w:sz w:val="21"/>
      <w:szCs w:val="22"/>
      <w14:ligatures w14:val="none"/>
    </w:rPr>
  </w:style>
  <w:style w:type="paragraph" w:styleId="10">
    <w:name w:val="heading 1"/>
    <w:basedOn w:val="a"/>
    <w:next w:val="a"/>
    <w:link w:val="11"/>
    <w:uiPriority w:val="9"/>
    <w:qFormat/>
    <w:rsid w:val="00DF068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F068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F068E"/>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DF068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F068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F068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F068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F068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F068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見出し 1 (文字)"/>
    <w:basedOn w:val="a0"/>
    <w:link w:val="10"/>
    <w:uiPriority w:val="9"/>
    <w:rsid w:val="00DF068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F068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F068E"/>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DF068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F068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F068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F068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F068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F068E"/>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F068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F068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F068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F068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F068E"/>
    <w:pPr>
      <w:spacing w:before="160"/>
      <w:jc w:val="center"/>
    </w:pPr>
    <w:rPr>
      <w:i/>
      <w:iCs/>
      <w:color w:val="404040" w:themeColor="text1" w:themeTint="BF"/>
    </w:rPr>
  </w:style>
  <w:style w:type="character" w:customStyle="1" w:styleId="a8">
    <w:name w:val="引用文 (文字)"/>
    <w:basedOn w:val="a0"/>
    <w:link w:val="a7"/>
    <w:uiPriority w:val="29"/>
    <w:rsid w:val="00DF068E"/>
    <w:rPr>
      <w:i/>
      <w:iCs/>
      <w:color w:val="404040" w:themeColor="text1" w:themeTint="BF"/>
    </w:rPr>
  </w:style>
  <w:style w:type="paragraph" w:styleId="a9">
    <w:name w:val="List Paragraph"/>
    <w:basedOn w:val="a"/>
    <w:uiPriority w:val="34"/>
    <w:qFormat/>
    <w:rsid w:val="00DF068E"/>
    <w:pPr>
      <w:ind w:left="720"/>
      <w:contextualSpacing/>
    </w:pPr>
  </w:style>
  <w:style w:type="character" w:styleId="21">
    <w:name w:val="Intense Emphasis"/>
    <w:basedOn w:val="a0"/>
    <w:uiPriority w:val="21"/>
    <w:qFormat/>
    <w:rsid w:val="00DF068E"/>
    <w:rPr>
      <w:i/>
      <w:iCs/>
      <w:color w:val="0F4761" w:themeColor="accent1" w:themeShade="BF"/>
    </w:rPr>
  </w:style>
  <w:style w:type="paragraph" w:styleId="22">
    <w:name w:val="Intense Quote"/>
    <w:basedOn w:val="a"/>
    <w:next w:val="a"/>
    <w:link w:val="23"/>
    <w:uiPriority w:val="30"/>
    <w:qFormat/>
    <w:rsid w:val="00DF06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DF068E"/>
    <w:rPr>
      <w:i/>
      <w:iCs/>
      <w:color w:val="0F4761" w:themeColor="accent1" w:themeShade="BF"/>
    </w:rPr>
  </w:style>
  <w:style w:type="character" w:styleId="24">
    <w:name w:val="Intense Reference"/>
    <w:basedOn w:val="a0"/>
    <w:uiPriority w:val="32"/>
    <w:qFormat/>
    <w:rsid w:val="00DF068E"/>
    <w:rPr>
      <w:b/>
      <w:bCs/>
      <w:smallCaps/>
      <w:color w:val="0F4761" w:themeColor="accent1" w:themeShade="BF"/>
      <w:spacing w:val="5"/>
    </w:rPr>
  </w:style>
  <w:style w:type="table" w:styleId="aa">
    <w:name w:val="Table Grid"/>
    <w:basedOn w:val="a1"/>
    <w:uiPriority w:val="59"/>
    <w:rsid w:val="00DF068E"/>
    <w:pPr>
      <w:spacing w:after="0" w:line="240" w:lineRule="auto"/>
    </w:pPr>
    <w:rPr>
      <w:kern w:val="0"/>
      <w:sz w:val="24"/>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
    <w:name w:val="スタイル1"/>
    <w:uiPriority w:val="99"/>
    <w:rsid w:val="00DF068E"/>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1700</Words>
  <Characters>9695</Characters>
  <Application>Microsoft Office Word</Application>
  <DocSecurity>0</DocSecurity>
  <Lines>80</Lines>
  <Paragraphs>22</Paragraphs>
  <ScaleCrop>false</ScaleCrop>
  <Company/>
  <LinksUpToDate>false</LinksUpToDate>
  <CharactersWithSpaces>11373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Toru Miyoshi</dc:creator>
  <cp:keywords/>
  <dc:description/>
  <cp:lastModifiedBy>Toru Miyoshi</cp:lastModifiedBy>
  <cp:revision>5</cp:revision>
  <dcterms:created xsi:type="dcterms:W3CDTF">2024-03-27T23:49:00Z</dcterms:created>
  <dcterms:modified xsi:type="dcterms:W3CDTF">2024-03-27T23:56:00Z</dcterms:modified>
</cp:coreProperties>
</file>