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7B275" w14:textId="77777777" w:rsidR="00E170F6" w:rsidRPr="00A922C1" w:rsidRDefault="00E170F6" w:rsidP="00E170F6">
      <w:pPr>
        <w:spacing w:before="180" w:after="60"/>
        <w:jc w:val="both"/>
        <w:rPr>
          <w:rFonts w:ascii="Times New Roman" w:hAnsi="Times New Roman" w:cs="Times New Roman"/>
          <w:b/>
          <w:kern w:val="23"/>
          <w:sz w:val="20"/>
          <w:szCs w:val="19"/>
          <w:lang w:val="x-none"/>
        </w:rPr>
      </w:pPr>
      <w:r w:rsidRPr="00A922C1">
        <w:rPr>
          <w:rFonts w:ascii="Times New Roman" w:hAnsi="Times New Roman" w:cs="Times New Roman"/>
          <w:b/>
          <w:kern w:val="23"/>
          <w:sz w:val="20"/>
          <w:szCs w:val="19"/>
          <w:lang w:val="x-none"/>
        </w:rPr>
        <w:t>Table 1 | Screening results of IREDs toward substrates 2 and a.</w:t>
      </w:r>
    </w:p>
    <w:tbl>
      <w:tblPr>
        <w:tblW w:w="4901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5"/>
        <w:gridCol w:w="935"/>
        <w:gridCol w:w="1020"/>
        <w:gridCol w:w="765"/>
        <w:gridCol w:w="791"/>
        <w:gridCol w:w="765"/>
      </w:tblGrid>
      <w:tr w:rsidR="00E170F6" w:rsidRPr="00B1000A" w14:paraId="286E0E45" w14:textId="77777777" w:rsidTr="001A465C">
        <w:trPr>
          <w:trHeight w:val="331"/>
          <w:jc w:val="center"/>
        </w:trPr>
        <w:tc>
          <w:tcPr>
            <w:tcW w:w="62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4E6054D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Entry</w:t>
            </w:r>
          </w:p>
        </w:tc>
        <w:tc>
          <w:tcPr>
            <w:tcW w:w="93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76629CC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Enzyme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55E543F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Conv. (</w:t>
            </w:r>
            <w:r w:rsidRPr="00A922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%</w:t>
            </w:r>
            <w:r w:rsidRPr="00A922C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  <w:r w:rsidRPr="00A922C1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76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ED2C641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 xml:space="preserve">ee </w:t>
            </w:r>
            <w:r w:rsidRPr="00A922C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</w:t>
            </w:r>
            <w:r w:rsidRPr="00A922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%</w:t>
            </w:r>
            <w:r w:rsidRPr="00A922C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70CB5DA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Config.</w:t>
            </w:r>
          </w:p>
        </w:tc>
        <w:tc>
          <w:tcPr>
            <w:tcW w:w="76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DA97158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dr</w:t>
            </w:r>
          </w:p>
        </w:tc>
      </w:tr>
      <w:tr w:rsidR="00E170F6" w:rsidRPr="00B1000A" w14:paraId="4586EC3A" w14:textId="77777777" w:rsidTr="001A465C">
        <w:trPr>
          <w:trHeight w:val="331"/>
          <w:jc w:val="center"/>
        </w:trPr>
        <w:tc>
          <w:tcPr>
            <w:tcW w:w="625" w:type="dxa"/>
            <w:shd w:val="clear" w:color="auto" w:fill="auto"/>
            <w:vAlign w:val="center"/>
          </w:tcPr>
          <w:p w14:paraId="2126239E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4F3120DD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Poc</w:t>
            </w: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IRED</w:t>
            </w:r>
          </w:p>
        </w:tc>
        <w:tc>
          <w:tcPr>
            <w:tcW w:w="1020" w:type="dxa"/>
            <w:vAlign w:val="center"/>
          </w:tcPr>
          <w:p w14:paraId="2AC6AE88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765" w:type="dxa"/>
            <w:vAlign w:val="center"/>
          </w:tcPr>
          <w:p w14:paraId="23224EA1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F4B4E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3R,4R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68E0DB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92:8</w:t>
            </w:r>
          </w:p>
        </w:tc>
      </w:tr>
      <w:tr w:rsidR="00E170F6" w:rsidRPr="00B1000A" w14:paraId="4A0F96C3" w14:textId="77777777" w:rsidTr="001A465C">
        <w:trPr>
          <w:trHeight w:val="331"/>
          <w:jc w:val="center"/>
        </w:trPr>
        <w:tc>
          <w:tcPr>
            <w:tcW w:w="625" w:type="dxa"/>
            <w:shd w:val="clear" w:color="auto" w:fill="auto"/>
            <w:vAlign w:val="center"/>
          </w:tcPr>
          <w:p w14:paraId="64214F86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6CF4BB71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IRED-7</w:t>
            </w:r>
          </w:p>
        </w:tc>
        <w:tc>
          <w:tcPr>
            <w:tcW w:w="1020" w:type="dxa"/>
            <w:vAlign w:val="center"/>
          </w:tcPr>
          <w:p w14:paraId="03C7D03F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65" w:type="dxa"/>
            <w:vAlign w:val="center"/>
          </w:tcPr>
          <w:p w14:paraId="238CAD79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  <w:r w:rsidRPr="00A922C1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7B15A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3R,4R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BC4F3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</w:tr>
      <w:tr w:rsidR="00E170F6" w:rsidRPr="00B1000A" w14:paraId="7C518F6A" w14:textId="77777777" w:rsidTr="001A465C">
        <w:trPr>
          <w:trHeight w:val="331"/>
          <w:jc w:val="center"/>
        </w:trPr>
        <w:tc>
          <w:tcPr>
            <w:tcW w:w="625" w:type="dxa"/>
            <w:shd w:val="clear" w:color="auto" w:fill="auto"/>
            <w:vAlign w:val="center"/>
          </w:tcPr>
          <w:p w14:paraId="531793AD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4A892FB6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Sv</w:t>
            </w: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IRED</w:t>
            </w:r>
          </w:p>
        </w:tc>
        <w:tc>
          <w:tcPr>
            <w:tcW w:w="1020" w:type="dxa"/>
            <w:vAlign w:val="center"/>
          </w:tcPr>
          <w:p w14:paraId="0BF8271F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765" w:type="dxa"/>
            <w:vAlign w:val="center"/>
          </w:tcPr>
          <w:p w14:paraId="4A01871C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&gt;99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91583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3S,4S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B2259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91:9</w:t>
            </w:r>
          </w:p>
        </w:tc>
      </w:tr>
      <w:tr w:rsidR="00E170F6" w:rsidRPr="00B1000A" w14:paraId="220862B2" w14:textId="77777777" w:rsidTr="001A465C">
        <w:trPr>
          <w:trHeight w:val="331"/>
          <w:jc w:val="center"/>
        </w:trPr>
        <w:tc>
          <w:tcPr>
            <w:tcW w:w="625" w:type="dxa"/>
            <w:shd w:val="clear" w:color="auto" w:fill="auto"/>
            <w:vAlign w:val="center"/>
          </w:tcPr>
          <w:p w14:paraId="5FF7C2AD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3EF459B7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RedAm-13</w:t>
            </w:r>
          </w:p>
        </w:tc>
        <w:tc>
          <w:tcPr>
            <w:tcW w:w="1020" w:type="dxa"/>
            <w:vAlign w:val="center"/>
          </w:tcPr>
          <w:p w14:paraId="3F22866A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65" w:type="dxa"/>
            <w:vAlign w:val="center"/>
          </w:tcPr>
          <w:p w14:paraId="2A8B6E8B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&gt;99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CA2C3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3S,4S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CEBA1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92:8</w:t>
            </w:r>
          </w:p>
        </w:tc>
      </w:tr>
      <w:tr w:rsidR="00E170F6" w:rsidRPr="00B1000A" w14:paraId="7CD7DCAE" w14:textId="77777777" w:rsidTr="001A465C">
        <w:trPr>
          <w:trHeight w:val="331"/>
          <w:jc w:val="center"/>
        </w:trPr>
        <w:tc>
          <w:tcPr>
            <w:tcW w:w="625" w:type="dxa"/>
            <w:shd w:val="clear" w:color="auto" w:fill="auto"/>
            <w:vAlign w:val="center"/>
          </w:tcPr>
          <w:p w14:paraId="36BF0D06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5A636829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PIR358</w:t>
            </w:r>
          </w:p>
        </w:tc>
        <w:tc>
          <w:tcPr>
            <w:tcW w:w="1020" w:type="dxa"/>
            <w:vAlign w:val="center"/>
          </w:tcPr>
          <w:p w14:paraId="329FC396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65" w:type="dxa"/>
            <w:vAlign w:val="center"/>
          </w:tcPr>
          <w:p w14:paraId="361F3167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96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70313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3S,4S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DD4C2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99:1</w:t>
            </w:r>
          </w:p>
        </w:tc>
      </w:tr>
      <w:tr w:rsidR="00E170F6" w:rsidRPr="00B1000A" w14:paraId="71CA59E3" w14:textId="77777777" w:rsidTr="001A465C">
        <w:trPr>
          <w:trHeight w:val="331"/>
          <w:jc w:val="center"/>
        </w:trPr>
        <w:tc>
          <w:tcPr>
            <w:tcW w:w="625" w:type="dxa"/>
            <w:shd w:val="clear" w:color="auto" w:fill="auto"/>
            <w:vAlign w:val="center"/>
          </w:tcPr>
          <w:p w14:paraId="003A06FC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4D2AAA1E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IRED-18</w:t>
            </w:r>
          </w:p>
        </w:tc>
        <w:tc>
          <w:tcPr>
            <w:tcW w:w="1020" w:type="dxa"/>
            <w:vAlign w:val="center"/>
          </w:tcPr>
          <w:p w14:paraId="78CD200E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</w:p>
        </w:tc>
        <w:tc>
          <w:tcPr>
            <w:tcW w:w="765" w:type="dxa"/>
            <w:vAlign w:val="center"/>
          </w:tcPr>
          <w:p w14:paraId="7053BB89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  <w:r w:rsidRPr="00A922C1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74E59C0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A922C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R</w:t>
            </w:r>
            <w:r w:rsidRPr="00A922C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,4</w:t>
            </w:r>
            <w:r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R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3D5F2A3" w14:textId="77777777" w:rsidR="00E170F6" w:rsidRPr="00A922C1" w:rsidRDefault="00E170F6" w:rsidP="001A46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72:28</w:t>
            </w:r>
          </w:p>
        </w:tc>
      </w:tr>
    </w:tbl>
    <w:p w14:paraId="7AE75146" w14:textId="77777777" w:rsidR="00E170F6" w:rsidRPr="00A922C1" w:rsidRDefault="00E170F6" w:rsidP="00E170F6">
      <w:pPr>
        <w:spacing w:beforeLines="25" w:before="60" w:afterLines="50" w:after="120"/>
        <w:jc w:val="both"/>
        <w:rPr>
          <w:rFonts w:ascii="Times New Roman" w:eastAsia="Times New Roman" w:hAnsi="Times New Roman" w:cs="Times New Roman"/>
          <w:color w:val="000000"/>
          <w:sz w:val="17"/>
          <w:szCs w:val="17"/>
        </w:rPr>
      </w:pPr>
      <w:r w:rsidRPr="00A922C1">
        <w:rPr>
          <w:rFonts w:ascii="Times New Roman" w:eastAsia="Times New Roman" w:hAnsi="Times New Roman" w:cs="Times New Roman"/>
          <w:color w:val="000000"/>
          <w:sz w:val="17"/>
          <w:szCs w:val="17"/>
        </w:rPr>
        <w:t xml:space="preserve">Reaction conditions: 400 </w:t>
      </w:r>
      <w:r w:rsidRPr="00FB68AC">
        <w:rPr>
          <w:rFonts w:ascii="Times New Roman" w:eastAsia="Times New Roman" w:hAnsi="Times New Roman" w:cs="Times New Roman" w:hint="eastAsia"/>
          <w:color w:val="000000"/>
          <w:sz w:val="17"/>
          <w:szCs w:val="17"/>
        </w:rPr>
        <w:t>µ</w:t>
      </w:r>
      <w:r w:rsidRPr="00A922C1">
        <w:rPr>
          <w:rFonts w:ascii="Times New Roman" w:eastAsia="DengXian" w:hAnsi="Times New Roman" w:cs="Times New Roman"/>
          <w:color w:val="000000"/>
          <w:sz w:val="17"/>
          <w:szCs w:val="17"/>
        </w:rPr>
        <w:t>L</w:t>
      </w:r>
      <w:r w:rsidRPr="00A922C1">
        <w:rPr>
          <w:rFonts w:ascii="Times New Roman" w:eastAsia="Times New Roman" w:hAnsi="Times New Roman" w:cs="Times New Roman"/>
          <w:color w:val="000000"/>
          <w:sz w:val="17"/>
          <w:szCs w:val="17"/>
        </w:rPr>
        <w:t xml:space="preserve"> reaction volume, cell-free extract 200 </w:t>
      </w:r>
      <w:r w:rsidRPr="00FB68AC">
        <w:rPr>
          <w:rFonts w:ascii="Times New Roman" w:eastAsia="Times New Roman" w:hAnsi="Times New Roman" w:cs="Times New Roman" w:hint="eastAsia"/>
          <w:color w:val="000000"/>
          <w:sz w:val="17"/>
          <w:szCs w:val="17"/>
        </w:rPr>
        <w:t>µ</w:t>
      </w:r>
      <w:r w:rsidRPr="00A922C1">
        <w:rPr>
          <w:rFonts w:ascii="Times New Roman" w:eastAsia="DengXian" w:hAnsi="Times New Roman" w:cs="Times New Roman"/>
          <w:color w:val="000000"/>
          <w:sz w:val="17"/>
          <w:szCs w:val="17"/>
        </w:rPr>
        <w:t>L</w:t>
      </w:r>
      <w:r w:rsidRPr="00A922C1">
        <w:rPr>
          <w:rFonts w:ascii="Times New Roman" w:eastAsia="Times New Roman" w:hAnsi="Times New Roman" w:cs="Times New Roman"/>
          <w:color w:val="000000"/>
          <w:sz w:val="17"/>
          <w:szCs w:val="17"/>
        </w:rPr>
        <w:t xml:space="preserve">, substrate </w:t>
      </w:r>
      <w:r w:rsidRPr="00A922C1">
        <w:rPr>
          <w:rFonts w:ascii="Times New Roman" w:eastAsia="Times New Roman" w:hAnsi="Times New Roman" w:cs="Times New Roman"/>
          <w:b/>
          <w:bCs/>
          <w:color w:val="000000"/>
          <w:sz w:val="17"/>
          <w:szCs w:val="17"/>
        </w:rPr>
        <w:t>2</w:t>
      </w:r>
      <w:r w:rsidRPr="00A922C1">
        <w:rPr>
          <w:rFonts w:ascii="Times New Roman" w:eastAsia="Times New Roman" w:hAnsi="Times New Roman" w:cs="Times New Roman"/>
          <w:color w:val="000000"/>
          <w:sz w:val="17"/>
          <w:szCs w:val="17"/>
        </w:rPr>
        <w:t xml:space="preserve"> (15</w:t>
      </w:r>
      <w:r w:rsidRPr="00A922C1">
        <w:rPr>
          <w:rFonts w:ascii="Times New Roman" w:eastAsia="DengXian" w:hAnsi="Times New Roman" w:cs="Times New Roman"/>
          <w:color w:val="000000"/>
          <w:sz w:val="17"/>
          <w:szCs w:val="17"/>
        </w:rPr>
        <w:t xml:space="preserve"> </w:t>
      </w:r>
      <w:r w:rsidRPr="00A922C1">
        <w:rPr>
          <w:rFonts w:ascii="Times New Roman" w:eastAsia="Times New Roman" w:hAnsi="Times New Roman" w:cs="Times New Roman"/>
          <w:color w:val="000000"/>
          <w:sz w:val="17"/>
          <w:szCs w:val="17"/>
        </w:rPr>
        <w:t xml:space="preserve">mM), methylamine </w:t>
      </w:r>
      <w:r w:rsidRPr="00A922C1">
        <w:rPr>
          <w:rFonts w:ascii="Times New Roman" w:eastAsia="DengXian" w:hAnsi="Times New Roman" w:cs="Times New Roman"/>
          <w:b/>
          <w:bCs/>
          <w:color w:val="000000"/>
          <w:sz w:val="17"/>
          <w:szCs w:val="17"/>
        </w:rPr>
        <w:t>a</w:t>
      </w:r>
      <w:r w:rsidRPr="00A922C1">
        <w:rPr>
          <w:rFonts w:ascii="Times New Roman" w:eastAsia="DengXian" w:hAnsi="Times New Roman" w:cs="Times New Roman"/>
          <w:color w:val="000000"/>
          <w:sz w:val="17"/>
          <w:szCs w:val="17"/>
        </w:rPr>
        <w:t xml:space="preserve"> </w:t>
      </w:r>
      <w:r w:rsidRPr="00A922C1">
        <w:rPr>
          <w:rFonts w:ascii="Times New Roman" w:eastAsia="Times New Roman" w:hAnsi="Times New Roman" w:cs="Times New Roman"/>
          <w:color w:val="000000"/>
          <w:sz w:val="17"/>
          <w:szCs w:val="17"/>
        </w:rPr>
        <w:t>(200 mM), NADP</w:t>
      </w:r>
      <w:r w:rsidRPr="00A922C1">
        <w:rPr>
          <w:rFonts w:ascii="Times New Roman" w:eastAsia="Times New Roman" w:hAnsi="Times New Roman" w:cs="Times New Roman"/>
          <w:color w:val="000000"/>
          <w:sz w:val="17"/>
          <w:szCs w:val="17"/>
          <w:vertAlign w:val="superscript"/>
        </w:rPr>
        <w:t>+</w:t>
      </w:r>
      <w:r w:rsidRPr="00A922C1">
        <w:rPr>
          <w:rFonts w:ascii="Times New Roman" w:eastAsia="Times New Roman" w:hAnsi="Times New Roman" w:cs="Times New Roman"/>
          <w:color w:val="000000"/>
          <w:sz w:val="17"/>
          <w:szCs w:val="17"/>
        </w:rPr>
        <w:t xml:space="preserve"> (1 mM), </w:t>
      </w:r>
      <w:r w:rsidRPr="00A922C1">
        <w:rPr>
          <w:rFonts w:ascii="Times New Roman" w:eastAsia="Times New Roman" w:hAnsi="Times New Roman" w:cs="Times New Roman"/>
          <w:i/>
          <w:iCs/>
          <w:color w:val="000000"/>
          <w:sz w:val="17"/>
          <w:szCs w:val="17"/>
        </w:rPr>
        <w:t>Bm</w:t>
      </w:r>
      <w:r w:rsidRPr="00A922C1">
        <w:rPr>
          <w:rFonts w:ascii="Times New Roman" w:eastAsia="Times New Roman" w:hAnsi="Times New Roman" w:cs="Times New Roman"/>
          <w:color w:val="000000"/>
          <w:sz w:val="17"/>
          <w:szCs w:val="17"/>
        </w:rPr>
        <w:t>GDH (1 mg mL</w:t>
      </w:r>
      <w:r w:rsidRPr="00A922C1">
        <w:rPr>
          <w:rFonts w:ascii="Times New Roman" w:eastAsia="Times New Roman" w:hAnsi="Times New Roman" w:cs="Times New Roman"/>
          <w:color w:val="000000"/>
          <w:sz w:val="17"/>
          <w:szCs w:val="17"/>
          <w:vertAlign w:val="superscript"/>
        </w:rPr>
        <w:t>−1</w:t>
      </w:r>
      <w:r w:rsidRPr="00A922C1">
        <w:rPr>
          <w:rFonts w:ascii="Times New Roman" w:eastAsia="Times New Roman" w:hAnsi="Times New Roman" w:cs="Times New Roman"/>
          <w:color w:val="000000"/>
          <w:sz w:val="17"/>
          <w:szCs w:val="17"/>
        </w:rPr>
        <w:t>), D-glucose (22.5 mM, 1.5 eq.), KPB buffer (100 mM, pH 7.0), DMSO (5%</w:t>
      </w:r>
      <w:r w:rsidRPr="00A922C1">
        <w:rPr>
          <w:rFonts w:ascii="Times New Roman" w:hAnsi="Times New Roman" w:cs="Times New Roman"/>
          <w:color w:val="000000"/>
          <w:sz w:val="17"/>
          <w:szCs w:val="17"/>
        </w:rPr>
        <w:t>,</w:t>
      </w:r>
      <w:r w:rsidRPr="00A922C1">
        <w:rPr>
          <w:rFonts w:ascii="Times New Roman" w:eastAsia="Times New Roman" w:hAnsi="Times New Roman" w:cs="Times New Roman"/>
          <w:color w:val="000000"/>
          <w:sz w:val="17"/>
          <w:szCs w:val="17"/>
        </w:rPr>
        <w:t xml:space="preserve"> v/v), 800 rpm, 30</w:t>
      </w:r>
      <w:r w:rsidRPr="00A922C1">
        <w:rPr>
          <w:rFonts w:ascii="Times New Roman" w:hAnsi="Times New Roman" w:cs="Times New Roman"/>
          <w:color w:val="000000"/>
          <w:sz w:val="17"/>
          <w:szCs w:val="17"/>
        </w:rPr>
        <w:t>℃</w:t>
      </w:r>
      <w:r w:rsidRPr="00A922C1">
        <w:rPr>
          <w:rFonts w:ascii="Times New Roman" w:eastAsia="Times New Roman" w:hAnsi="Times New Roman" w:cs="Times New Roman"/>
          <w:color w:val="000000"/>
          <w:sz w:val="17"/>
          <w:szCs w:val="17"/>
        </w:rPr>
        <w:t xml:space="preserve">, 24 h. </w:t>
      </w:r>
      <w:r w:rsidRPr="00A922C1">
        <w:rPr>
          <w:rFonts w:ascii="Times New Roman" w:eastAsia="Times New Roman" w:hAnsi="Times New Roman" w:cs="Times New Roman"/>
          <w:color w:val="000000"/>
          <w:sz w:val="17"/>
          <w:szCs w:val="17"/>
          <w:vertAlign w:val="superscript"/>
        </w:rPr>
        <w:t>a</w:t>
      </w:r>
      <w:r w:rsidRPr="00A922C1">
        <w:rPr>
          <w:rFonts w:ascii="Times New Roman" w:hAnsi="Times New Roman" w:cs="Times New Roman"/>
          <w:color w:val="000000"/>
          <w:sz w:val="17"/>
          <w:szCs w:val="17"/>
        </w:rPr>
        <w:t>C</w:t>
      </w:r>
      <w:r w:rsidRPr="00A922C1">
        <w:rPr>
          <w:rFonts w:ascii="Times New Roman" w:eastAsia="Times New Roman" w:hAnsi="Times New Roman" w:cs="Times New Roman"/>
          <w:color w:val="000000"/>
          <w:sz w:val="17"/>
          <w:szCs w:val="17"/>
        </w:rPr>
        <w:t>onversion to product w</w:t>
      </w:r>
      <w:r w:rsidRPr="00A922C1">
        <w:rPr>
          <w:rFonts w:ascii="Times New Roman" w:hAnsi="Times New Roman" w:cs="Times New Roman"/>
          <w:color w:val="000000"/>
          <w:sz w:val="17"/>
          <w:szCs w:val="17"/>
        </w:rPr>
        <w:t>as</w:t>
      </w:r>
      <w:r w:rsidRPr="00A922C1">
        <w:rPr>
          <w:rFonts w:ascii="Times New Roman" w:eastAsia="Times New Roman" w:hAnsi="Times New Roman" w:cs="Times New Roman"/>
          <w:color w:val="000000"/>
          <w:sz w:val="17"/>
          <w:szCs w:val="17"/>
        </w:rPr>
        <w:t xml:space="preserve"> determined based on GC-FID. </w:t>
      </w:r>
      <w:r w:rsidRPr="00A922C1">
        <w:rPr>
          <w:rFonts w:ascii="Times New Roman" w:eastAsia="Times New Roman" w:hAnsi="Times New Roman" w:cs="Times New Roman"/>
          <w:color w:val="000000"/>
          <w:sz w:val="17"/>
          <w:szCs w:val="17"/>
          <w:vertAlign w:val="superscript"/>
        </w:rPr>
        <w:t>b</w:t>
      </w:r>
      <w:r w:rsidRPr="00A922C1">
        <w:rPr>
          <w:rFonts w:ascii="Times New Roman" w:eastAsia="Times New Roman" w:hAnsi="Times New Roman" w:cs="Times New Roman"/>
          <w:color w:val="000000"/>
          <w:sz w:val="17"/>
          <w:szCs w:val="17"/>
        </w:rPr>
        <w:t>n.d.</w:t>
      </w:r>
      <w:r w:rsidRPr="00A922C1">
        <w:rPr>
          <w:rFonts w:ascii="Times New Roman" w:eastAsia="DengXian" w:hAnsi="Times New Roman" w:cs="Times New Roman"/>
          <w:color w:val="000000"/>
          <w:sz w:val="17"/>
          <w:szCs w:val="17"/>
        </w:rPr>
        <w:t xml:space="preserve"> means n</w:t>
      </w:r>
      <w:r w:rsidRPr="00A922C1">
        <w:rPr>
          <w:rFonts w:ascii="Times New Roman" w:eastAsia="Times New Roman" w:hAnsi="Times New Roman" w:cs="Times New Roman"/>
          <w:color w:val="000000"/>
          <w:sz w:val="17"/>
          <w:szCs w:val="17"/>
        </w:rPr>
        <w:t>ot determined owing to</w:t>
      </w:r>
      <w:r w:rsidRPr="00A922C1">
        <w:rPr>
          <w:rFonts w:ascii="Times New Roman" w:hAnsi="Times New Roman" w:cs="Times New Roman"/>
          <w:color w:val="000000"/>
          <w:sz w:val="17"/>
          <w:szCs w:val="17"/>
        </w:rPr>
        <w:t xml:space="preserve"> only a</w:t>
      </w:r>
      <w:r w:rsidRPr="00A922C1">
        <w:rPr>
          <w:rFonts w:ascii="Times New Roman" w:eastAsia="Times New Roman" w:hAnsi="Times New Roman" w:cs="Times New Roman"/>
          <w:color w:val="000000"/>
          <w:sz w:val="17"/>
          <w:szCs w:val="17"/>
        </w:rPr>
        <w:t xml:space="preserve"> trace amount of the product.</w:t>
      </w:r>
      <w:r w:rsidRPr="00A922C1">
        <w:rPr>
          <w:rFonts w:ascii="Times New Roman" w:hAnsi="Times New Roman" w:cs="Times New Roman"/>
          <w:sz w:val="17"/>
          <w:szCs w:val="17"/>
        </w:rPr>
        <w:t xml:space="preserve"> </w:t>
      </w:r>
    </w:p>
    <w:p w14:paraId="6C52B850" w14:textId="77777777" w:rsidR="001C76BA" w:rsidRDefault="001C76BA"/>
    <w:p w14:paraId="4DB5B1F1" w14:textId="77777777" w:rsidR="00E170F6" w:rsidRDefault="00E170F6" w:rsidP="00E170F6">
      <w:pPr>
        <w:adjustRightInd w:val="0"/>
        <w:jc w:val="both"/>
        <w:rPr>
          <w:rFonts w:ascii="Times New Roman" w:hAnsi="Times New Roman" w:cs="Times New Roman"/>
          <w:b/>
          <w:bCs/>
          <w:sz w:val="17"/>
          <w:szCs w:val="17"/>
          <w:vertAlign w:val="superscript"/>
        </w:rPr>
      </w:pPr>
      <w:r w:rsidRPr="00A922C1">
        <w:rPr>
          <w:rFonts w:ascii="Times New Roman" w:hAnsi="Times New Roman" w:cs="Times New Roman"/>
          <w:b/>
          <w:bCs/>
          <w:sz w:val="17"/>
          <w:szCs w:val="17"/>
        </w:rPr>
        <w:t xml:space="preserve">Table 2 | Substrate scope of native </w:t>
      </w:r>
      <w:r w:rsidRPr="00A922C1">
        <w:rPr>
          <w:rFonts w:ascii="Times New Roman" w:hAnsi="Times New Roman" w:cs="Times New Roman"/>
          <w:b/>
          <w:bCs/>
          <w:i/>
          <w:iCs/>
          <w:sz w:val="17"/>
          <w:szCs w:val="17"/>
        </w:rPr>
        <w:t>Poc</w:t>
      </w:r>
      <w:r w:rsidRPr="00A922C1">
        <w:rPr>
          <w:rFonts w:ascii="Times New Roman" w:hAnsi="Times New Roman" w:cs="Times New Roman"/>
          <w:b/>
          <w:bCs/>
          <w:sz w:val="17"/>
          <w:szCs w:val="17"/>
        </w:rPr>
        <w:t>IRED and its mutant M6</w:t>
      </w:r>
      <w:r w:rsidRPr="00A922C1">
        <w:rPr>
          <w:rFonts w:ascii="Times New Roman" w:hAnsi="Times New Roman" w:cs="Times New Roman"/>
          <w:b/>
          <w:bCs/>
          <w:sz w:val="17"/>
          <w:szCs w:val="17"/>
          <w:vertAlign w:val="superscript"/>
        </w:rPr>
        <w:t>a</w:t>
      </w:r>
    </w:p>
    <w:p w14:paraId="4E783EFF" w14:textId="77777777" w:rsidR="00E170F6" w:rsidRPr="00A922C1" w:rsidRDefault="00E170F6" w:rsidP="00E170F6">
      <w:pPr>
        <w:adjustRightInd w:val="0"/>
        <w:jc w:val="both"/>
        <w:rPr>
          <w:rFonts w:ascii="Times New Roman" w:hAnsi="Times New Roman" w:cs="Times New Roman"/>
          <w:b/>
          <w:bCs/>
          <w:sz w:val="17"/>
          <w:szCs w:val="17"/>
          <w:vertAlign w:val="superscript"/>
        </w:rPr>
      </w:pPr>
      <w:r w:rsidRPr="00A922C1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54EADA4" wp14:editId="46684E36">
            <wp:simplePos x="0" y="0"/>
            <wp:positionH relativeFrom="margin">
              <wp:posOffset>0</wp:posOffset>
            </wp:positionH>
            <wp:positionV relativeFrom="paragraph">
              <wp:posOffset>162054</wp:posOffset>
            </wp:positionV>
            <wp:extent cx="6216650" cy="7883525"/>
            <wp:effectExtent l="0" t="0" r="0" b="3175"/>
            <wp:wrapTopAndBottom/>
            <wp:docPr id="10565565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650" cy="788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158B4F" w14:textId="77777777" w:rsidR="00E170F6" w:rsidRPr="003311D2" w:rsidRDefault="00E170F6" w:rsidP="00E170F6">
      <w:pPr>
        <w:adjustRightInd w:val="0"/>
        <w:jc w:val="both"/>
        <w:rPr>
          <w:rFonts w:ascii="Arial" w:hAnsi="Arial" w:cs="Arial"/>
          <w:b/>
          <w:bCs/>
          <w:sz w:val="17"/>
          <w:szCs w:val="17"/>
        </w:rPr>
        <w:sectPr w:rsidR="00E170F6" w:rsidRPr="003311D2" w:rsidSect="003D2516">
          <w:pgSz w:w="12240" w:h="15840" w:code="1"/>
          <w:pgMar w:top="720" w:right="1094" w:bottom="720" w:left="1094" w:header="720" w:footer="720" w:gutter="0"/>
          <w:cols w:space="426"/>
          <w:docGrid w:linePitch="326"/>
        </w:sectPr>
      </w:pPr>
    </w:p>
    <w:p w14:paraId="338E4B43" w14:textId="77777777" w:rsidR="00E170F6" w:rsidRDefault="00E170F6" w:rsidP="00E170F6">
      <w:pPr>
        <w:adjustRightInd w:val="0"/>
        <w:snapToGrid w:val="0"/>
        <w:rPr>
          <w:rFonts w:ascii="Arial" w:hAnsi="Arial" w:cs="Arial"/>
          <w:color w:val="000000"/>
          <w:kern w:val="24"/>
          <w:sz w:val="12"/>
          <w:szCs w:val="12"/>
          <w:vertAlign w:val="superscript"/>
        </w:rPr>
      </w:pPr>
    </w:p>
    <w:p w14:paraId="74EA2307" w14:textId="77777777" w:rsidR="00E170F6" w:rsidRPr="00B16550" w:rsidRDefault="00E170F6" w:rsidP="00E170F6">
      <w:pPr>
        <w:adjustRightInd w:val="0"/>
        <w:snapToGrid w:val="0"/>
        <w:jc w:val="both"/>
        <w:rPr>
          <w:rFonts w:ascii="Times New Roman" w:eastAsia="DengXian" w:hAnsi="Times New Roman" w:cs="Times New Roman"/>
          <w:color w:val="000000"/>
          <w:sz w:val="17"/>
          <w:szCs w:val="17"/>
        </w:rPr>
        <w:sectPr w:rsidR="00E170F6" w:rsidRPr="00B16550" w:rsidSect="003D2516">
          <w:type w:val="continuous"/>
          <w:pgSz w:w="12240" w:h="15840" w:code="1"/>
          <w:pgMar w:top="720" w:right="1094" w:bottom="720" w:left="1094" w:header="851" w:footer="992" w:gutter="0"/>
          <w:cols w:space="425"/>
          <w:docGrid w:linePitch="312"/>
        </w:sectPr>
      </w:pPr>
      <w:r w:rsidRPr="00B16550">
        <w:rPr>
          <w:rFonts w:ascii="Times New Roman" w:eastAsia="DengXian" w:hAnsi="Times New Roman" w:cs="Times New Roman"/>
          <w:color w:val="000000"/>
          <w:sz w:val="17"/>
          <w:szCs w:val="17"/>
          <w:vertAlign w:val="superscript"/>
        </w:rPr>
        <w:t>a</w:t>
      </w:r>
      <w:r w:rsidRPr="00B16550">
        <w:rPr>
          <w:rFonts w:ascii="Times New Roman" w:eastAsia="DengXian" w:hAnsi="Times New Roman" w:cs="Times New Roman"/>
          <w:color w:val="000000"/>
          <w:sz w:val="17"/>
          <w:szCs w:val="17"/>
        </w:rPr>
        <w:t xml:space="preserve">Reaction conditions unless noted otherwise: ketone (10 mM), amine (200 mM), purified imine reductase </w:t>
      </w:r>
      <w:r w:rsidRPr="00B16550">
        <w:rPr>
          <w:rFonts w:ascii="Times New Roman" w:eastAsia="DengXian" w:hAnsi="Times New Roman" w:cs="Times New Roman"/>
          <w:i/>
          <w:iCs/>
          <w:color w:val="000000"/>
          <w:sz w:val="17"/>
          <w:szCs w:val="17"/>
        </w:rPr>
        <w:t>Poc</w:t>
      </w:r>
      <w:r w:rsidRPr="00B16550">
        <w:rPr>
          <w:rFonts w:ascii="Times New Roman" w:eastAsia="DengXian" w:hAnsi="Times New Roman" w:cs="Times New Roman"/>
          <w:color w:val="000000"/>
          <w:sz w:val="17"/>
          <w:szCs w:val="17"/>
        </w:rPr>
        <w:t xml:space="preserve">IRED or its mutant (0.1 mg/mL), NADPH (20 mM), DMSO (15% v/v), Glycine-NaOH (200 mM, pH 9.5), 30°C, 800 rpm, 12 h. </w:t>
      </w:r>
      <w:r w:rsidRPr="00B16550">
        <w:rPr>
          <w:rFonts w:ascii="Times New Roman" w:eastAsia="DengXian" w:hAnsi="Times New Roman" w:cs="Times New Roman"/>
          <w:i/>
          <w:iCs/>
          <w:color w:val="000000"/>
          <w:sz w:val="17"/>
          <w:szCs w:val="17"/>
        </w:rPr>
        <w:t>Poc</w:t>
      </w:r>
      <w:r w:rsidRPr="00B16550">
        <w:rPr>
          <w:rFonts w:ascii="Times New Roman" w:eastAsia="DengXian" w:hAnsi="Times New Roman" w:cs="Times New Roman"/>
          <w:color w:val="000000"/>
          <w:sz w:val="17"/>
          <w:szCs w:val="17"/>
        </w:rPr>
        <w:t xml:space="preserve">IRED and its mutant are truncated proteins used for X-ray diffraction. </w:t>
      </w:r>
      <w:r w:rsidRPr="00B16550">
        <w:rPr>
          <w:rFonts w:ascii="Times New Roman" w:eastAsia="DengXian" w:hAnsi="Times New Roman" w:cs="Times New Roman"/>
          <w:color w:val="000000"/>
          <w:sz w:val="17"/>
          <w:szCs w:val="17"/>
          <w:vertAlign w:val="superscript"/>
        </w:rPr>
        <w:t>b</w:t>
      </w:r>
      <w:r w:rsidRPr="00B16550">
        <w:rPr>
          <w:rFonts w:ascii="Times New Roman" w:eastAsia="DengXian" w:hAnsi="Times New Roman" w:cs="Times New Roman"/>
          <w:color w:val="000000"/>
          <w:sz w:val="17"/>
          <w:szCs w:val="17"/>
        </w:rPr>
        <w:t xml:space="preserve">1.0 mg/mL imine reductase. </w:t>
      </w:r>
      <w:r w:rsidRPr="00B16550">
        <w:rPr>
          <w:rFonts w:ascii="Times New Roman" w:eastAsia="DengXian" w:hAnsi="Times New Roman" w:cs="Times New Roman"/>
          <w:color w:val="000000"/>
          <w:sz w:val="17"/>
          <w:szCs w:val="17"/>
          <w:vertAlign w:val="superscript"/>
        </w:rPr>
        <w:t>c</w:t>
      </w:r>
      <w:r w:rsidRPr="00B16550">
        <w:rPr>
          <w:rFonts w:ascii="Times New Roman" w:eastAsia="DengXian" w:hAnsi="Times New Roman" w:cs="Times New Roman"/>
          <w:color w:val="000000"/>
          <w:sz w:val="17"/>
          <w:szCs w:val="17"/>
        </w:rPr>
        <w:t xml:space="preserve">3.0 mg/mL imine reductase. </w:t>
      </w:r>
      <w:r w:rsidRPr="00B16550">
        <w:rPr>
          <w:rFonts w:ascii="Times New Roman" w:eastAsia="DengXian" w:hAnsi="Times New Roman" w:cs="Times New Roman"/>
          <w:color w:val="000000"/>
          <w:sz w:val="17"/>
          <w:szCs w:val="17"/>
          <w:vertAlign w:val="superscript"/>
        </w:rPr>
        <w:t>d</w:t>
      </w:r>
      <w:r w:rsidRPr="00B16550">
        <w:rPr>
          <w:rFonts w:ascii="Times New Roman" w:eastAsia="DengXian" w:hAnsi="Times New Roman" w:cs="Times New Roman"/>
          <w:color w:val="000000"/>
          <w:sz w:val="17"/>
          <w:szCs w:val="17"/>
        </w:rPr>
        <w:t xml:space="preserve">0.2 mg/mL imine reductase. </w:t>
      </w:r>
      <w:r w:rsidRPr="00B16550">
        <w:rPr>
          <w:rFonts w:ascii="Times New Roman" w:eastAsia="DengXian" w:hAnsi="Times New Roman" w:cs="Times New Roman"/>
          <w:color w:val="000000"/>
          <w:sz w:val="17"/>
          <w:szCs w:val="17"/>
          <w:vertAlign w:val="superscript"/>
        </w:rPr>
        <w:t>e</w:t>
      </w:r>
      <w:r w:rsidRPr="00B16550">
        <w:rPr>
          <w:rFonts w:ascii="Times New Roman" w:eastAsia="DengXian" w:hAnsi="Times New Roman" w:cs="Times New Roman"/>
          <w:color w:val="000000"/>
          <w:sz w:val="17"/>
          <w:szCs w:val="17"/>
        </w:rPr>
        <w:t>0.01 mg/mL imine reductase. n.r. = no reaction. n.d. = not determined</w:t>
      </w:r>
    </w:p>
    <w:p w14:paraId="2A5CD112" w14:textId="77777777" w:rsidR="00E170F6" w:rsidRDefault="00E170F6"/>
    <w:sectPr w:rsidR="00E170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0F6"/>
    <w:rsid w:val="001C76BA"/>
    <w:rsid w:val="003D2516"/>
    <w:rsid w:val="00E17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3C65A"/>
  <w15:chartTrackingRefBased/>
  <w15:docId w15:val="{D1C7215F-2CE2-4E1C-BE50-5870957C1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0F6"/>
    <w:pPr>
      <w:spacing w:after="0" w:line="240" w:lineRule="auto"/>
    </w:pPr>
    <w:rPr>
      <w:rFonts w:eastAsiaTheme="minorEastAsia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174</Words>
  <Characters>998</Characters>
  <Application>Microsoft Office Word</Application>
  <DocSecurity>0</DocSecurity>
  <Lines>8</Lines>
  <Paragraphs>2</Paragraphs>
  <ScaleCrop>false</ScaleCrop>
  <Company>SpringerNature</Company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2024-04-22T07:22:00Z</dcterms:created>
  <dcterms:modified xsi:type="dcterms:W3CDTF">2024-04-22T07:23:00Z</dcterms:modified>
</cp:coreProperties>
</file>