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4F31" w:rsidRPr="00B84F31" w:rsidRDefault="00B84F31" w:rsidP="00B84F31">
      <w:pPr>
        <w:pStyle w:val="NormalWeb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Supplemental Methods:</w:t>
      </w:r>
      <w:bookmarkStart w:id="0" w:name="_GoBack"/>
      <w:bookmarkEnd w:id="0"/>
    </w:p>
    <w:p w:rsidR="00B84F31" w:rsidRPr="00B84F31" w:rsidRDefault="00B84F31" w:rsidP="00B84F31">
      <w:pPr>
        <w:pStyle w:val="NormalWeb"/>
        <w:rPr>
          <w:rFonts w:ascii="Arial" w:hAnsi="Arial" w:cs="Arial"/>
          <w:color w:val="000000"/>
          <w:sz w:val="22"/>
          <w:szCs w:val="22"/>
          <w:u w:val="single"/>
        </w:rPr>
      </w:pPr>
      <w:r w:rsidRPr="00B84F31">
        <w:rPr>
          <w:rFonts w:ascii="Arial" w:hAnsi="Arial" w:cs="Arial"/>
          <w:color w:val="000000"/>
          <w:sz w:val="22"/>
          <w:szCs w:val="22"/>
          <w:u w:val="single"/>
        </w:rPr>
        <w:t xml:space="preserve">Sample preparation for </w:t>
      </w:r>
      <w:proofErr w:type="spellStart"/>
      <w:r w:rsidRPr="00B84F31">
        <w:rPr>
          <w:rFonts w:ascii="Arial" w:hAnsi="Arial" w:cs="Arial"/>
          <w:color w:val="000000"/>
          <w:sz w:val="22"/>
          <w:szCs w:val="22"/>
          <w:u w:val="single"/>
        </w:rPr>
        <w:t>GeoMx</w:t>
      </w:r>
      <w:proofErr w:type="spellEnd"/>
      <w:r w:rsidRPr="00B84F31">
        <w:rPr>
          <w:rFonts w:ascii="Arial" w:hAnsi="Arial" w:cs="Arial"/>
          <w:color w:val="000000"/>
          <w:sz w:val="22"/>
          <w:szCs w:val="22"/>
          <w:u w:val="single"/>
        </w:rPr>
        <w:t xml:space="preserve"> spatial profiling</w:t>
      </w:r>
      <w:r w:rsidRPr="00B84F31">
        <w:rPr>
          <w:rFonts w:ascii="Arial" w:hAnsi="Arial" w:cs="Arial"/>
          <w:color w:val="000000"/>
          <w:sz w:val="22"/>
          <w:szCs w:val="22"/>
          <w:u w:val="single"/>
        </w:rPr>
        <w:t xml:space="preserve"> and</w:t>
      </w:r>
      <w:r w:rsidRPr="00B84F31">
        <w:rPr>
          <w:rFonts w:ascii="Arial" w:hAnsi="Arial" w:cs="Arial"/>
          <w:color w:val="000000"/>
          <w:sz w:val="22"/>
          <w:szCs w:val="22"/>
          <w:u w:val="single"/>
        </w:rPr>
        <w:t xml:space="preserve"> Protein </w:t>
      </w:r>
      <w:proofErr w:type="spellStart"/>
      <w:r w:rsidRPr="00B84F31">
        <w:rPr>
          <w:rFonts w:ascii="Arial" w:hAnsi="Arial" w:cs="Arial"/>
          <w:color w:val="000000"/>
          <w:sz w:val="22"/>
          <w:szCs w:val="22"/>
          <w:u w:val="single"/>
        </w:rPr>
        <w:t>nCounter</w:t>
      </w:r>
      <w:proofErr w:type="spellEnd"/>
      <w:r w:rsidRPr="00B84F31">
        <w:rPr>
          <w:rFonts w:ascii="Arial" w:hAnsi="Arial" w:cs="Arial"/>
          <w:color w:val="000000"/>
          <w:sz w:val="22"/>
          <w:szCs w:val="22"/>
          <w:u w:val="single"/>
        </w:rPr>
        <w:t xml:space="preserve"> sequencing:</w:t>
      </w:r>
    </w:p>
    <w:p w:rsidR="00B84F31" w:rsidRPr="00B84F31" w:rsidRDefault="00B84F31" w:rsidP="00B84F31">
      <w:pPr>
        <w:pStyle w:val="NormalWeb"/>
        <w:rPr>
          <w:rFonts w:ascii="Arial" w:hAnsi="Arial" w:cs="Arial"/>
          <w:color w:val="000000"/>
          <w:sz w:val="22"/>
          <w:szCs w:val="22"/>
        </w:rPr>
      </w:pPr>
      <w:r w:rsidRPr="00B84F31">
        <w:rPr>
          <w:rFonts w:ascii="Arial" w:hAnsi="Arial" w:cs="Arial"/>
          <w:color w:val="000000"/>
          <w:sz w:val="22"/>
          <w:szCs w:val="22"/>
        </w:rPr>
        <w:t xml:space="preserve">The </w:t>
      </w:r>
      <w:proofErr w:type="spellStart"/>
      <w:r w:rsidRPr="00B84F31">
        <w:rPr>
          <w:rFonts w:ascii="Arial" w:hAnsi="Arial" w:cs="Arial"/>
          <w:color w:val="000000"/>
          <w:sz w:val="22"/>
          <w:szCs w:val="22"/>
        </w:rPr>
        <w:t>GeoMx</w:t>
      </w:r>
      <w:proofErr w:type="spellEnd"/>
      <w:r w:rsidRPr="00B84F31">
        <w:rPr>
          <w:rFonts w:ascii="Arial" w:hAnsi="Arial" w:cs="Arial"/>
          <w:color w:val="000000"/>
          <w:sz w:val="22"/>
          <w:szCs w:val="22"/>
        </w:rPr>
        <w:t xml:space="preserve"> DSP analysis was performed following the manufacturer’s protocols. Formalin-fixed paraffin embedding (FFPE) tissue sections (5 </w:t>
      </w:r>
      <w:proofErr w:type="spellStart"/>
      <w:r w:rsidRPr="00B84F31">
        <w:rPr>
          <w:rFonts w:ascii="Arial" w:hAnsi="Arial" w:cs="Arial"/>
          <w:color w:val="000000"/>
          <w:sz w:val="22"/>
          <w:szCs w:val="22"/>
        </w:rPr>
        <w:t>μm</w:t>
      </w:r>
      <w:proofErr w:type="spellEnd"/>
      <w:r w:rsidRPr="00B84F31">
        <w:rPr>
          <w:rFonts w:ascii="Arial" w:hAnsi="Arial" w:cs="Arial"/>
          <w:color w:val="000000"/>
          <w:sz w:val="22"/>
          <w:szCs w:val="22"/>
        </w:rPr>
        <w:t xml:space="preserve">) were cut and mounted on a positively charged histology slide. After baking at 60°C for 3 </w:t>
      </w:r>
      <w:proofErr w:type="spellStart"/>
      <w:r w:rsidRPr="00B84F31">
        <w:rPr>
          <w:rFonts w:ascii="Arial" w:hAnsi="Arial" w:cs="Arial"/>
          <w:color w:val="000000"/>
          <w:sz w:val="22"/>
          <w:szCs w:val="22"/>
        </w:rPr>
        <w:t>hr</w:t>
      </w:r>
      <w:proofErr w:type="spellEnd"/>
      <w:r w:rsidRPr="00B84F31">
        <w:rPr>
          <w:rFonts w:ascii="Arial" w:hAnsi="Arial" w:cs="Arial"/>
          <w:color w:val="000000"/>
          <w:sz w:val="22"/>
          <w:szCs w:val="22"/>
        </w:rPr>
        <w:t xml:space="preserve"> for paraffin removal, the tissue sections went through rehydration and antigen retrieval (15 minutes at high pressure and high temperature in a pressure cooker). The tissue sections were then blocked and hybridized with seven </w:t>
      </w:r>
      <w:proofErr w:type="spellStart"/>
      <w:r w:rsidRPr="00B84F31">
        <w:rPr>
          <w:rFonts w:ascii="Arial" w:hAnsi="Arial" w:cs="Arial"/>
          <w:color w:val="000000"/>
          <w:sz w:val="22"/>
          <w:szCs w:val="22"/>
        </w:rPr>
        <w:t>Nanostring</w:t>
      </w:r>
      <w:proofErr w:type="spellEnd"/>
      <w:r w:rsidRPr="00B84F31">
        <w:rPr>
          <w:rFonts w:ascii="Arial" w:hAnsi="Arial" w:cs="Arial"/>
          <w:color w:val="000000"/>
          <w:sz w:val="22"/>
          <w:szCs w:val="22"/>
        </w:rPr>
        <w:t xml:space="preserve"> protein modules (core module, IO drug target, immune activation status, immune cell typing, MAPK signaling, cell death, and P13K/AKT signaling), together with three morphology markers (CD31, Collagen VI, and Troponin I) in a humidity chamber overnight at 4°C. Following fixation with 4% PFA at room temperature for 30 minutes, slides were stained with SYTO82 for 15 </w:t>
      </w:r>
      <w:proofErr w:type="spellStart"/>
      <w:r w:rsidRPr="00B84F31">
        <w:rPr>
          <w:rFonts w:ascii="Arial" w:hAnsi="Arial" w:cs="Arial"/>
          <w:color w:val="000000"/>
          <w:sz w:val="22"/>
          <w:szCs w:val="22"/>
        </w:rPr>
        <w:t>mins</w:t>
      </w:r>
      <w:proofErr w:type="spellEnd"/>
      <w:r w:rsidRPr="00B84F31">
        <w:rPr>
          <w:rFonts w:ascii="Arial" w:hAnsi="Arial" w:cs="Arial"/>
          <w:color w:val="000000"/>
          <w:sz w:val="22"/>
          <w:szCs w:val="22"/>
        </w:rPr>
        <w:t xml:space="preserve"> at room temperature before loading onto the </w:t>
      </w:r>
      <w:proofErr w:type="spellStart"/>
      <w:r w:rsidRPr="00B84F31">
        <w:rPr>
          <w:rFonts w:ascii="Arial" w:hAnsi="Arial" w:cs="Arial"/>
          <w:color w:val="000000"/>
          <w:sz w:val="22"/>
          <w:szCs w:val="22"/>
        </w:rPr>
        <w:t>GeoMx</w:t>
      </w:r>
      <w:proofErr w:type="spellEnd"/>
      <w:r w:rsidRPr="00B84F31">
        <w:rPr>
          <w:rFonts w:ascii="Arial" w:hAnsi="Arial" w:cs="Arial"/>
          <w:color w:val="000000"/>
          <w:sz w:val="22"/>
          <w:szCs w:val="22"/>
        </w:rPr>
        <w:t xml:space="preserve"> DSP and scanned.</w:t>
      </w:r>
    </w:p>
    <w:p w:rsidR="00B84F31" w:rsidRPr="00B84F31" w:rsidRDefault="00B84F31" w:rsidP="00B84F31">
      <w:pPr>
        <w:pStyle w:val="NormalWeb"/>
        <w:rPr>
          <w:rFonts w:ascii="Arial" w:hAnsi="Arial" w:cs="Arial"/>
          <w:color w:val="000000"/>
          <w:sz w:val="22"/>
          <w:szCs w:val="22"/>
        </w:rPr>
      </w:pPr>
      <w:r w:rsidRPr="00B84F31">
        <w:rPr>
          <w:rFonts w:ascii="Arial" w:hAnsi="Arial" w:cs="Arial"/>
          <w:color w:val="000000"/>
          <w:sz w:val="22"/>
          <w:szCs w:val="22"/>
        </w:rPr>
        <w:t xml:space="preserve">The regions of interest (ROIs) were selected using the polygon tool guided by the morphology staining. </w:t>
      </w:r>
      <w:proofErr w:type="spellStart"/>
      <w:r w:rsidRPr="00B84F31">
        <w:rPr>
          <w:rFonts w:ascii="Arial" w:hAnsi="Arial" w:cs="Arial"/>
          <w:color w:val="000000"/>
          <w:sz w:val="22"/>
          <w:szCs w:val="22"/>
        </w:rPr>
        <w:t>Oligos</w:t>
      </w:r>
      <w:proofErr w:type="spellEnd"/>
      <w:r w:rsidRPr="00B84F31">
        <w:rPr>
          <w:rFonts w:ascii="Arial" w:hAnsi="Arial" w:cs="Arial"/>
          <w:color w:val="000000"/>
          <w:sz w:val="22"/>
          <w:szCs w:val="22"/>
        </w:rPr>
        <w:t xml:space="preserve"> from the hybridized probes in the ROIs were released by photo-cleaving UV light and collected into a 96-well plate. After drying overnight, the samples were </w:t>
      </w:r>
      <w:proofErr w:type="spellStart"/>
      <w:r w:rsidRPr="00B84F31">
        <w:rPr>
          <w:rFonts w:ascii="Arial" w:hAnsi="Arial" w:cs="Arial"/>
          <w:color w:val="000000"/>
          <w:sz w:val="22"/>
          <w:szCs w:val="22"/>
        </w:rPr>
        <w:t>resuspended</w:t>
      </w:r>
      <w:proofErr w:type="spellEnd"/>
      <w:r w:rsidRPr="00B84F31">
        <w:rPr>
          <w:rFonts w:ascii="Arial" w:hAnsi="Arial" w:cs="Arial"/>
          <w:color w:val="000000"/>
          <w:sz w:val="22"/>
          <w:szCs w:val="22"/>
        </w:rPr>
        <w:t xml:space="preserve"> in nuclease-free water, then hybridized with probes at 67°C overnight. Hybridized samples were pooled based on the total illuminated segment area per column according to the manufacturer’s instructions for </w:t>
      </w:r>
      <w:proofErr w:type="spellStart"/>
      <w:r w:rsidRPr="00B84F31">
        <w:rPr>
          <w:rFonts w:ascii="Arial" w:hAnsi="Arial" w:cs="Arial"/>
          <w:color w:val="000000"/>
          <w:sz w:val="22"/>
          <w:szCs w:val="22"/>
        </w:rPr>
        <w:t>nCounter</w:t>
      </w:r>
      <w:proofErr w:type="spellEnd"/>
      <w:r w:rsidRPr="00B84F31">
        <w:rPr>
          <w:rFonts w:ascii="Arial" w:hAnsi="Arial" w:cs="Arial"/>
          <w:color w:val="000000"/>
          <w:sz w:val="22"/>
          <w:szCs w:val="22"/>
        </w:rPr>
        <w:t xml:space="preserve"> readout. Pooled samples were sequenced and counted on a </w:t>
      </w:r>
      <w:proofErr w:type="spellStart"/>
      <w:r w:rsidRPr="00B84F31">
        <w:rPr>
          <w:rFonts w:ascii="Arial" w:hAnsi="Arial" w:cs="Arial"/>
          <w:color w:val="000000"/>
          <w:sz w:val="22"/>
          <w:szCs w:val="22"/>
        </w:rPr>
        <w:t>NanoString</w:t>
      </w:r>
      <w:proofErr w:type="spellEnd"/>
      <w:r w:rsidRPr="00B84F31">
        <w:rPr>
          <w:rFonts w:ascii="Arial" w:hAnsi="Arial" w:cs="Arial"/>
          <w:color w:val="000000"/>
          <w:sz w:val="22"/>
          <w:szCs w:val="22"/>
        </w:rPr>
        <w:t xml:space="preserve"> </w:t>
      </w:r>
      <w:proofErr w:type="spellStart"/>
      <w:r w:rsidRPr="00B84F31">
        <w:rPr>
          <w:rFonts w:ascii="Arial" w:hAnsi="Arial" w:cs="Arial"/>
          <w:color w:val="000000"/>
          <w:sz w:val="22"/>
          <w:szCs w:val="22"/>
        </w:rPr>
        <w:t>nCounte</w:t>
      </w:r>
      <w:r w:rsidRPr="00B84F31">
        <w:rPr>
          <w:rFonts w:ascii="Arial" w:hAnsi="Arial" w:cs="Arial"/>
          <w:color w:val="000000"/>
          <w:sz w:val="22"/>
          <w:szCs w:val="22"/>
        </w:rPr>
        <w:t>r</w:t>
      </w:r>
      <w:proofErr w:type="spellEnd"/>
      <w:r w:rsidRPr="00B84F31">
        <w:rPr>
          <w:rFonts w:ascii="Arial" w:hAnsi="Arial" w:cs="Arial"/>
          <w:color w:val="000000"/>
          <w:sz w:val="22"/>
          <w:szCs w:val="22"/>
        </w:rPr>
        <w:t xml:space="preserve"> Pro.</w:t>
      </w:r>
    </w:p>
    <w:p w:rsidR="008A2028" w:rsidRDefault="008A2028"/>
    <w:sectPr w:rsidR="008A20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4F31"/>
    <w:rsid w:val="008A2028"/>
    <w:rsid w:val="00B84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B440B3"/>
  <w15:chartTrackingRefBased/>
  <w15:docId w15:val="{B41F7CF4-34CD-4836-8110-40995B3EF3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84F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6675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236</Words>
  <Characters>1350</Characters>
  <Application>Microsoft Office Word</Application>
  <DocSecurity>0</DocSecurity>
  <Lines>11</Lines>
  <Paragraphs>3</Paragraphs>
  <ScaleCrop>false</ScaleCrop>
  <Company/>
  <LinksUpToDate>false</LinksUpToDate>
  <CharactersWithSpaces>1583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Peyster, Eliot G</dc:creator>
  <cp:keywords/>
  <dc:description/>
  <cp:lastModifiedBy>Peyster, Eliot G</cp:lastModifiedBy>
  <cp:revision>1</cp:revision>
  <dcterms:created xsi:type="dcterms:W3CDTF">2024-04-18T14:50:00Z</dcterms:created>
  <dcterms:modified xsi:type="dcterms:W3CDTF">2024-04-18T14:55:00Z</dcterms:modified>
</cp:coreProperties>
</file>