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62A9" w14:textId="0C78946B" w:rsidR="005974EC" w:rsidRDefault="00B1338D">
      <w:r>
        <w:t xml:space="preserve">Supplementary table </w:t>
      </w:r>
      <w:r w:rsidR="00531D5E">
        <w:t>4</w:t>
      </w:r>
      <w:r>
        <w:t>. Critical Appraisal Tool for the Risk of Bias in Systematic Reviews from the Joanna Briggs Institute for Systematic Reviews and Research Syntheses</w:t>
      </w:r>
    </w:p>
    <w:p w14:paraId="4DFEAFA1" w14:textId="77777777" w:rsidR="005974EC" w:rsidRDefault="00000000">
      <w:r>
        <w:t xml:space="preserve"> </w:t>
      </w:r>
    </w:p>
    <w:p w14:paraId="3EA4A335" w14:textId="77777777" w:rsidR="005974EC" w:rsidRDefault="005974EC"/>
    <w:p w14:paraId="4D1609CF" w14:textId="77777777" w:rsidR="005974EC" w:rsidRDefault="005974EC"/>
    <w:tbl>
      <w:tblPr>
        <w:tblStyle w:val="a"/>
        <w:tblW w:w="14670" w:type="dxa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1125"/>
        <w:gridCol w:w="735"/>
        <w:gridCol w:w="450"/>
        <w:gridCol w:w="480"/>
        <w:gridCol w:w="465"/>
        <w:gridCol w:w="510"/>
        <w:gridCol w:w="405"/>
        <w:gridCol w:w="480"/>
        <w:gridCol w:w="555"/>
        <w:gridCol w:w="720"/>
        <w:gridCol w:w="525"/>
        <w:gridCol w:w="750"/>
        <w:gridCol w:w="660"/>
        <w:gridCol w:w="885"/>
        <w:gridCol w:w="825"/>
        <w:gridCol w:w="795"/>
        <w:gridCol w:w="840"/>
        <w:gridCol w:w="855"/>
        <w:gridCol w:w="1230"/>
      </w:tblGrid>
      <w:tr w:rsidR="005974EC" w14:paraId="6AB0AAA0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371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Title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847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Author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4AF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534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 PICO </w:t>
            </w:r>
            <w:proofErr w:type="spellStart"/>
            <w:r>
              <w:t>compone</w:t>
            </w:r>
            <w:proofErr w:type="spellEnd"/>
            <w:r>
              <w:t xml:space="preserve"> </w:t>
            </w:r>
            <w:proofErr w:type="spellStart"/>
            <w:r>
              <w:t>nts</w:t>
            </w:r>
            <w:proofErr w:type="spellEnd"/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879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 Review methods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84C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Study selection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50E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Literature search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F8F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 Study selection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25A5" w14:textId="77777777" w:rsidR="005974EC" w:rsidRDefault="00000000">
            <w:pPr>
              <w:widowControl w:val="0"/>
              <w:spacing w:line="240" w:lineRule="auto"/>
            </w:pPr>
            <w:r>
              <w:t>6. Data extraction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FA9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 Exclusion justification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4FE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 Study description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B4C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 Included studies risk of bias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F7E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 Included studies funding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43C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 Statistical methods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B6E2" w14:textId="77777777" w:rsidR="005974EC" w:rsidRDefault="00000000">
            <w:pPr>
              <w:widowControl w:val="0"/>
              <w:spacing w:line="240" w:lineRule="auto"/>
            </w:pPr>
            <w:r>
              <w:t>12. Risk of bias impact</w:t>
            </w:r>
          </w:p>
          <w:p w14:paraId="6279EAC5" w14:textId="77777777" w:rsidR="005974EC" w:rsidRDefault="00597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6C57" w14:textId="77777777" w:rsidR="005974EC" w:rsidRDefault="00000000">
            <w:pPr>
              <w:widowControl w:val="0"/>
              <w:spacing w:line="240" w:lineRule="auto"/>
            </w:pPr>
            <w:r>
              <w:t>13. Risk of bias accountability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5193" w14:textId="77777777" w:rsidR="005974EC" w:rsidRDefault="00000000">
            <w:pPr>
              <w:widowControl w:val="0"/>
              <w:spacing w:line="240" w:lineRule="auto"/>
            </w:pPr>
            <w:r>
              <w:t>14. Heterogeneity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3392" w14:textId="77777777" w:rsidR="005974EC" w:rsidRDefault="00000000">
            <w:pPr>
              <w:widowControl w:val="0"/>
              <w:spacing w:line="240" w:lineRule="auto"/>
            </w:pPr>
            <w:r>
              <w:t>15. Publication bias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203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 Conflict of interest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807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Results</w:t>
            </w:r>
          </w:p>
        </w:tc>
      </w:tr>
      <w:tr w:rsidR="005974EC" w14:paraId="551A982C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A1F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Association of Glucose-Lowering Drugs </w:t>
            </w:r>
            <w:proofErr w:type="gramStart"/>
            <w:r>
              <w:rPr>
                <w:sz w:val="24"/>
                <w:szCs w:val="24"/>
              </w:rPr>
              <w:t>With</w:t>
            </w:r>
            <w:proofErr w:type="gramEnd"/>
            <w:r>
              <w:rPr>
                <w:sz w:val="24"/>
                <w:szCs w:val="24"/>
              </w:rPr>
              <w:t xml:space="preserve"> Outcomes in Patients With Diabetes Before Hospitalization for COVID-19: </w:t>
            </w:r>
            <w:r>
              <w:rPr>
                <w:sz w:val="24"/>
                <w:szCs w:val="24"/>
              </w:rPr>
              <w:lastRenderedPageBreak/>
              <w:t>A Systematic Review and Network Meta-analysis.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E1B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lastRenderedPageBreak/>
              <w:t>Zhu et.al.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D55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41F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995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497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302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EEF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36B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056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503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D62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41E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FDE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95C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2ED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944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B39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D0D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D2C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Included</w:t>
            </w:r>
          </w:p>
        </w:tc>
      </w:tr>
      <w:tr w:rsidR="005974EC" w14:paraId="526D455A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AA4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The Association Between Antidiabetic Agents and Clinical Outcomes of COVID-19 Patients </w:t>
            </w:r>
            <w:proofErr w:type="gramStart"/>
            <w:r>
              <w:rPr>
                <w:sz w:val="24"/>
                <w:szCs w:val="24"/>
              </w:rPr>
              <w:t>With</w:t>
            </w:r>
            <w:proofErr w:type="gramEnd"/>
            <w:r>
              <w:rPr>
                <w:sz w:val="24"/>
                <w:szCs w:val="24"/>
              </w:rPr>
              <w:t xml:space="preserve"> Diabetes: A Bayesian Network Meta-Analysis.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148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Chen et.al.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25E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45F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E52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B2C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8EC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464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FD0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134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255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9FF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E8C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D60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281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71E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239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C5F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EB6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9141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0F9F86D8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664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Sodium-glucose cotransporter-2 inhibitor-associated euglycemic diabetic ketoacidosis in COVID-19-infected patients: A systematic review of case reports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E6A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Khedr st.al.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9F44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F5D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A74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F96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B20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76F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370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A6A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A3A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928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938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2C6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DAE2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11A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9E7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2BA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846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477E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23C3974C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BD5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Effect of Antidiabetic Therapy on Clinical Outcomes of COVID-19 Patients </w:t>
            </w:r>
            <w:proofErr w:type="gramStart"/>
            <w:r>
              <w:rPr>
                <w:sz w:val="24"/>
                <w:szCs w:val="24"/>
              </w:rPr>
              <w:t>With</w:t>
            </w:r>
            <w:proofErr w:type="gramEnd"/>
            <w:r>
              <w:rPr>
                <w:sz w:val="24"/>
                <w:szCs w:val="24"/>
              </w:rPr>
              <w:t xml:space="preserve"> Type 2 Diabetes: A Systematic Review and Meta-Analysis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DD1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Zhan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71C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F41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593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8A9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D8B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A2B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510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4D7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B89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15D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315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059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42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242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FA42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ECF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EC5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72B7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5D0EC2D9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F6A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Noninsulin-based antihyperglycemic medications in patients with diabetes and COVID-19: A systematic review and meta-analysis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5FC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  <w:highlight w:val="white"/>
              </w:rPr>
              <w:t>Nassar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197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26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1E2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2CA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355D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078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55E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526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AD3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B30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2AB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D05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0D4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049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8CF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9CF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FF3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6CAB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1D03E0EB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D9C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Pre-admission use of sodium glucose transporter-2 inhibitor (SGLT-2i) may significantly </w:t>
            </w:r>
            <w:proofErr w:type="gramStart"/>
            <w:r>
              <w:rPr>
                <w:sz w:val="24"/>
                <w:szCs w:val="24"/>
              </w:rPr>
              <w:t>improves</w:t>
            </w:r>
            <w:proofErr w:type="gramEnd"/>
            <w:r>
              <w:rPr>
                <w:sz w:val="24"/>
                <w:szCs w:val="24"/>
              </w:rPr>
              <w:t xml:space="preserve"> Covid-19 outcomes in patients with diabetes: A systematic review, meta-analysis, and meta-regression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2E3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sz w:val="24"/>
                <w:szCs w:val="24"/>
                <w:highlight w:val="white"/>
              </w:rPr>
              <w:t>Permana</w:t>
            </w:r>
            <w:proofErr w:type="spellEnd"/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DC4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8A0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05A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C7D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335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295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9F9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3BC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A47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C2F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9E7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937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44F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CB2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B62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540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8A8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2BCC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50C9E3DB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4680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Effects of novel glucose-lowering drugs on the COVID-19 patients with diabetes: A network meta-analysis of clinical outcomes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800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  <w:highlight w:val="white"/>
              </w:rPr>
              <w:t>Yang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889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0E1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ED7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735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1E7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1AA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DE9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652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AE6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8D1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E6F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B1F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720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A395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5F3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F01E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63E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EAEB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7286A1F3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220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Preadmission use of antidiabetic medications and mortality among patients with COVID-19 having type 2 diabetes: A meta-analysis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2C6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  <w:highlight w:val="white"/>
              </w:rPr>
              <w:t>Nguyen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43C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030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676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AD2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BFB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889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58F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460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B19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E46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B7C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2DC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2FB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2B6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85E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ED8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ECA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7F84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6B85E761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FCD8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Association Between Anti-diabetic Agents and Clinical Outcomes of COVID-19 in Patients with Diabetes: A Systematic Review and Meta-Analysis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982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  <w:highlight w:val="white"/>
              </w:rPr>
              <w:t>Han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DD2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DCB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01A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FF9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20B9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2841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37A8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ED0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7DA3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AA5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649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AE2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CC7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BC1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5D1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8DD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9A6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F1499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  <w:tr w:rsidR="005974EC" w14:paraId="129A11A8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5E1E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Diabetes-related acute metabolic emergencies in COVID-19 patients: a systematic review and meta-analysis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4B5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Papadopoulos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030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2021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D74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7246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92B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360D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5EF2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5C07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6AF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20D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41F4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2A0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EFBC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EB0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E67B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BC3A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B1BF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BA75" w14:textId="77777777" w:rsidR="005974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250D" w14:textId="77777777" w:rsidR="005974EC" w:rsidRDefault="00000000">
            <w:pPr>
              <w:widowControl w:val="0"/>
              <w:spacing w:line="240" w:lineRule="auto"/>
            </w:pPr>
            <w:r>
              <w:t>Included</w:t>
            </w:r>
          </w:p>
        </w:tc>
      </w:tr>
    </w:tbl>
    <w:p w14:paraId="3BA41AC5" w14:textId="77777777" w:rsidR="005974EC" w:rsidRDefault="005974EC"/>
    <w:sectPr w:rsidR="005974E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NzI3MTYyMDc3sjBT0lEKTi0uzszPAykwqgUAjM1QLywAAAA="/>
  </w:docVars>
  <w:rsids>
    <w:rsidRoot w:val="005974EC"/>
    <w:rsid w:val="00531D5E"/>
    <w:rsid w:val="005974EC"/>
    <w:rsid w:val="00B1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830CC"/>
  <w15:docId w15:val="{A5C04180-8945-4893-9D3E-EC1D915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Mainak Bardhan</cp:lastModifiedBy>
  <cp:revision>3</cp:revision>
  <dcterms:created xsi:type="dcterms:W3CDTF">2024-02-05T02:12:00Z</dcterms:created>
  <dcterms:modified xsi:type="dcterms:W3CDTF">2024-02-05T02:44:00Z</dcterms:modified>
</cp:coreProperties>
</file>