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19D5D" w14:textId="77777777" w:rsidR="00D005EB" w:rsidRPr="008643B0" w:rsidRDefault="00D005EB" w:rsidP="00D005EB">
      <w:pPr>
        <w:spacing w:line="480" w:lineRule="auto"/>
        <w:rPr>
          <w:rFonts w:ascii="Arial" w:hAnsi="Arial" w:cs="Arial"/>
        </w:rPr>
      </w:pPr>
      <w:r w:rsidRPr="008643B0">
        <w:rPr>
          <w:rFonts w:ascii="Arial" w:hAnsi="Arial" w:cs="Arial"/>
          <w:b/>
          <w:bCs/>
        </w:rPr>
        <w:t xml:space="preserve">Title: Single-nuclei transcriptome of brain-dead donor heart with long QT syndrome revealed neuronal modulation of cardiac immunity. </w:t>
      </w:r>
    </w:p>
    <w:p w14:paraId="30EED03A" w14:textId="454765FE" w:rsidR="00D005EB" w:rsidRPr="008643B0" w:rsidRDefault="00D005EB" w:rsidP="00D005EB">
      <w:pPr>
        <w:spacing w:line="480" w:lineRule="auto"/>
        <w:jc w:val="center"/>
        <w:rPr>
          <w:rFonts w:ascii="Arial" w:hAnsi="Arial" w:cs="Arial"/>
        </w:rPr>
      </w:pPr>
      <w:r w:rsidRPr="008643B0">
        <w:rPr>
          <w:rFonts w:ascii="Arial" w:eastAsia="Liberation Serif" w:hAnsi="Arial" w:cs="Arial"/>
        </w:rPr>
        <w:t>Zhi Wen, MD</w:t>
      </w:r>
      <w:r w:rsidRPr="008643B0">
        <w:rPr>
          <w:rFonts w:ascii="Arial" w:eastAsia="Liberation Serif" w:hAnsi="Arial" w:cs="Arial"/>
          <w:vertAlign w:val="superscript"/>
        </w:rPr>
        <w:t>1*</w:t>
      </w:r>
      <w:r w:rsidRPr="008643B0">
        <w:rPr>
          <w:rFonts w:ascii="Arial" w:eastAsia="Liberation Serif" w:hAnsi="Arial" w:cs="Arial"/>
        </w:rPr>
        <w:t>, Shuai Shao, PhD</w:t>
      </w:r>
      <w:r w:rsidRPr="008643B0">
        <w:rPr>
          <w:rFonts w:ascii="Arial" w:eastAsia="Liberation Serif" w:hAnsi="Arial" w:cs="Arial"/>
          <w:vertAlign w:val="superscript"/>
        </w:rPr>
        <w:t xml:space="preserve"> 2, 3</w:t>
      </w:r>
      <w:r w:rsidRPr="008643B0">
        <w:rPr>
          <w:rFonts w:ascii="Arial" w:eastAsia="Liberation Serif" w:hAnsi="Arial" w:cs="Arial"/>
        </w:rPr>
        <w:t>, Yu Feng, MD</w:t>
      </w:r>
      <w:r w:rsidRPr="008643B0">
        <w:rPr>
          <w:rFonts w:ascii="Arial" w:eastAsia="Liberation Serif" w:hAnsi="Arial" w:cs="Arial"/>
          <w:vertAlign w:val="superscript"/>
        </w:rPr>
        <w:t xml:space="preserve"> 4</w:t>
      </w:r>
      <w:r w:rsidRPr="008643B0">
        <w:rPr>
          <w:rFonts w:ascii="Arial" w:eastAsia="Liberation Serif" w:hAnsi="Arial" w:cs="Arial"/>
        </w:rPr>
        <w:t>, Zheng Wang, MD</w:t>
      </w:r>
      <w:r w:rsidRPr="008643B0">
        <w:rPr>
          <w:rFonts w:ascii="Arial" w:eastAsia="Liberation Serif" w:hAnsi="Arial" w:cs="Arial"/>
          <w:vertAlign w:val="superscript"/>
        </w:rPr>
        <w:t xml:space="preserve"> 1</w:t>
      </w:r>
      <w:r w:rsidRPr="008643B0">
        <w:rPr>
          <w:rFonts w:ascii="Arial" w:eastAsia="Liberation Serif" w:hAnsi="Arial" w:cs="Arial"/>
        </w:rPr>
        <w:t xml:space="preserve">, </w:t>
      </w:r>
      <w:proofErr w:type="spellStart"/>
      <w:r w:rsidRPr="008643B0">
        <w:rPr>
          <w:rFonts w:ascii="Arial" w:eastAsia="Liberation Serif" w:hAnsi="Arial" w:cs="Arial"/>
        </w:rPr>
        <w:t>Jianqiang</w:t>
      </w:r>
      <w:proofErr w:type="spellEnd"/>
      <w:r w:rsidRPr="008643B0">
        <w:rPr>
          <w:rFonts w:ascii="Arial" w:eastAsia="Liberation Serif" w:hAnsi="Arial" w:cs="Arial"/>
        </w:rPr>
        <w:t xml:space="preserve"> Wu, MD</w:t>
      </w:r>
      <w:r w:rsidRPr="008643B0">
        <w:rPr>
          <w:rFonts w:ascii="Arial" w:eastAsia="Liberation Serif" w:hAnsi="Arial" w:cs="Arial"/>
          <w:vertAlign w:val="superscript"/>
        </w:rPr>
        <w:t xml:space="preserve"> 1</w:t>
      </w:r>
      <w:r w:rsidRPr="008643B0">
        <w:rPr>
          <w:rFonts w:ascii="Arial" w:eastAsia="Liberation Serif" w:hAnsi="Arial" w:cs="Arial"/>
        </w:rPr>
        <w:t xml:space="preserve">, </w:t>
      </w:r>
      <w:proofErr w:type="spellStart"/>
      <w:r w:rsidRPr="008643B0">
        <w:rPr>
          <w:rFonts w:ascii="Arial" w:eastAsia="Liberation Serif" w:hAnsi="Arial" w:cs="Arial"/>
        </w:rPr>
        <w:t>Changxue</w:t>
      </w:r>
      <w:proofErr w:type="spellEnd"/>
      <w:r w:rsidRPr="008643B0">
        <w:rPr>
          <w:rFonts w:ascii="Arial" w:eastAsia="Liberation Serif" w:hAnsi="Arial" w:cs="Arial"/>
        </w:rPr>
        <w:t xml:space="preserve"> Wu, MD</w:t>
      </w:r>
      <w:r w:rsidRPr="008643B0">
        <w:rPr>
          <w:rFonts w:ascii="Arial" w:eastAsia="Liberation Serif" w:hAnsi="Arial" w:cs="Arial"/>
          <w:vertAlign w:val="superscript"/>
        </w:rPr>
        <w:t xml:space="preserve"> 1</w:t>
      </w:r>
      <w:r w:rsidRPr="008643B0">
        <w:rPr>
          <w:rFonts w:ascii="Arial" w:eastAsia="宋体" w:hAnsi="Arial" w:cs="Arial"/>
        </w:rPr>
        <w:t>，</w:t>
      </w:r>
      <w:proofErr w:type="spellStart"/>
      <w:r w:rsidRPr="008643B0">
        <w:rPr>
          <w:rFonts w:ascii="Arial" w:eastAsia="Liberation Serif" w:hAnsi="Arial" w:cs="Arial"/>
        </w:rPr>
        <w:t>Mingwu</w:t>
      </w:r>
      <w:proofErr w:type="spellEnd"/>
      <w:r w:rsidRPr="008643B0">
        <w:rPr>
          <w:rFonts w:ascii="Arial" w:eastAsia="Liberation Serif" w:hAnsi="Arial" w:cs="Arial"/>
        </w:rPr>
        <w:t xml:space="preserve"> Tian, MD</w:t>
      </w:r>
      <w:r w:rsidRPr="008643B0">
        <w:rPr>
          <w:rFonts w:ascii="Arial" w:eastAsia="Liberation Serif" w:hAnsi="Arial" w:cs="Arial"/>
          <w:vertAlign w:val="superscript"/>
        </w:rPr>
        <w:t xml:space="preserve"> 1</w:t>
      </w:r>
    </w:p>
    <w:p w14:paraId="54B719EF" w14:textId="77777777" w:rsidR="00D005EB" w:rsidRPr="008643B0" w:rsidRDefault="00D005EB" w:rsidP="00D005EB">
      <w:pPr>
        <w:spacing w:line="480" w:lineRule="auto"/>
        <w:rPr>
          <w:rFonts w:ascii="Arial" w:hAnsi="Arial" w:cs="Arial"/>
        </w:rPr>
      </w:pPr>
      <w:r w:rsidRPr="008643B0">
        <w:rPr>
          <w:rFonts w:ascii="Arial" w:eastAsia="Liberation Serif" w:hAnsi="Arial" w:cs="Arial"/>
          <w:vertAlign w:val="superscript"/>
        </w:rPr>
        <w:t>1</w:t>
      </w:r>
      <w:r w:rsidRPr="008643B0">
        <w:rPr>
          <w:rFonts w:ascii="Arial" w:eastAsia="Liberation Serif" w:hAnsi="Arial" w:cs="Arial"/>
        </w:rPr>
        <w:t xml:space="preserve">Department of Cardiothoracic Vascular Surgery, People’s Hospital of </w:t>
      </w:r>
      <w:proofErr w:type="spellStart"/>
      <w:r w:rsidRPr="008643B0">
        <w:rPr>
          <w:rFonts w:ascii="Arial" w:eastAsia="Liberation Serif" w:hAnsi="Arial" w:cs="Arial"/>
        </w:rPr>
        <w:t>Deyang</w:t>
      </w:r>
      <w:proofErr w:type="spellEnd"/>
      <w:r w:rsidRPr="008643B0">
        <w:rPr>
          <w:rFonts w:ascii="Arial" w:eastAsia="Liberation Serif" w:hAnsi="Arial" w:cs="Arial"/>
        </w:rPr>
        <w:t xml:space="preserve"> City, </w:t>
      </w:r>
      <w:proofErr w:type="spellStart"/>
      <w:r w:rsidRPr="008643B0">
        <w:rPr>
          <w:rFonts w:ascii="Arial" w:eastAsia="Liberation Serif" w:hAnsi="Arial" w:cs="Arial"/>
        </w:rPr>
        <w:t>Deyang</w:t>
      </w:r>
      <w:proofErr w:type="spellEnd"/>
      <w:r w:rsidRPr="008643B0">
        <w:rPr>
          <w:rFonts w:ascii="Arial" w:eastAsia="Liberation Serif" w:hAnsi="Arial" w:cs="Arial"/>
        </w:rPr>
        <w:t>, Sichuan 618000, P.R.</w:t>
      </w:r>
    </w:p>
    <w:p w14:paraId="0F6AD000" w14:textId="77777777" w:rsidR="00D005EB" w:rsidRPr="008643B0" w:rsidRDefault="00D005EB" w:rsidP="00D005EB">
      <w:pPr>
        <w:spacing w:line="480" w:lineRule="auto"/>
        <w:rPr>
          <w:rFonts w:ascii="Arial" w:hAnsi="Arial" w:cs="Arial"/>
        </w:rPr>
      </w:pPr>
      <w:r w:rsidRPr="008643B0">
        <w:rPr>
          <w:rFonts w:ascii="Arial" w:eastAsia="Liberation Serif" w:hAnsi="Arial" w:cs="Arial"/>
          <w:vertAlign w:val="superscript"/>
        </w:rPr>
        <w:t>2</w:t>
      </w:r>
      <w:r w:rsidRPr="008643B0">
        <w:rPr>
          <w:rFonts w:ascii="Arial" w:eastAsia="Liberation Serif" w:hAnsi="Arial" w:cs="Arial"/>
        </w:rPr>
        <w:t xml:space="preserve">College of Pharmacy, The Ohio State University, Columbus, OH, United States. </w:t>
      </w:r>
    </w:p>
    <w:p w14:paraId="0FBA523D" w14:textId="77777777" w:rsidR="00D005EB" w:rsidRPr="008643B0" w:rsidRDefault="00D005EB" w:rsidP="00D005EB">
      <w:pPr>
        <w:spacing w:line="480" w:lineRule="auto"/>
        <w:rPr>
          <w:rFonts w:ascii="Arial" w:hAnsi="Arial" w:cs="Arial"/>
        </w:rPr>
      </w:pPr>
      <w:r w:rsidRPr="008643B0">
        <w:rPr>
          <w:rFonts w:ascii="Arial" w:eastAsia="Liberation Serif" w:hAnsi="Arial" w:cs="Arial"/>
          <w:vertAlign w:val="superscript"/>
        </w:rPr>
        <w:t>3</w:t>
      </w:r>
      <w:r w:rsidRPr="008643B0">
        <w:rPr>
          <w:rFonts w:ascii="Arial" w:eastAsia="Liberation Serif" w:hAnsi="Arial" w:cs="Arial"/>
        </w:rPr>
        <w:t xml:space="preserve">Department of Biomedical Informatics, College of Medicine, The Ohio State University, Columbus, OH, United States. </w:t>
      </w:r>
    </w:p>
    <w:p w14:paraId="79F1B783" w14:textId="77777777" w:rsidR="00D005EB" w:rsidRPr="008643B0" w:rsidRDefault="00D005EB" w:rsidP="00D005EB">
      <w:pPr>
        <w:spacing w:line="480" w:lineRule="auto"/>
        <w:rPr>
          <w:rFonts w:ascii="Arial" w:hAnsi="Arial" w:cs="Arial"/>
        </w:rPr>
      </w:pPr>
      <w:r w:rsidRPr="008643B0">
        <w:rPr>
          <w:rFonts w:ascii="Arial" w:eastAsia="Liberation Serif" w:hAnsi="Arial" w:cs="Arial"/>
          <w:vertAlign w:val="superscript"/>
        </w:rPr>
        <w:t>4</w:t>
      </w:r>
      <w:r w:rsidRPr="008643B0">
        <w:rPr>
          <w:rFonts w:ascii="Arial" w:eastAsia="Liberation Serif" w:hAnsi="Arial" w:cs="Arial"/>
        </w:rPr>
        <w:t xml:space="preserve">Department of Nephrology, People’s Hospital of </w:t>
      </w:r>
      <w:proofErr w:type="spellStart"/>
      <w:r w:rsidRPr="008643B0">
        <w:rPr>
          <w:rFonts w:ascii="Arial" w:eastAsia="Liberation Serif" w:hAnsi="Arial" w:cs="Arial"/>
        </w:rPr>
        <w:t>Deyang</w:t>
      </w:r>
      <w:proofErr w:type="spellEnd"/>
      <w:r w:rsidRPr="008643B0">
        <w:rPr>
          <w:rFonts w:ascii="Arial" w:eastAsia="Liberation Serif" w:hAnsi="Arial" w:cs="Arial"/>
        </w:rPr>
        <w:t xml:space="preserve"> City, </w:t>
      </w:r>
      <w:proofErr w:type="spellStart"/>
      <w:r w:rsidRPr="008643B0">
        <w:rPr>
          <w:rFonts w:ascii="Arial" w:eastAsia="Liberation Serif" w:hAnsi="Arial" w:cs="Arial"/>
        </w:rPr>
        <w:t>Deyang</w:t>
      </w:r>
      <w:proofErr w:type="spellEnd"/>
      <w:r w:rsidRPr="008643B0">
        <w:rPr>
          <w:rFonts w:ascii="Arial" w:eastAsia="Liberation Serif" w:hAnsi="Arial" w:cs="Arial"/>
        </w:rPr>
        <w:t>, Sichuan 618000, P.R.</w:t>
      </w:r>
    </w:p>
    <w:p w14:paraId="491A1620" w14:textId="77777777" w:rsidR="00D005EB" w:rsidRPr="008643B0" w:rsidRDefault="00D005EB" w:rsidP="00D005EB">
      <w:pPr>
        <w:spacing w:line="480" w:lineRule="auto"/>
        <w:rPr>
          <w:rFonts w:ascii="Arial" w:eastAsia="Liberation Serif" w:hAnsi="Arial" w:cs="Arial"/>
        </w:rPr>
      </w:pPr>
    </w:p>
    <w:p w14:paraId="08CF9515" w14:textId="77777777" w:rsidR="00D005EB" w:rsidRPr="008643B0" w:rsidRDefault="00D005EB" w:rsidP="00D005EB">
      <w:pPr>
        <w:spacing w:line="480" w:lineRule="auto"/>
        <w:rPr>
          <w:rFonts w:ascii="Arial" w:hAnsi="Arial" w:cs="Arial"/>
        </w:rPr>
      </w:pPr>
      <w:r w:rsidRPr="008643B0">
        <w:rPr>
          <w:rFonts w:ascii="Arial" w:eastAsia="Liberation Serif" w:hAnsi="Arial" w:cs="Arial"/>
          <w:b/>
          <w:bCs/>
        </w:rPr>
        <w:t xml:space="preserve">*Corresponding author: </w:t>
      </w:r>
    </w:p>
    <w:p w14:paraId="1E96F6BC" w14:textId="77777777" w:rsidR="00D005EB" w:rsidRPr="008643B0" w:rsidRDefault="00D005EB" w:rsidP="00D005EB">
      <w:pPr>
        <w:spacing w:line="480" w:lineRule="auto"/>
        <w:rPr>
          <w:rFonts w:ascii="Arial" w:eastAsia="Liberation Serif" w:hAnsi="Arial" w:cs="Arial"/>
          <w:lang w:bidi="ar-SA"/>
        </w:rPr>
      </w:pPr>
      <w:r w:rsidRPr="008643B0">
        <w:rPr>
          <w:rFonts w:ascii="Arial" w:eastAsia="Liberation Serif" w:hAnsi="Arial" w:cs="Arial"/>
        </w:rPr>
        <w:t xml:space="preserve">Zhi Wen: Department of Cardiothoracic Vascular Surgery, People’s Hospital of </w:t>
      </w:r>
      <w:proofErr w:type="spellStart"/>
      <w:r w:rsidRPr="008643B0">
        <w:rPr>
          <w:rFonts w:ascii="Arial" w:eastAsia="Liberation Serif" w:hAnsi="Arial" w:cs="Arial"/>
        </w:rPr>
        <w:t>Deyang</w:t>
      </w:r>
      <w:proofErr w:type="spellEnd"/>
      <w:r w:rsidRPr="008643B0">
        <w:rPr>
          <w:rFonts w:ascii="Arial" w:eastAsia="Liberation Serif" w:hAnsi="Arial" w:cs="Arial"/>
        </w:rPr>
        <w:t xml:space="preserve"> City, </w:t>
      </w:r>
      <w:proofErr w:type="spellStart"/>
      <w:r w:rsidRPr="008643B0">
        <w:rPr>
          <w:rFonts w:ascii="Arial" w:eastAsia="Liberation Serif" w:hAnsi="Arial" w:cs="Arial"/>
        </w:rPr>
        <w:t>Deyang</w:t>
      </w:r>
      <w:proofErr w:type="spellEnd"/>
      <w:r w:rsidRPr="008643B0">
        <w:rPr>
          <w:rFonts w:ascii="Arial" w:eastAsia="Liberation Serif" w:hAnsi="Arial" w:cs="Arial"/>
        </w:rPr>
        <w:t xml:space="preserve">, Sichuan 618000, P.R.. Email: </w:t>
      </w:r>
      <w:hyperlink r:id="rId6" w:history="1">
        <w:r w:rsidRPr="008643B0">
          <w:rPr>
            <w:rStyle w:val="Hyperlink"/>
            <w:rFonts w:ascii="Arial" w:eastAsia="Liberation Serif" w:hAnsi="Arial" w:cs="Arial"/>
            <w:lang w:bidi="ar-SA"/>
          </w:rPr>
          <w:t>wenzhi817327@163.com</w:t>
        </w:r>
      </w:hyperlink>
    </w:p>
    <w:p w14:paraId="2084554D" w14:textId="77777777" w:rsidR="00D005EB" w:rsidRPr="008643B0" w:rsidRDefault="00D005EB" w:rsidP="00D005EB">
      <w:pPr>
        <w:spacing w:line="480" w:lineRule="auto"/>
        <w:rPr>
          <w:rFonts w:ascii="Arial" w:eastAsiaTheme="minorEastAsia" w:hAnsi="Arial" w:cs="Arial"/>
          <w:lang w:bidi="ar-SA"/>
        </w:rPr>
      </w:pPr>
    </w:p>
    <w:p w14:paraId="0D772EBC" w14:textId="06D18024" w:rsidR="00D005EB" w:rsidRPr="008643B0" w:rsidRDefault="00D005EB">
      <w:pPr>
        <w:suppressAutoHyphens w:val="0"/>
        <w:overflowPunct/>
        <w:rPr>
          <w:rFonts w:ascii="Arial" w:hAnsi="Arial" w:cs="Arial"/>
          <w:b/>
          <w:bCs/>
          <w:i/>
          <w:iCs/>
        </w:rPr>
      </w:pPr>
      <w:r w:rsidRPr="008643B0">
        <w:rPr>
          <w:rFonts w:ascii="Arial" w:hAnsi="Arial" w:cs="Arial"/>
          <w:b/>
          <w:bCs/>
          <w:i/>
          <w:iCs/>
        </w:rPr>
        <w:br w:type="page"/>
      </w:r>
    </w:p>
    <w:p w14:paraId="2E2D9136" w14:textId="63E53649" w:rsidR="001D54C7" w:rsidRPr="008643B0" w:rsidRDefault="00D005EB" w:rsidP="008E6752">
      <w:pPr>
        <w:spacing w:line="480" w:lineRule="auto"/>
        <w:rPr>
          <w:rFonts w:ascii="Arial" w:hAnsi="Arial" w:cs="Arial"/>
          <w:b/>
          <w:bCs/>
        </w:rPr>
      </w:pPr>
      <w:r w:rsidRPr="008643B0">
        <w:rPr>
          <w:rFonts w:ascii="Arial" w:hAnsi="Arial" w:cs="Arial"/>
          <w:b/>
          <w:bCs/>
        </w:rPr>
        <w:lastRenderedPageBreak/>
        <w:t>Supplementary Material Content:</w:t>
      </w:r>
    </w:p>
    <w:p w14:paraId="6DA74203" w14:textId="2B7A841F" w:rsidR="00D005EB" w:rsidRPr="008643B0" w:rsidRDefault="00D005EB" w:rsidP="008E6752">
      <w:pPr>
        <w:spacing w:line="480" w:lineRule="auto"/>
        <w:rPr>
          <w:rFonts w:ascii="Arial" w:hAnsi="Arial" w:cs="Arial"/>
          <w:b/>
          <w:bCs/>
          <w:i/>
          <w:iCs/>
        </w:rPr>
      </w:pPr>
      <w:r w:rsidRPr="008643B0">
        <w:rPr>
          <w:rFonts w:ascii="Arial" w:hAnsi="Arial" w:cs="Arial"/>
          <w:b/>
          <w:bCs/>
          <w:i/>
          <w:iCs/>
        </w:rPr>
        <w:t>Supplementary Materials and Methods</w:t>
      </w:r>
    </w:p>
    <w:p w14:paraId="26C6C5EF" w14:textId="77777777" w:rsidR="00D005EB" w:rsidRPr="008643B0" w:rsidRDefault="00D005EB" w:rsidP="008E6752">
      <w:pPr>
        <w:spacing w:line="480" w:lineRule="auto"/>
        <w:rPr>
          <w:rFonts w:ascii="Arial" w:hAnsi="Arial" w:cs="Arial"/>
          <w:b/>
          <w:bCs/>
          <w:i/>
          <w:iCs/>
        </w:rPr>
      </w:pPr>
    </w:p>
    <w:p w14:paraId="1908BF5B" w14:textId="77777777" w:rsidR="00D005EB" w:rsidRPr="008643B0" w:rsidRDefault="00D005EB">
      <w:pPr>
        <w:suppressAutoHyphens w:val="0"/>
        <w:overflowPunct/>
        <w:rPr>
          <w:rFonts w:ascii="Arial" w:hAnsi="Arial" w:cs="Arial"/>
          <w:b/>
          <w:bCs/>
          <w:i/>
          <w:iCs/>
        </w:rPr>
      </w:pPr>
      <w:r w:rsidRPr="008643B0">
        <w:rPr>
          <w:rFonts w:ascii="Arial" w:hAnsi="Arial" w:cs="Arial"/>
          <w:b/>
          <w:bCs/>
          <w:i/>
          <w:iCs/>
        </w:rPr>
        <w:br w:type="page"/>
      </w:r>
    </w:p>
    <w:p w14:paraId="243D599D" w14:textId="77777777" w:rsidR="00A60ED8" w:rsidRPr="00A85656" w:rsidRDefault="00A60ED8" w:rsidP="00A60ED8">
      <w:pPr>
        <w:spacing w:line="480" w:lineRule="auto"/>
        <w:rPr>
          <w:rFonts w:ascii="Arial" w:hAnsi="Arial" w:cs="Arial"/>
        </w:rPr>
      </w:pPr>
      <w:r w:rsidRPr="00A85656">
        <w:rPr>
          <w:rFonts w:ascii="Arial" w:hAnsi="Arial" w:cs="Arial"/>
          <w:b/>
          <w:bCs/>
          <w:i/>
          <w:iCs/>
        </w:rPr>
        <w:lastRenderedPageBreak/>
        <w:t>Identification of non-arrhythmic and LQTS left ventricular BD donor sequencing samples</w:t>
      </w:r>
      <w:r>
        <w:rPr>
          <w:rFonts w:ascii="Arial" w:hAnsi="Arial" w:cs="Arial"/>
          <w:b/>
          <w:bCs/>
          <w:i/>
          <w:iCs/>
        </w:rPr>
        <w:t xml:space="preserve"> and propensity score matching (PSM)</w:t>
      </w:r>
    </w:p>
    <w:p w14:paraId="60A39055" w14:textId="2B6843C8" w:rsidR="00A60ED8" w:rsidRPr="00A85656" w:rsidRDefault="00A60ED8" w:rsidP="00A60ED8">
      <w:pPr>
        <w:spacing w:line="480" w:lineRule="auto"/>
        <w:rPr>
          <w:rFonts w:ascii="Arial" w:hAnsi="Arial" w:cs="Arial"/>
        </w:rPr>
      </w:pPr>
      <w:r w:rsidRPr="00A85656">
        <w:rPr>
          <w:rFonts w:ascii="Arial" w:hAnsi="Arial" w:cs="Arial"/>
        </w:rPr>
        <w:t>One dataset, GSE183852 fulfilled our condition, and comprised of single cell and nuclei data for healthy donor (</w:t>
      </w:r>
      <w:proofErr w:type="spellStart"/>
      <w:r w:rsidRPr="00A85656">
        <w:rPr>
          <w:rFonts w:ascii="Arial" w:hAnsi="Arial" w:cs="Arial"/>
        </w:rPr>
        <w:t>snRNAseq</w:t>
      </w:r>
      <w:proofErr w:type="spellEnd"/>
      <w:r w:rsidRPr="00A85656">
        <w:rPr>
          <w:rFonts w:ascii="Arial" w:hAnsi="Arial" w:cs="Arial"/>
        </w:rPr>
        <w:t xml:space="preserve">, N = 25 and </w:t>
      </w:r>
      <w:proofErr w:type="spellStart"/>
      <w:r w:rsidRPr="00A85656">
        <w:rPr>
          <w:rFonts w:ascii="Arial" w:hAnsi="Arial" w:cs="Arial"/>
        </w:rPr>
        <w:t>scRNAseq</w:t>
      </w:r>
      <w:proofErr w:type="spellEnd"/>
      <w:r w:rsidRPr="00A85656">
        <w:rPr>
          <w:rFonts w:ascii="Arial" w:hAnsi="Arial" w:cs="Arial"/>
        </w:rPr>
        <w:t>, N = 2) as well as dilated cardiomyopathy (</w:t>
      </w:r>
      <w:proofErr w:type="spellStart"/>
      <w:r w:rsidRPr="00A85656">
        <w:rPr>
          <w:rFonts w:ascii="Arial" w:hAnsi="Arial" w:cs="Arial"/>
        </w:rPr>
        <w:t>sn</w:t>
      </w:r>
      <w:proofErr w:type="spellEnd"/>
      <w:r w:rsidRPr="00A85656">
        <w:rPr>
          <w:rFonts w:ascii="Arial" w:hAnsi="Arial" w:cs="Arial"/>
        </w:rPr>
        <w:t xml:space="preserve">, N = 13, </w:t>
      </w:r>
      <w:proofErr w:type="spellStart"/>
      <w:r w:rsidRPr="00A85656">
        <w:rPr>
          <w:rFonts w:ascii="Arial" w:hAnsi="Arial" w:cs="Arial"/>
        </w:rPr>
        <w:t>sc</w:t>
      </w:r>
      <w:proofErr w:type="spellEnd"/>
      <w:r w:rsidRPr="00A85656">
        <w:rPr>
          <w:rFonts w:ascii="Arial" w:hAnsi="Arial" w:cs="Arial"/>
        </w:rPr>
        <w:t>, N = 5)</w:t>
      </w:r>
      <w:r>
        <w:rPr>
          <w:rFonts w:ascii="Arial" w:hAnsi="Arial" w:cs="Arial"/>
        </w:rPr>
        <w:fldChar w:fldCharType="begin"/>
      </w:r>
      <w:r>
        <w:rPr>
          <w:rFonts w:ascii="Arial" w:hAnsi="Arial" w:cs="Arial"/>
        </w:rPr>
        <w:instrText xml:space="preserve"> ADDIN ZOTERO_ITEM CSL_CITATION {"citationID":"pnXgkkID","properties":{"formattedCitation":"\\super 1\\nosupersub{}","plainCitation":"1","noteIndex":0},"citationItems":[{"id":208,"uris":["http://zotero.org/users/local/jpFMERx2/items/S42ZLIKF"],"itemData":{"id":208,"type":"article-journal","abstract":"Heart failure represents a major cause of morbidity and mortality worldwide. Single-cell transcriptomics have revolutionized our understanding of cell composition and associated gene expression. Through integrated analysis of single-cell and single-nucleus RNA-sequencing data generated from 27 healthy donors and 18 individuals with dilated cardiomyopathy, here we define the cell composition of the healthy and failing human heart. We identify cell-specific transcriptional signatures associated with age and heart failure and reveal the emergence of disease-associated cell states. Notably, cardiomyocytes converge toward common disease-associated cell states, whereas fibroblasts and myeloid cells undergo dramatic diversification. Endothelial cells and pericytes display global transcriptional shifts without changes in cell complexity. Collectively, our findings provide a comprehensive analysis of the cellular and transcriptomic landscape of human heart failure, identify cell type-specific transcriptional programs and disease-associated cell states and establish a valuable resource for the investigation of human heart failure.","container-title":"Nature Cardiovascular Research","DOI":"10.1038/s44161-022-00028-6","ISSN":"2731-0590","issue":"3","journalAbbreviation":"Nat Cardiovasc Res","language":"eng","note":"PMID: 35959412\nPMCID: PMC9364913","page":"263-280","source":"PubMed","title":"Single-cell transcriptomics reveals cell-type-specific diversification in human heart failure","volume":"1","author":[{"family":"Koenig","given":"Andrew L."},{"family":"Shchukina","given":"Irina"},{"family":"Amrute","given":"Junedh"},{"family":"Andhey","given":"Prabhakar S."},{"family":"Zaitsev","given":"Konstantin"},{"family":"Lai","given":"Lulu"},{"family":"Bajpai","given":"Geetika"},{"family":"Bredemeyer","given":"Andrea"},{"family":"Smith","given":"Gabriella"},{"family":"Jones","given":"Cameran"},{"family":"Terrebonne","given":"Emily"},{"family":"Rentschler","given":"Stacey L."},{"family":"Artyomov","given":"Maxim N."},{"family":"Lavine","given":"Kory J."}],"issued":{"date-parts":[["2022",3]]}}}],"schema":"https://github.com/citation-style-language/schema/raw/master/csl-citation.json"} </w:instrText>
      </w:r>
      <w:r>
        <w:rPr>
          <w:rFonts w:ascii="Arial" w:hAnsi="Arial" w:cs="Arial"/>
        </w:rPr>
        <w:fldChar w:fldCharType="separate"/>
      </w:r>
      <w:r w:rsidRPr="00A60ED8">
        <w:rPr>
          <w:rFonts w:ascii="Arial" w:hAnsi="Arial" w:cs="Arial"/>
          <w:kern w:val="0"/>
          <w:vertAlign w:val="superscript"/>
        </w:rPr>
        <w:t>1</w:t>
      </w:r>
      <w:r>
        <w:rPr>
          <w:rFonts w:ascii="Arial" w:hAnsi="Arial" w:cs="Arial"/>
        </w:rPr>
        <w:fldChar w:fldCharType="end"/>
      </w:r>
      <w:r w:rsidRPr="00A85656">
        <w:rPr>
          <w:rFonts w:ascii="Arial" w:hAnsi="Arial" w:cs="Arial"/>
        </w:rPr>
        <w:t>. Individual patient level data were found in</w:t>
      </w:r>
      <w:r w:rsidRPr="00A85656">
        <w:rPr>
          <w:rFonts w:ascii="Arial" w:hAnsi="Arial" w:cs="Arial"/>
          <w:b/>
          <w:bCs/>
        </w:rPr>
        <w:t xml:space="preserve"> </w:t>
      </w:r>
      <w:r w:rsidRPr="0002125C">
        <w:rPr>
          <w:rFonts w:ascii="Arial" w:hAnsi="Arial" w:cs="Arial"/>
        </w:rPr>
        <w:t>Supplementary Table</w:t>
      </w:r>
      <w:r w:rsidRPr="00A85656">
        <w:rPr>
          <w:rFonts w:ascii="Arial" w:hAnsi="Arial" w:cs="Arial"/>
        </w:rPr>
        <w:t xml:space="preserve"> of the study with reliable reporting of baseline characteristics as well as electrocardiographic arrhythmia events in each specimen during procurement. As all healthy hearts used in the study were derived from </w:t>
      </w:r>
      <w:r>
        <w:rPr>
          <w:rFonts w:ascii="Arial" w:hAnsi="Arial" w:cs="Arial"/>
        </w:rPr>
        <w:t>BD</w:t>
      </w:r>
      <w:r w:rsidRPr="00A85656">
        <w:rPr>
          <w:rFonts w:ascii="Arial" w:hAnsi="Arial" w:cs="Arial"/>
        </w:rPr>
        <w:t xml:space="preserve"> donors, we only filtered for healthy donors with LQTS and those without any arrhythmia out of the 27 patients. To reduce potential bias due to sequencing technology, we only selected </w:t>
      </w:r>
      <w:proofErr w:type="spellStart"/>
      <w:r w:rsidRPr="00A85656">
        <w:rPr>
          <w:rFonts w:ascii="Arial" w:hAnsi="Arial" w:cs="Arial"/>
        </w:rPr>
        <w:t>snRNAseq</w:t>
      </w:r>
      <w:proofErr w:type="spellEnd"/>
      <w:r w:rsidRPr="00A85656">
        <w:rPr>
          <w:rFonts w:ascii="Arial" w:hAnsi="Arial" w:cs="Arial"/>
        </w:rPr>
        <w:t xml:space="preserve"> data as none of the </w:t>
      </w:r>
      <w:proofErr w:type="spellStart"/>
      <w:r w:rsidRPr="00A85656">
        <w:rPr>
          <w:rFonts w:ascii="Arial" w:hAnsi="Arial" w:cs="Arial"/>
        </w:rPr>
        <w:t>scRNAseq</w:t>
      </w:r>
      <w:proofErr w:type="spellEnd"/>
      <w:r w:rsidRPr="00A85656">
        <w:rPr>
          <w:rFonts w:ascii="Arial" w:hAnsi="Arial" w:cs="Arial"/>
        </w:rPr>
        <w:t xml:space="preserve"> patients had LQTS. Consequently, 2</w:t>
      </w:r>
      <w:r>
        <w:rPr>
          <w:rFonts w:ascii="Arial" w:hAnsi="Arial" w:cs="Arial"/>
        </w:rPr>
        <w:t>0</w:t>
      </w:r>
      <w:r w:rsidRPr="00A85656">
        <w:rPr>
          <w:rFonts w:ascii="Arial" w:hAnsi="Arial" w:cs="Arial"/>
        </w:rPr>
        <w:t xml:space="preserve"> patients (healthy, N = 1</w:t>
      </w:r>
      <w:r>
        <w:rPr>
          <w:rFonts w:ascii="Arial" w:hAnsi="Arial" w:cs="Arial"/>
        </w:rPr>
        <w:t xml:space="preserve">6 </w:t>
      </w:r>
      <w:r w:rsidRPr="00A85656">
        <w:rPr>
          <w:rFonts w:ascii="Arial" w:hAnsi="Arial" w:cs="Arial"/>
        </w:rPr>
        <w:t xml:space="preserve">and LQTS, N = 4) fulfilled our criteria for further bioinformatic analyses. </w:t>
      </w:r>
    </w:p>
    <w:p w14:paraId="7DE504D6" w14:textId="77777777" w:rsidR="00A60ED8" w:rsidRPr="00A85656" w:rsidRDefault="00A60ED8" w:rsidP="00A60ED8">
      <w:pPr>
        <w:spacing w:line="480" w:lineRule="auto"/>
        <w:rPr>
          <w:rFonts w:ascii="Arial" w:hAnsi="Arial" w:cs="Arial"/>
        </w:rPr>
      </w:pPr>
    </w:p>
    <w:p w14:paraId="55F77E87" w14:textId="77777777" w:rsidR="00A60ED8" w:rsidRPr="00A85656" w:rsidRDefault="00A60ED8" w:rsidP="00A60ED8">
      <w:pPr>
        <w:spacing w:line="480" w:lineRule="auto"/>
        <w:rPr>
          <w:rFonts w:ascii="Arial" w:hAnsi="Arial" w:cs="Arial"/>
          <w:b/>
          <w:bCs/>
          <w:i/>
          <w:iCs/>
        </w:rPr>
      </w:pPr>
      <w:r w:rsidRPr="00A85656">
        <w:rPr>
          <w:rFonts w:ascii="Arial" w:hAnsi="Arial" w:cs="Arial"/>
          <w:b/>
          <w:bCs/>
          <w:i/>
          <w:iCs/>
        </w:rPr>
        <w:t xml:space="preserve">Propensity score matching (PSM) of LQTS and healthy donor left ventricles </w:t>
      </w:r>
    </w:p>
    <w:p w14:paraId="12BDD364" w14:textId="3EED6B5B" w:rsidR="00A60ED8" w:rsidRPr="00A85656" w:rsidRDefault="00A60ED8" w:rsidP="00A60ED8">
      <w:pPr>
        <w:spacing w:line="480" w:lineRule="auto"/>
        <w:rPr>
          <w:rFonts w:ascii="Arial" w:hAnsi="Arial" w:cs="Arial"/>
        </w:rPr>
      </w:pPr>
      <w:r w:rsidRPr="00A85656">
        <w:rPr>
          <w:rFonts w:ascii="Arial" w:hAnsi="Arial" w:cs="Arial"/>
        </w:rPr>
        <w:t>Prior to analysis, important variables with missing cases were removed (body mass index, BMI, N=1). We generated our PSM model using the R package MatchIt</w:t>
      </w:r>
      <w:r w:rsidRPr="00A85656">
        <w:rPr>
          <w:rFonts w:ascii="Arial" w:hAnsi="Arial" w:cs="Arial"/>
          <w:vertAlign w:val="superscript"/>
        </w:rPr>
        <w:fldChar w:fldCharType="begin"/>
      </w:r>
      <w:r>
        <w:rPr>
          <w:rFonts w:ascii="Arial" w:hAnsi="Arial" w:cs="Arial"/>
          <w:vertAlign w:val="superscript"/>
        </w:rPr>
        <w:instrText xml:space="preserve"> ADDIN ZOTERO_ITEM CSL_CITATION {"citationID":"GHNMTqXb","properties":{"formattedCitation":"\\super 2\\nosupersub{}","plainCitation":"2","noteIndex":0},"citationItems":[{"id":230,"uris":["http://zotero.org/users/local/jpFMERx2/items/ZACL3FJ6"],"itemData":{"id":230,"type":"article-journal","abstract":"MatchIt implements the suggestions of Ho, Imai, King, and Stuart (2007) for improving parametric statistical models by preprocessing data with nonparametric matching methods. MatchIt implements a wide range of sophisticated matching methods, making it possible to greatly reduce the dependence of causal inferences on hard-to-justify, but commonly made, statistical modeling assumptions. The software also easily ﬁts into existing research practices since, after preprocessing data with MatchIt, researchers can use whatever parametric model they would have used without MatchIt, but produce inferences with substantially more robustness and less sensitivity to modeling assumptions. MatchIt is an R program, and also works seamlessly with Zelig.","container-title":"Journal of Statistical Software","DOI":"10.18637/jss.v042.i08","ISSN":"1548-7660","issue":"8","journalAbbreviation":"J. Stat. Soft.","language":"en","source":"DOI.org (Crossref)","title":"&lt;b&gt;MatchIt&lt;/b&gt; : Nonparametric Preprocessing for Parametric Causal Inference","title-short":"&lt;b&gt;MatchIt&lt;/b&gt;","URL":"http://www.jstatsoft.org/v42/i08/","volume":"42","author":[{"family":"Ho","given":"Daniel E."},{"family":"Imai","given":"Kosuke"},{"family":"King","given":"Gary"},{"family":"Stuart","given":"Elizabeth A."}],"accessed":{"date-parts":[["2024",1,8]]},"issued":{"date-parts":[["2011"]]}}}],"schema":"https://github.com/citation-style-language/schema/raw/master/csl-citation.json"} </w:instrText>
      </w:r>
      <w:r w:rsidRPr="00A85656">
        <w:rPr>
          <w:rFonts w:ascii="Arial" w:hAnsi="Arial" w:cs="Arial"/>
          <w:vertAlign w:val="superscript"/>
        </w:rPr>
        <w:fldChar w:fldCharType="separate"/>
      </w:r>
      <w:r w:rsidRPr="00A60ED8">
        <w:rPr>
          <w:rFonts w:ascii="Arial" w:hAnsi="Arial" w:cs="Arial"/>
          <w:kern w:val="0"/>
          <w:vertAlign w:val="superscript"/>
        </w:rPr>
        <w:t>2</w:t>
      </w:r>
      <w:r w:rsidRPr="00A85656">
        <w:rPr>
          <w:rFonts w:ascii="Arial" w:hAnsi="Arial" w:cs="Arial"/>
          <w:vertAlign w:val="superscript"/>
        </w:rPr>
        <w:fldChar w:fldCharType="end"/>
      </w:r>
      <w:r w:rsidRPr="00A85656">
        <w:rPr>
          <w:rFonts w:ascii="Arial" w:hAnsi="Arial" w:cs="Arial"/>
        </w:rPr>
        <w:t xml:space="preserve">, by including 7 variables listed (age, sex, BMI, hypertension, diabetes, smoking and chronic kidney disease) performed with the following </w:t>
      </w:r>
      <w:r w:rsidRPr="00A85656">
        <w:rPr>
          <w:rFonts w:ascii="Arial" w:hAnsi="Arial" w:cs="Arial"/>
        </w:rPr>
        <w:lastRenderedPageBreak/>
        <w:t xml:space="preserve">parameters, generalized linear model (GLM), ratio of 1:1, without sampling replacement, and randomized case order when drawing matches. </w:t>
      </w:r>
    </w:p>
    <w:p w14:paraId="00FF93EE" w14:textId="77777777" w:rsidR="00A60ED8" w:rsidRPr="00A60ED8" w:rsidRDefault="00A60ED8" w:rsidP="008E6752">
      <w:pPr>
        <w:spacing w:line="480" w:lineRule="auto"/>
        <w:rPr>
          <w:rFonts w:ascii="Arial" w:hAnsi="Arial" w:cs="Arial"/>
          <w:b/>
          <w:bCs/>
          <w:i/>
          <w:iCs/>
        </w:rPr>
      </w:pPr>
    </w:p>
    <w:p w14:paraId="36CC7090" w14:textId="54DB6D5E" w:rsidR="008E6752" w:rsidRPr="008643B0" w:rsidRDefault="008E6752" w:rsidP="008E6752">
      <w:pPr>
        <w:spacing w:line="480" w:lineRule="auto"/>
        <w:rPr>
          <w:rFonts w:ascii="Arial" w:hAnsi="Arial" w:cs="Arial"/>
        </w:rPr>
      </w:pPr>
      <w:r w:rsidRPr="008643B0">
        <w:rPr>
          <w:rFonts w:ascii="Arial" w:hAnsi="Arial" w:cs="Arial"/>
          <w:b/>
          <w:bCs/>
          <w:i/>
          <w:iCs/>
        </w:rPr>
        <w:t>Single-nuclei RNA sequencing data pre-processing and analysis</w:t>
      </w:r>
    </w:p>
    <w:p w14:paraId="24E332F0" w14:textId="0B1D7552" w:rsidR="008E6752" w:rsidRPr="008643B0" w:rsidRDefault="008E6752" w:rsidP="008E6752">
      <w:pPr>
        <w:spacing w:line="480" w:lineRule="auto"/>
        <w:rPr>
          <w:rFonts w:ascii="Arial" w:hAnsi="Arial" w:cs="Arial"/>
        </w:rPr>
      </w:pPr>
      <w:r w:rsidRPr="008643B0">
        <w:rPr>
          <w:rFonts w:ascii="Arial" w:hAnsi="Arial" w:cs="Arial"/>
        </w:rPr>
        <w:t xml:space="preserve">Sample preparation and sequencing of </w:t>
      </w:r>
      <w:proofErr w:type="spellStart"/>
      <w:r w:rsidRPr="008643B0">
        <w:rPr>
          <w:rFonts w:ascii="Arial" w:hAnsi="Arial" w:cs="Arial"/>
        </w:rPr>
        <w:t>snRNAseq</w:t>
      </w:r>
      <w:proofErr w:type="spellEnd"/>
      <w:r w:rsidRPr="008643B0">
        <w:rPr>
          <w:rFonts w:ascii="Arial" w:hAnsi="Arial" w:cs="Arial"/>
        </w:rPr>
        <w:t xml:space="preserve"> were described in the study. In brief, frozen cardiac left ventricular apical region tissues were made prepared into nuclei lysate using </w:t>
      </w:r>
      <w:proofErr w:type="spellStart"/>
      <w:r w:rsidRPr="008643B0">
        <w:rPr>
          <w:rFonts w:ascii="Arial" w:hAnsi="Arial" w:cs="Arial"/>
        </w:rPr>
        <w:t>dounce</w:t>
      </w:r>
      <w:proofErr w:type="spellEnd"/>
      <w:r w:rsidRPr="008643B0">
        <w:rPr>
          <w:rFonts w:ascii="Arial" w:hAnsi="Arial" w:cs="Arial"/>
        </w:rPr>
        <w:t xml:space="preserve"> homogenizer supplemented with chilled cytoplasmic lysis buffer. Nuclei and cellular debris were then sorted using flow cytometry-based fluorescence-activated cell sorting to retrieve pure intact nuclei before subjected to Chromium 10X Genomics library preparation and sequencing by </w:t>
      </w:r>
      <w:proofErr w:type="spellStart"/>
      <w:r w:rsidRPr="008643B0">
        <w:rPr>
          <w:rFonts w:ascii="Arial" w:hAnsi="Arial" w:cs="Arial"/>
        </w:rPr>
        <w:t>illumina</w:t>
      </w:r>
      <w:proofErr w:type="spellEnd"/>
      <w:r w:rsidRPr="008643B0">
        <w:rPr>
          <w:rFonts w:ascii="Arial" w:hAnsi="Arial" w:cs="Arial"/>
        </w:rPr>
        <w:t xml:space="preserve"> NovaSeq6000 platform. In our study, we downloaded and loaded </w:t>
      </w:r>
      <w:proofErr w:type="spellStart"/>
      <w:r w:rsidRPr="008643B0">
        <w:rPr>
          <w:rFonts w:ascii="Arial" w:hAnsi="Arial" w:cs="Arial"/>
        </w:rPr>
        <w:t>snRNAseq</w:t>
      </w:r>
      <w:proofErr w:type="spellEnd"/>
      <w:r w:rsidRPr="008643B0">
        <w:rPr>
          <w:rFonts w:ascii="Arial" w:hAnsi="Arial" w:cs="Arial"/>
        </w:rPr>
        <w:t xml:space="preserve"> Seurat object with raw count matrix post aligned to human Genome Research Consortium human build 38 (GRCh38) transcriptome using </w:t>
      </w:r>
      <w:proofErr w:type="spellStart"/>
      <w:r w:rsidRPr="008643B0">
        <w:rPr>
          <w:rFonts w:ascii="Arial" w:hAnsi="Arial" w:cs="Arial"/>
        </w:rPr>
        <w:t>CellRanger</w:t>
      </w:r>
      <w:proofErr w:type="spellEnd"/>
      <w:r w:rsidRPr="008643B0">
        <w:rPr>
          <w:rFonts w:ascii="Arial" w:hAnsi="Arial" w:cs="Arial"/>
        </w:rPr>
        <w:t xml:space="preserve"> v3.0 software for analyses in R</w:t>
      </w:r>
      <w:r w:rsidRPr="008643B0">
        <w:rPr>
          <w:rFonts w:ascii="Arial" w:hAnsi="Arial" w:cs="Arial"/>
        </w:rPr>
        <w:fldChar w:fldCharType="begin"/>
      </w:r>
      <w:r w:rsidR="00A60ED8">
        <w:rPr>
          <w:rFonts w:ascii="Arial" w:hAnsi="Arial" w:cs="Arial"/>
        </w:rPr>
        <w:instrText xml:space="preserve"> ADDIN ZOTERO_ITEM CSL_CITATION {"citationID":"NHx8I7bf","properties":{"formattedCitation":"\\super 3\\nosupersub{}","plainCitation":"3","noteIndex":0},"citationItems":[{"id":236,"uris":["http://zotero.org/users/local/jpFMERx2/items/3UIBEXHU"],"itemData":{"id":236,"type":"article-journal","abstract":"Mapping single-cell sequencing profiles to comprehensive reference datasets provides a powerful alternative to unsupervised analysis. However, most reference datasets are constructed from single-cell RNA-sequencing data and cannot be used to annotate datasets that do not measure gene expression. Here we introduce 'bridge integration', a method to integrate single-cell datasets across modalities using a multiomic dataset as a molecular bridge. Each cell in the multiomic dataset constitutes an element in a 'dictionary', which is used to reconstruct unimodal datasets and transform them into a shared space. Our procedure accurately integrates transcriptomic data with independent single-cell measurements of chromatin accessibility, histone modifications, DNA methylation and protein levels. Moreover, we demonstrate how dictionary learning can be combined with sketching techniques to improve computational scalability and harmonize 8.6 million human immune cell profiles from sequencing and mass cytometry experiments. Our approach, implemented in version 5 of our Seurat toolkit ( http://www.satijalab.org/seurat ), broadens the utility of single-cell reference datasets and facilitates comparisons across diverse molecular modalities.","container-title":"Nature Biotechnology","DOI":"10.1038/s41587-023-01767-y","ISSN":"1546-1696","journalAbbreviation":"Nat Biotechnol","language":"eng","note":"PMID: 37231261","source":"PubMed","title":"Dictionary learning for integrative, multimodal and scalable single-cell analysis","author":[{"family":"Hao","given":"Yuhan"},{"family":"Stuart","given":"Tim"},{"family":"Kowalski","given":"Madeline H."},{"family":"Choudhary","given":"Saket"},{"family":"Hoffman","given":"Paul"},{"family":"Hartman","given":"Austin"},{"family":"Srivastava","given":"Avi"},{"family":"Molla","given":"Gesmira"},{"family":"Madad","given":"Shaista"},{"family":"Fernandez-Granda","given":"Carlos"},{"family":"Satija","given":"Rahul"}],"issued":{"date-parts":[["2023",5,25]]}}}],"schema":"https://github.com/citation-style-language/schema/raw/master/csl-citation.json"} </w:instrText>
      </w:r>
      <w:r w:rsidRPr="008643B0">
        <w:rPr>
          <w:rFonts w:ascii="Arial" w:hAnsi="Arial" w:cs="Arial"/>
        </w:rPr>
        <w:fldChar w:fldCharType="separate"/>
      </w:r>
      <w:r w:rsidR="00A60ED8" w:rsidRPr="00A60ED8">
        <w:rPr>
          <w:rFonts w:ascii="Arial" w:hAnsi="Arial" w:cs="Arial"/>
          <w:kern w:val="0"/>
          <w:vertAlign w:val="superscript"/>
        </w:rPr>
        <w:t>3</w:t>
      </w:r>
      <w:r w:rsidRPr="008643B0">
        <w:rPr>
          <w:rFonts w:ascii="Arial" w:hAnsi="Arial" w:cs="Arial"/>
        </w:rPr>
        <w:fldChar w:fldCharType="end"/>
      </w:r>
      <w:r w:rsidRPr="008643B0">
        <w:rPr>
          <w:rFonts w:ascii="Arial" w:hAnsi="Arial" w:cs="Arial"/>
        </w:rPr>
        <w:t>. We first performed quality control for stripped nuclei based on absence of mitochondrial content as shown in previous studies</w:t>
      </w:r>
      <w:r w:rsidRPr="008643B0">
        <w:rPr>
          <w:rFonts w:ascii="Arial" w:hAnsi="Arial" w:cs="Arial"/>
          <w:vertAlign w:val="superscript"/>
        </w:rPr>
        <w:fldChar w:fldCharType="begin"/>
      </w:r>
      <w:r w:rsidR="00A60ED8">
        <w:rPr>
          <w:rFonts w:ascii="Arial" w:hAnsi="Arial" w:cs="Arial"/>
          <w:vertAlign w:val="superscript"/>
        </w:rPr>
        <w:instrText xml:space="preserve"> ADDIN ZOTERO_ITEM CSL_CITATION {"citationID":"JI72RzYx","properties":{"formattedCitation":"\\super 4\\nosupersub{}","plainCitation":"4","noteIndex":0},"citationItems":[{"id":234,"uris":["http://zotero.org/users/local/jpFMERx2/items/VAXIZ6AL"],"itemData":{"id":234,"type":"article-journal","abstract":"BACKGROUND: A challenge for single-cell genomic studies in kidney and other solid tissues is generating a high-quality single-cell suspension that contains rare or difficult-to-dissociate cell types and is free of both RNA degradation and artifactual transcriptional stress responses.\nMETHODS: We compared single-cell RNA sequencing (scRNA-seq) using the DropSeq platform with single-nucleus RNA sequencing (snRNA-seq) using sNuc-DropSeq, DroNc-seq, and 10X Chromium platforms on adult mouse kidney. We validated snRNA-seq on fibrotic kidney from mice 14 days after unilateral ureteral obstruction (UUO) surgery.\nRESULTS: A total of 11,391 transcriptomes were generated in the comparison phase. We identified ten clusters in the scRNA-seq dataset, but glomerular cell types were absent, and one cluster consisted primarily of artifactual dissociation-induced stress response genes. By contrast, snRNA-seq from all three platforms captured a diversity of kidney cell types that were not represented in the scRNA-seq dataset, including glomerular podocytes, mesangial cells, and endothelial cells. No stress response genes were detected. Our snRNA-seq protocol yielded 20-fold more podocytes compared with published scRNA-seq datasets (2.4% versus 0.12%, respectively). Unexpectedly, single-cell and single-nucleus platforms had equivalent gene detection sensitivity. For validation, analysis of frozen day 14 UUO kidney revealed rare juxtaglomerular cells, novel activated proximal tubule and fibroblast cell states, and previously unidentified tubulointerstitial signaling pathways.\nCONCLUSIONS: snRNA-seq achieves comparable gene detection to scRNA-seq in adult kidney, and it also has substantial advantages, including reduced dissociation bias, compatibility with frozen samples, elimination of dissociation-induced transcriptional stress responses, and successful performance on inflamed fibrotic kidney.","container-title":"Journal of the American Society of Nephrology: JASN","DOI":"10.1681/ASN.2018090912","ISSN":"1533-3450","issue":"1","journalAbbreviation":"J Am Soc Nephrol","language":"eng","note":"PMID: 30510133\nPMCID: PMC6317600","page":"23-32","source":"PubMed","title":"Advantages of Single-Nucleus over Single-Cell RNA Sequencing of Adult Kidney: Rare Cell Types and Novel Cell States Revealed in Fibrosis","title-short":"Advantages of Single-Nucleus over Single-Cell RNA Sequencing of Adult Kidney","volume":"30","author":[{"family":"Wu","given":"Haojia"},{"family":"Kirita","given":"Yuhei"},{"family":"Donnelly","given":"Erinn L."},{"family":"Humphreys","given":"Benjamin D."}],"issued":{"date-parts":[["2019",1]]}}}],"schema":"https://github.com/citation-style-language/schema/raw/master/csl-citation.json"} </w:instrText>
      </w:r>
      <w:r w:rsidRPr="008643B0">
        <w:rPr>
          <w:rFonts w:ascii="Arial" w:hAnsi="Arial" w:cs="Arial"/>
          <w:vertAlign w:val="superscript"/>
        </w:rPr>
        <w:fldChar w:fldCharType="separate"/>
      </w:r>
      <w:r w:rsidR="00A60ED8" w:rsidRPr="00A60ED8">
        <w:rPr>
          <w:rFonts w:ascii="Arial" w:hAnsi="Arial" w:cs="Arial"/>
          <w:kern w:val="0"/>
          <w:vertAlign w:val="superscript"/>
        </w:rPr>
        <w:t>4</w:t>
      </w:r>
      <w:r w:rsidRPr="008643B0">
        <w:rPr>
          <w:rFonts w:ascii="Arial" w:hAnsi="Arial" w:cs="Arial"/>
          <w:vertAlign w:val="superscript"/>
        </w:rPr>
        <w:fldChar w:fldCharType="end"/>
      </w:r>
      <w:r w:rsidRPr="008643B0">
        <w:rPr>
          <w:rFonts w:ascii="Arial" w:hAnsi="Arial" w:cs="Arial"/>
        </w:rPr>
        <w:t xml:space="preserve">. </w:t>
      </w:r>
      <w:proofErr w:type="spellStart"/>
      <w:r w:rsidRPr="008643B0">
        <w:rPr>
          <w:rFonts w:ascii="Arial" w:hAnsi="Arial" w:cs="Arial"/>
        </w:rPr>
        <w:t>DoubletFinder</w:t>
      </w:r>
      <w:proofErr w:type="spellEnd"/>
      <w:r w:rsidRPr="008643B0">
        <w:rPr>
          <w:rFonts w:ascii="Arial" w:hAnsi="Arial" w:cs="Arial"/>
        </w:rPr>
        <w:t xml:space="preserve"> v3.0 software pipeline was then applied to identify and remove for doublets in the samples</w:t>
      </w:r>
      <w:r w:rsidRPr="008643B0">
        <w:rPr>
          <w:rFonts w:ascii="Arial" w:hAnsi="Arial" w:cs="Arial"/>
          <w:vertAlign w:val="superscript"/>
        </w:rPr>
        <w:fldChar w:fldCharType="begin"/>
      </w:r>
      <w:r w:rsidR="00A60ED8">
        <w:rPr>
          <w:rFonts w:ascii="Arial" w:hAnsi="Arial" w:cs="Arial"/>
          <w:vertAlign w:val="superscript"/>
        </w:rPr>
        <w:instrText xml:space="preserve"> ADDIN ZOTERO_ITEM CSL_CITATION {"citationID":"ygzHDpaY","properties":{"formattedCitation":"\\super 5\\nosupersub{}","plainCitation":"5","noteIndex":0},"citationItems":[{"id":231,"uris":["http://zotero.org/users/local/jpFMERx2/items/Y5RDEBC2"],"itemData":{"id":231,"type":"article-journal","container-title":"Cell Systems","DOI":"10.1016/j.cels.2019.03.003","ISSN":"2405-4712","issue":"4","journalAbbreviation":"cels","language":"English","note":"publisher: Elsevier\nPMID: 30954475","page":"329-337.e4","source":"www.cell.com","title":"DoubletFinder: Doublet Detection in Single-Cell RNA Sequencing Data Using Artificial Nearest Neighbors","title-short":"DoubletFinder","volume":"8","author":[{"family":"McGinnis","given":"Christopher S."},{"family":"Murrow","given":"Lyndsay M."},{"family":"Gartner","given":"Zev J."}],"issued":{"date-parts":[["2019",4,24]]}}}],"schema":"https://github.com/citation-style-language/schema/raw/master/csl-citation.json"} </w:instrText>
      </w:r>
      <w:r w:rsidRPr="008643B0">
        <w:rPr>
          <w:rFonts w:ascii="Arial" w:hAnsi="Arial" w:cs="Arial"/>
          <w:vertAlign w:val="superscript"/>
        </w:rPr>
        <w:fldChar w:fldCharType="separate"/>
      </w:r>
      <w:r w:rsidR="00A60ED8" w:rsidRPr="00A60ED8">
        <w:rPr>
          <w:rFonts w:ascii="Arial" w:hAnsi="Arial" w:cs="Arial"/>
          <w:kern w:val="0"/>
          <w:vertAlign w:val="superscript"/>
        </w:rPr>
        <w:t>5</w:t>
      </w:r>
      <w:r w:rsidRPr="008643B0">
        <w:rPr>
          <w:rFonts w:ascii="Arial" w:hAnsi="Arial" w:cs="Arial"/>
          <w:vertAlign w:val="superscript"/>
        </w:rPr>
        <w:fldChar w:fldCharType="end"/>
      </w:r>
      <w:r w:rsidRPr="008643B0">
        <w:rPr>
          <w:rFonts w:ascii="Arial" w:hAnsi="Arial" w:cs="Arial"/>
        </w:rPr>
        <w:t xml:space="preserve">. Next, we subset the PSM subjects based on their sample names and performed integration using Seurat </w:t>
      </w:r>
      <w:proofErr w:type="spellStart"/>
      <w:r w:rsidRPr="008643B0">
        <w:rPr>
          <w:rFonts w:ascii="Arial" w:hAnsi="Arial" w:cs="Arial"/>
        </w:rPr>
        <w:t>SCTransform</w:t>
      </w:r>
      <w:proofErr w:type="spellEnd"/>
      <w:r w:rsidRPr="008643B0">
        <w:rPr>
          <w:rFonts w:ascii="Arial" w:hAnsi="Arial" w:cs="Arial"/>
        </w:rPr>
        <w:t xml:space="preserve"> normalization and integration workflow with Single Cell Pipeline (SCP, </w:t>
      </w:r>
      <w:hyperlink r:id="rId7">
        <w:r w:rsidRPr="008643B0">
          <w:rPr>
            <w:rStyle w:val="Hyperlink"/>
            <w:rFonts w:ascii="Arial" w:hAnsi="Arial" w:cs="Arial"/>
            <w:color w:val="auto"/>
          </w:rPr>
          <w:t>https://zhanghao-njmu.github.io/SCP/</w:t>
        </w:r>
      </w:hyperlink>
      <w:r w:rsidRPr="008643B0">
        <w:rPr>
          <w:rFonts w:ascii="Arial" w:hAnsi="Arial" w:cs="Arial"/>
        </w:rPr>
        <w:t xml:space="preserve">), R package with comprehensive set of tools for single-cell data processing and downstream analysis developed around the Seurat </w:t>
      </w:r>
      <w:r w:rsidRPr="008643B0">
        <w:rPr>
          <w:rFonts w:ascii="Arial" w:hAnsi="Arial" w:cs="Arial"/>
        </w:rPr>
        <w:lastRenderedPageBreak/>
        <w:t xml:space="preserve">object. Following, exploration of distinct cell types within the heart was performed by employing </w:t>
      </w:r>
      <w:proofErr w:type="spellStart"/>
      <w:r w:rsidRPr="008643B0">
        <w:rPr>
          <w:rFonts w:ascii="Arial" w:hAnsi="Arial" w:cs="Arial"/>
        </w:rPr>
        <w:t>RunPCA</w:t>
      </w:r>
      <w:proofErr w:type="spellEnd"/>
      <w:r w:rsidRPr="008643B0">
        <w:rPr>
          <w:rFonts w:ascii="Arial" w:hAnsi="Arial" w:cs="Arial"/>
        </w:rPr>
        <w:t xml:space="preserve"> and </w:t>
      </w:r>
      <w:proofErr w:type="spellStart"/>
      <w:r w:rsidRPr="008643B0">
        <w:rPr>
          <w:rFonts w:ascii="Arial" w:hAnsi="Arial" w:cs="Arial"/>
        </w:rPr>
        <w:t>RunUMAP</w:t>
      </w:r>
      <w:proofErr w:type="spellEnd"/>
      <w:r w:rsidRPr="008643B0">
        <w:rPr>
          <w:rFonts w:ascii="Arial" w:hAnsi="Arial" w:cs="Arial"/>
        </w:rPr>
        <w:t xml:space="preserve"> functions for dimensionality reduction. The final number of principal components (PCs) is 20, which is determined by the inflection point of the </w:t>
      </w:r>
      <w:proofErr w:type="spellStart"/>
      <w:r w:rsidRPr="008643B0">
        <w:rPr>
          <w:rFonts w:ascii="Arial" w:hAnsi="Arial" w:cs="Arial"/>
        </w:rPr>
        <w:t>ElbowPlot</w:t>
      </w:r>
      <w:proofErr w:type="spellEnd"/>
      <w:r w:rsidRPr="008643B0">
        <w:rPr>
          <w:rFonts w:ascii="Arial" w:hAnsi="Arial" w:cs="Arial"/>
        </w:rPr>
        <w:t xml:space="preserve">. </w:t>
      </w:r>
      <w:proofErr w:type="spellStart"/>
      <w:r w:rsidRPr="008643B0">
        <w:rPr>
          <w:rFonts w:ascii="Arial" w:hAnsi="Arial" w:cs="Arial"/>
        </w:rPr>
        <w:t>FindAllMarkers</w:t>
      </w:r>
      <w:proofErr w:type="spellEnd"/>
      <w:r w:rsidRPr="008643B0">
        <w:rPr>
          <w:rFonts w:ascii="Arial" w:hAnsi="Arial" w:cs="Arial"/>
        </w:rPr>
        <w:t xml:space="preserve"> function was implemented to determine cell type markers of each cell population using cut-off pct=0.25 and </w:t>
      </w:r>
      <w:proofErr w:type="spellStart"/>
      <w:r w:rsidRPr="008643B0">
        <w:rPr>
          <w:rFonts w:ascii="Arial" w:hAnsi="Arial" w:cs="Arial"/>
        </w:rPr>
        <w:t>logfc.threshold</w:t>
      </w:r>
      <w:proofErr w:type="spellEnd"/>
      <w:r w:rsidRPr="008643B0">
        <w:rPr>
          <w:rFonts w:ascii="Arial" w:hAnsi="Arial" w:cs="Arial"/>
        </w:rPr>
        <w:t xml:space="preserve"> &gt; 0.25 as significant. Heart cell types were then annotated with reference-based mapping pipeline using R package Azimuth (</w:t>
      </w:r>
      <w:hyperlink r:id="rId8">
        <w:r w:rsidRPr="008643B0">
          <w:rPr>
            <w:rStyle w:val="Hyperlink"/>
            <w:rFonts w:ascii="Arial" w:hAnsi="Arial" w:cs="Arial"/>
            <w:color w:val="auto"/>
          </w:rPr>
          <w:t>https://azimuth.hubmapconsortium.org/</w:t>
        </w:r>
      </w:hyperlink>
      <w:r w:rsidRPr="008643B0">
        <w:rPr>
          <w:rFonts w:ascii="Arial" w:hAnsi="Arial" w:cs="Arial"/>
        </w:rPr>
        <w:t>) which includes 656,509 integrated heart cells from data collected in 3 different studies</w:t>
      </w:r>
      <w:r w:rsidRPr="008643B0">
        <w:rPr>
          <w:rFonts w:ascii="Arial" w:hAnsi="Arial" w:cs="Arial"/>
        </w:rPr>
        <w:fldChar w:fldCharType="begin"/>
      </w:r>
      <w:r w:rsidR="00A60ED8">
        <w:rPr>
          <w:rFonts w:ascii="Arial" w:hAnsi="Arial" w:cs="Arial"/>
        </w:rPr>
        <w:instrText xml:space="preserve"> ADDIN ZOTERO_ITEM CSL_CITATION {"citationID":"JsvMFu5X","properties":{"formattedCitation":"\\super 1,6\\uc0\\u8211{}8\\nosupersub{}","plainCitation":"1,6–8","noteIndex":0},"citationItems":[{"id":208,"uris":["http://zotero.org/users/local/jpFMERx2/items/S42ZLIKF"],"itemData":{"id":208,"type":"article-journal","abstract":"Heart failure represents a major cause of morbidity and mortality worldwide. Single-cell transcriptomics have revolutionized our understanding of cell composition and associated gene expression. Through integrated analysis of single-cell and single-nucleus RNA-sequencing data generated from 27 healthy donors and 18 individuals with dilated cardiomyopathy, here we define the cell composition of the healthy and failing human heart. We identify cell-specific transcriptional signatures associated with age and heart failure and reveal the emergence of disease-associated cell states. Notably, cardiomyocytes converge toward common disease-associated cell states, whereas fibroblasts and myeloid cells undergo dramatic diversification. Endothelial cells and pericytes display global transcriptional shifts without changes in cell complexity. Collectively, our findings provide a comprehensive analysis of the cellular and transcriptomic landscape of human heart failure, identify cell type-specific transcriptional programs and disease-associated cell states and establish a valuable resource for the investigation of human heart failure.","container-title":"Nature Cardiovascular Research","DOI":"10.1038/s44161-022-00028-6","ISSN":"2731-0590","issue":"3","journalAbbreviation":"Nat Cardiovasc Res","language":"eng","note":"PMID: 35959412\nPMCID: PMC9364913","page":"263-280","source":"PubMed","title":"Single-cell transcriptomics reveals cell-type-specific diversification in human heart failure","volume":"1","author":[{"family":"Koenig","given":"Andrew L."},{"family":"Shchukina","given":"Irina"},{"family":"Amrute","given":"Junedh"},{"family":"Andhey","given":"Prabhakar S."},{"family":"Zaitsev","given":"Konstantin"},{"family":"Lai","given":"Lulu"},{"family":"Bajpai","given":"Geetika"},{"family":"Bredemeyer","given":"Andrea"},{"family":"Smith","given":"Gabriella"},{"family":"Jones","given":"Cameran"},{"family":"Terrebonne","given":"Emily"},{"family":"Rentschler","given":"Stacey L."},{"family":"Artyomov","given":"Maxim N."},{"family":"Lavine","given":"Kory J."}],"issued":{"date-parts":[["2022",3]]}}},{"id":239,"uris":["http://zotero.org/users/local/jpFMERx2/items/EDZJL9MD"],"itemData":{"id":239,"type":"article-journal","abstract":"The simultaneous measurement of multiple modalities represents an exciting frontier for single-cell genomics and necessitates computational methods that can define cellular states based on multimodal data. Here, we introduce “weighted-nearest neighbor” analysis, an unsupervised framework to learn the relative utility of each data type in each cell, enabling an integrative analysis of multiple modalities. We apply our procedure to a CITE-seq dataset of 211,000 human peripheral blood mononuclear cells (PBMCs) with panels extending to 228 antibodies to construct a multimodal reference atlas of the circulating immune system. Multimodal analysis substantially improves our ability to resolve cell states, allowing us to identify and validate previously unreported lymphoid subpopulations. Moreover, we demonstrate how to leverage this reference to rapidly map new datasets and to interpret immune responses to vaccination and coronavirus disease 2019 (COVID-19). Our approach represents a broadly applicable strategy to analyze single-cell multimodal datasets and to look beyond the transcriptome toward a unified and multimodal definition of cellular identity.","container-title":"Cell","DOI":"10.1016/j.cell.2021.04.048","ISSN":"0092-8674","issue":"13","journalAbbreviation":"Cell","page":"3573-3587.e29","source":"ScienceDirect","title":"Integrated analysis of multimodal single-cell data","volume":"184","author":[{"family":"Hao","given":"Yuhan"},{"family":"Hao","given":"Stephanie"},{"family":"Andersen-Nissen","given":"Erica"},{"family":"Mauck","given":"William M."},{"family":"Zheng","given":"Shiwei"},{"family":"Butler","given":"Andrew"},{"family":"Lee","given":"Maddie J."},{"family":"Wilk","given":"Aaron J."},{"family":"Darby","given":"Charlotte"},{"family":"Zager","given":"Michael"},{"family":"Hoffman","given":"Paul"},{"family":"Stoeckius","given":"Marlon"},{"family":"Papalexi","given":"Efthymia"},{"family":"Mimitou","given":"Eleni P."},{"family":"Jain","given":"Jaison"},{"family":"Srivastava","given":"Avi"},{"family":"Stuart","given":"Tim"},{"family":"Fleming","given":"Lamar M."},{"family":"Yeung","given":"Bertrand"},{"family":"Rogers","given":"Angela J."},{"family":"McElrath","given":"Juliana M."},{"family":"Blish","given":"Catherine A."},{"family":"Gottardo","given":"Raphael"},{"family":"Smibert","given":"Peter"},{"family":"Satija","given":"Rahul"}],"issued":{"date-parts":[["2021",6,24]]}}},{"id":247,"uris":["http://zotero.org/users/local/jpFMERx2/items/LRZRV54T"],"itemData":{"id":247,"type":"article-journal","abstract":"Misregulated gene expression in human hearts can result in cardiovascular diseases that are leading causes of mortality worldwide. However, the limited information on the genomic location of candidate cis-regulatory elements (cCREs) such as enhancers and promoters in distinct cardiac cell types has restricted the understanding of these diseases. Here, we defined &gt;287,000 cCREs in the four chambers of the human heart at single-cell resolution, which revealed cCREs and candidate transcription factors associated with cardiac cell types in a region-dependent manner and during heart failure. We further found cardiovascular disease-associated genetic variants enriched within these cCREs including 38 candidate causal atrial fibrillation variants localized to cardiomyocyte cCREs. Additional functional studies revealed that two of these variants affect a cCRE controlling KCNH2/HERG expression and action potential repolarization. Overall, this atlas of human cardiac cCREs provides the foundation for illuminating cell type-specific gene regulation in human hearts during health and disease.","container-title":"Science Advances","DOI":"10.1126/sciadv.abf1444","ISSN":"2375-2548","issue":"20","journalAbbreviation":"Sci Adv","language":"eng","note":"PMID: 33990324\nPMCID: PMC8121433","page":"eabf1444","source":"PubMed","title":"Cardiac cell type-specific gene regulatory programs and disease risk association","volume":"7","author":[{"family":"Hocker","given":"James D."},{"family":"Poirion","given":"Olivier B."},{"family":"Zhu","given":"Fugui"},{"family":"Buchanan","given":"Justin"},{"family":"Zhang","given":"Kai"},{"family":"Chiou","given":"Joshua"},{"family":"Wang","given":"Tsui-Min"},{"family":"Zhang","given":"Qingquan"},{"family":"Hou","given":"Xiaomeng"},{"family":"Li","given":"Yang E."},{"family":"Zhang","given":"Yanxiao"},{"family":"Farah","given":"Elie N."},{"family":"Wang","given":"Allen"},{"family":"McCulloch","given":"Andrew D."},{"family":"Gaulton","given":"Kyle J."},{"family":"Ren","given":"Bing"},{"family":"Chi","given":"Neil C."},{"family":"Preissl","given":"Sebastian"}],"issued":{"date-parts":[["2021",5]]}}},{"id":251,"uris":["http://zotero.org/users/local/jpFMERx2/items/KD4U2AVU"],"itemData":{"id":251,"type":"article-journal","abstract":"Cardiovascular disease is the leading cause of death worldwide. Advanced insights into disease mechanisms and therapeutic strategies require a deeper understanding of the molecular processes involved in the healthy heart. Knowledge of the full repertoire of cardiac cells and their gene expression profiles is a fundamental first step in this endeavour. Here, using state-of-the-art analyses of large-scale single-cell and single-nucleus transcriptomes, we characterize six anatomical adult heart regions. Our results highlight the cellular heterogeneity of cardiomyocytes, pericytes and fibroblasts, and reveal distinct atrial and ventricular subsets of cells with diverse developmental origins and specialized properties. We define the complexity of the cardiac vasculature and its changes along the arterio-venous axis. In the immune compartment, we identify cardiac-resident macrophages with inflammatory and protective transcriptional signatures. Furthermore, analyses of cell-to-cell interactions highlight different networks of macrophages, fibroblasts and cardiomyocytes between atria and ventricles that are distinct from those of skeletal muscle. Our human cardiac cell atlas improves our understanding of the human heart and provides a valuable reference for future studies.","container-title":"Nature","DOI":"10.1038/s41586-020-2797-4","ISSN":"1476-4687","issue":"7838","language":"en","license":"2020 The Author(s)","note":"number: 7838\npublisher: Nature Publishing Group","page":"466-472","source":"www.nature.com","title":"Cells of the adult human heart","volume":"588","author":[{"family":"Litviňuková","given":"Monika"},{"family":"Talavera-López","given":"Carlos"},{"family":"Maatz","given":"Henrike"},{"family":"Reichart","given":"Daniel"},{"family":"Worth","given":"Catherine L."},{"family":"Lindberg","given":"Eric L."},{"family":"Kanda","given":"Masatoshi"},{"family":"Polanski","given":"Krzysztof"},{"family":"Heinig","given":"Matthias"},{"family":"Lee","given":"Michael"},{"family":"Nadelmann","given":"Emily R."},{"family":"Roberts","given":"Kenny"},{"family":"Tuck","given":"Liz"},{"family":"Fasouli","given":"Eirini S."},{"family":"DeLaughter","given":"Daniel M."},{"family":"McDonough","given":"Barbara"},{"family":"Wakimoto","given":"Hiroko"},{"family":"Gorham","given":"Joshua M."},{"family":"Samari","given":"Sara"},{"family":"Mahbubani","given":"Krishnaa T."},{"family":"Saeb-Parsy","given":"Kourosh"},{"family":"Patone","given":"Giannino"},{"family":"Boyle","given":"Joseph J."},{"family":"Zhang","given":"Hongbo"},{"family":"Zhang","given":"Hao"},{"family":"Viveiros","given":"Anissa"},{"family":"Oudit","given":"Gavin Y."},{"family":"Bayraktar","given":"Omer Ali"},{"family":"Seidman","given":"J. G."},{"family":"Seidman","given":"Christine E."},{"family":"Noseda","given":"Michela"},{"family":"Hubner","given":"Norbert"},{"family":"Teichmann","given":"Sarah A."}],"issued":{"date-parts":[["2020",12]]}}}],"schema":"https://github.com/citation-style-language/schema/raw/master/csl-citation.json"} </w:instrText>
      </w:r>
      <w:r w:rsidRPr="008643B0">
        <w:rPr>
          <w:rFonts w:ascii="Arial" w:hAnsi="Arial" w:cs="Arial"/>
        </w:rPr>
        <w:fldChar w:fldCharType="separate"/>
      </w:r>
      <w:r w:rsidR="00A60ED8" w:rsidRPr="00A60ED8">
        <w:rPr>
          <w:rFonts w:ascii="Arial" w:hAnsi="Arial" w:cs="Arial"/>
          <w:kern w:val="0"/>
          <w:vertAlign w:val="superscript"/>
        </w:rPr>
        <w:t>1,6–8</w:t>
      </w:r>
      <w:r w:rsidRPr="008643B0">
        <w:rPr>
          <w:rFonts w:ascii="Arial" w:hAnsi="Arial" w:cs="Arial"/>
        </w:rPr>
        <w:fldChar w:fldCharType="end"/>
      </w:r>
      <w:r w:rsidRPr="008643B0">
        <w:rPr>
          <w:rFonts w:ascii="Arial" w:hAnsi="Arial" w:cs="Arial"/>
        </w:rPr>
        <w:t xml:space="preserve">. Differential gene expression between LQTS and healthy heart donor cell types were performed using default </w:t>
      </w:r>
      <w:proofErr w:type="spellStart"/>
      <w:r w:rsidRPr="008643B0">
        <w:rPr>
          <w:rFonts w:ascii="Arial" w:hAnsi="Arial" w:cs="Arial"/>
        </w:rPr>
        <w:t>FindMarkers</w:t>
      </w:r>
      <w:proofErr w:type="spellEnd"/>
      <w:r w:rsidRPr="008643B0">
        <w:rPr>
          <w:rFonts w:ascii="Arial" w:hAnsi="Arial" w:cs="Arial"/>
        </w:rPr>
        <w:t xml:space="preserve"> function in Seurat. Absolute log2FC greater than 0.25 and adjusted P values &lt; 0.05 were determined as significant DE genes used for downstream analysis. Differential signaling </w:t>
      </w:r>
      <w:proofErr w:type="spellStart"/>
      <w:r w:rsidRPr="008643B0">
        <w:rPr>
          <w:rFonts w:ascii="Arial" w:hAnsi="Arial" w:cs="Arial"/>
        </w:rPr>
        <w:t>CellChat</w:t>
      </w:r>
      <w:proofErr w:type="spellEnd"/>
      <w:r w:rsidRPr="008643B0">
        <w:rPr>
          <w:rFonts w:ascii="Arial" w:hAnsi="Arial" w:cs="Arial"/>
        </w:rPr>
        <w:t xml:space="preserve"> ligand-receptor interaction was performed using functions in R package </w:t>
      </w:r>
      <w:proofErr w:type="spellStart"/>
      <w:r w:rsidRPr="008643B0">
        <w:rPr>
          <w:rFonts w:ascii="Arial" w:hAnsi="Arial" w:cs="Arial"/>
        </w:rPr>
        <w:t>CellChat</w:t>
      </w:r>
      <w:proofErr w:type="spellEnd"/>
      <w:r w:rsidRPr="008643B0">
        <w:rPr>
          <w:rFonts w:ascii="Arial" w:hAnsi="Arial" w:cs="Arial"/>
        </w:rPr>
        <w:t xml:space="preserve"> to map cell-cell communication networks</w:t>
      </w:r>
      <w:r w:rsidRPr="008643B0">
        <w:rPr>
          <w:rFonts w:ascii="Arial" w:hAnsi="Arial" w:cs="Arial"/>
        </w:rPr>
        <w:fldChar w:fldCharType="begin"/>
      </w:r>
      <w:r w:rsidR="00A60ED8">
        <w:rPr>
          <w:rFonts w:ascii="Arial" w:hAnsi="Arial" w:cs="Arial"/>
        </w:rPr>
        <w:instrText xml:space="preserve"> ADDIN ZOTERO_ITEM CSL_CITATION {"citationID":"aNBSY2Rl","properties":{"formattedCitation":"\\super 9\\nosupersub{}","plainCitation":"9","noteIndex":0},"citationItems":[{"id":254,"uris":["http://zotero.org/users/local/jpFMERx2/items/6KBIAJ7S"],"itemData":{"id":254,"type":"article-journal","abstract":"Understanding global communications among cells requires accurate representation of cell-cell signaling links and effective systems-level analyses of those links. We construct a database of interactions among ligands, receptors and their cofactors that accurately represent known heteromeric molecular complexes. We then develop CellChat, a tool that is able to quantitatively infer and analyze intercellular communication networks from single-cell RNA-sequencing (scRNA-seq) data. CellChat predicts major signaling inputs and outputs for cells and how those cells and signals coordinate for functions using network analysis and pattern recognition approaches. Through manifold learning and quantitative contrasts, CellChat classifies signaling pathways and delineates conserved and context-specific pathways across different datasets. Applying CellChat to mouse and human skin datasets shows its ability to extract complex signaling patterns. Our versatile and easy-to-use toolkit CellChat and a web-based Explorer ( http://www.cellchat.org/ ) will help discover novel intercellular communications and build cell-cell communication atlases in diverse tissues.","container-title":"Nature Communications","DOI":"10.1038/s41467-021-21246-9","ISSN":"2041-1723","issue":"1","journalAbbreviation":"Nat Commun","language":"eng","note":"PMID: 33597522\nPMCID: PMC7889871","page":"1088","source":"PubMed","title":"Inference and analysis of cell-cell communication using CellChat","volume":"12","author":[{"family":"Jin","given":"Suoqin"},{"family":"Guerrero-Juarez","given":"Christian F."},{"family":"Zhang","given":"Lihua"},{"family":"Chang","given":"Ivan"},{"family":"Ramos","given":"Raul"},{"family":"Kuan","given":"Chen-Hsiang"},{"family":"Myung","given":"Peggy"},{"family":"Plikus","given":"Maksim V."},{"family":"Nie","given":"Qing"}],"issued":{"date-parts":[["2021",2,17]]}}}],"schema":"https://github.com/citation-style-language/schema/raw/master/csl-citation.json"} </w:instrText>
      </w:r>
      <w:r w:rsidRPr="008643B0">
        <w:rPr>
          <w:rFonts w:ascii="Arial" w:hAnsi="Arial" w:cs="Arial"/>
        </w:rPr>
        <w:fldChar w:fldCharType="separate"/>
      </w:r>
      <w:r w:rsidR="00A60ED8" w:rsidRPr="00A60ED8">
        <w:rPr>
          <w:rFonts w:ascii="Arial" w:hAnsi="Arial" w:cs="Arial"/>
          <w:kern w:val="0"/>
          <w:vertAlign w:val="superscript"/>
        </w:rPr>
        <w:t>9</w:t>
      </w:r>
      <w:r w:rsidRPr="008643B0">
        <w:rPr>
          <w:rFonts w:ascii="Arial" w:hAnsi="Arial" w:cs="Arial"/>
        </w:rPr>
        <w:fldChar w:fldCharType="end"/>
      </w:r>
      <w:r w:rsidRPr="008643B0">
        <w:rPr>
          <w:rFonts w:ascii="Arial" w:hAnsi="Arial" w:cs="Arial"/>
        </w:rPr>
        <w:t xml:space="preserve">. In summary, </w:t>
      </w:r>
      <w:proofErr w:type="spellStart"/>
      <w:r w:rsidRPr="008643B0">
        <w:rPr>
          <w:rFonts w:ascii="Arial" w:hAnsi="Arial" w:cs="Arial"/>
        </w:rPr>
        <w:t>cellchat</w:t>
      </w:r>
      <w:proofErr w:type="spellEnd"/>
      <w:r w:rsidRPr="008643B0">
        <w:rPr>
          <w:rFonts w:ascii="Arial" w:hAnsi="Arial" w:cs="Arial"/>
        </w:rPr>
        <w:t xml:space="preserve"> objects were created in each condition using </w:t>
      </w:r>
      <w:proofErr w:type="spellStart"/>
      <w:r w:rsidRPr="008643B0">
        <w:rPr>
          <w:rFonts w:ascii="Arial" w:hAnsi="Arial" w:cs="Arial"/>
        </w:rPr>
        <w:t>createCellChat</w:t>
      </w:r>
      <w:proofErr w:type="spellEnd"/>
      <w:r w:rsidRPr="008643B0">
        <w:rPr>
          <w:rFonts w:ascii="Arial" w:hAnsi="Arial" w:cs="Arial"/>
        </w:rPr>
        <w:t xml:space="preserve"> function. Then, </w:t>
      </w:r>
      <w:proofErr w:type="spellStart"/>
      <w:r w:rsidRPr="008643B0">
        <w:rPr>
          <w:rFonts w:ascii="Arial" w:hAnsi="Arial" w:cs="Arial"/>
        </w:rPr>
        <w:t>computeCommunProb</w:t>
      </w:r>
      <w:proofErr w:type="spellEnd"/>
      <w:r w:rsidRPr="008643B0">
        <w:rPr>
          <w:rFonts w:ascii="Arial" w:hAnsi="Arial" w:cs="Arial"/>
        </w:rPr>
        <w:t xml:space="preserve"> with </w:t>
      </w:r>
      <w:proofErr w:type="spellStart"/>
      <w:r w:rsidRPr="008643B0">
        <w:rPr>
          <w:rFonts w:ascii="Arial" w:hAnsi="Arial" w:cs="Arial"/>
        </w:rPr>
        <w:t>population.size</w:t>
      </w:r>
      <w:proofErr w:type="spellEnd"/>
      <w:r w:rsidRPr="008643B0">
        <w:rPr>
          <w:rFonts w:ascii="Arial" w:hAnsi="Arial" w:cs="Arial"/>
        </w:rPr>
        <w:t xml:space="preserve"> set to FALSE to remove the potential artifact of population size between the two condition. Cell communication networks were created using </w:t>
      </w:r>
      <w:proofErr w:type="spellStart"/>
      <w:r w:rsidRPr="008643B0">
        <w:rPr>
          <w:rFonts w:ascii="Arial" w:hAnsi="Arial" w:cs="Arial"/>
        </w:rPr>
        <w:t>ComputeCommunProbPathway</w:t>
      </w:r>
      <w:proofErr w:type="spellEnd"/>
      <w:r w:rsidRPr="008643B0">
        <w:rPr>
          <w:rFonts w:ascii="Arial" w:hAnsi="Arial" w:cs="Arial"/>
        </w:rPr>
        <w:t xml:space="preserve"> and </w:t>
      </w:r>
      <w:proofErr w:type="spellStart"/>
      <w:r w:rsidRPr="008643B0">
        <w:rPr>
          <w:rFonts w:ascii="Arial" w:hAnsi="Arial" w:cs="Arial"/>
        </w:rPr>
        <w:t>aggregateNet</w:t>
      </w:r>
      <w:proofErr w:type="spellEnd"/>
      <w:r w:rsidRPr="008643B0">
        <w:rPr>
          <w:rFonts w:ascii="Arial" w:hAnsi="Arial" w:cs="Arial"/>
        </w:rPr>
        <w:t xml:space="preserve"> functions with default parameters and visualized with internal functions in the package according to multiple dataset workflow (</w:t>
      </w:r>
      <w:hyperlink r:id="rId9">
        <w:r w:rsidRPr="008643B0">
          <w:rPr>
            <w:rStyle w:val="Hyperlink"/>
            <w:rFonts w:ascii="Arial" w:hAnsi="Arial" w:cs="Arial"/>
            <w:color w:val="auto"/>
          </w:rPr>
          <w:t>https://github.com/sqjin/CellChat/</w:t>
        </w:r>
      </w:hyperlink>
      <w:r w:rsidRPr="008643B0">
        <w:rPr>
          <w:rFonts w:ascii="Arial" w:hAnsi="Arial" w:cs="Arial"/>
        </w:rPr>
        <w:t xml:space="preserve">). </w:t>
      </w:r>
    </w:p>
    <w:p w14:paraId="2C820FAF" w14:textId="64DEF655" w:rsidR="00D005EB" w:rsidRPr="008643B0" w:rsidRDefault="00D005EB" w:rsidP="00D005EB">
      <w:pPr>
        <w:spacing w:line="480" w:lineRule="auto"/>
        <w:rPr>
          <w:rFonts w:ascii="Arial" w:eastAsia="等线" w:hAnsi="Arial" w:cs="Arial"/>
        </w:rPr>
      </w:pPr>
    </w:p>
    <w:p w14:paraId="14A0806C" w14:textId="77777777" w:rsidR="00D005EB" w:rsidRPr="008643B0" w:rsidRDefault="00D005EB" w:rsidP="00D005EB">
      <w:pPr>
        <w:spacing w:line="480" w:lineRule="auto"/>
        <w:rPr>
          <w:rFonts w:ascii="Arial" w:eastAsia="等线" w:hAnsi="Arial" w:cs="Arial"/>
          <w:b/>
          <w:bCs/>
          <w:i/>
          <w:iCs/>
        </w:rPr>
      </w:pPr>
      <w:r w:rsidRPr="008643B0">
        <w:rPr>
          <w:rFonts w:ascii="Arial" w:eastAsia="等线" w:hAnsi="Arial" w:cs="Arial"/>
          <w:b/>
          <w:bCs/>
          <w:i/>
          <w:iCs/>
        </w:rPr>
        <w:t xml:space="preserve">Flow cytometry </w:t>
      </w:r>
    </w:p>
    <w:p w14:paraId="6C6B6C86" w14:textId="327B3AE0" w:rsidR="00D005EB" w:rsidRPr="008643B0" w:rsidRDefault="00D005EB" w:rsidP="00D005EB">
      <w:pPr>
        <w:spacing w:line="480" w:lineRule="auto"/>
        <w:rPr>
          <w:rFonts w:ascii="Arial" w:hAnsi="Arial" w:cs="Arial"/>
        </w:rPr>
      </w:pPr>
      <w:r w:rsidRPr="008643B0">
        <w:rPr>
          <w:rFonts w:ascii="Arial" w:eastAsia="等线" w:hAnsi="Arial" w:cs="Arial"/>
        </w:rPr>
        <w:t>Hours following TBI, the donor heart non-cardiomyocyte cells were harvested through enzymatic digestion using the Langendorff-free perfusion method as previously described</w:t>
      </w:r>
      <w:r w:rsidRPr="008643B0">
        <w:rPr>
          <w:rFonts w:ascii="Arial" w:eastAsia="等线" w:hAnsi="Arial" w:cs="Arial"/>
        </w:rPr>
        <w:fldChar w:fldCharType="begin"/>
      </w:r>
      <w:r w:rsidR="00A60ED8">
        <w:rPr>
          <w:rFonts w:ascii="Arial" w:eastAsia="等线" w:hAnsi="Arial" w:cs="Arial"/>
        </w:rPr>
        <w:instrText xml:space="preserve"> ADDIN ZOTERO_ITEM CSL_CITATION {"citationID":"WPBvgtqr","properties":{"formattedCitation":"\\super 10\\nosupersub{}","plainCitation":"10","noteIndex":0},"citationItems":[{"id":278,"uris":["http://zotero.org/users/local/jpFMERx2/items/2H3TH83S"],"itemData":{"id":278,"type":"article-journal","abstract":"RATIONALE: Cardiovascular disease represents a global pandemic. The advent of and recent advances in mouse genomics, epigenomics, and transgenics offer ever-greater potential for powerful avenues of research. However, progress is often constrained by unique complexities associated with the isolation of viable myocytes from the adult mouse heart. Current protocols rely on retrograde aortic perfusion using specialized Langendorff apparatus, which poses considerable logistical and technical barriers to researchers and demands extensive training investment.\nOBJECTIVE: To identify and optimize a convenient, alternative approach, allowing the robust isolation and culture of adult mouse cardiac myocytes using only common surgical and laboratory equipment.\nMETHODS AND RESULTS: Cardiac myocytes were isolated with yields comparable to those in published Langendorff-based methods, using direct needle perfusion of the LV ex vivo and without requirement for heparin injection. Isolated myocytes can be cultured antibiotic free, with retained organized contractile and mitochondrial morphology, transcriptional signatures, calcium handling, responses to hypoxia, neurohormonal stimulation, and electric pacing, and are amenable to patch clamp and adenoviral gene transfer techniques. Furthermore, the methodology permits concurrent isolation, separation, and coculture of myocyte and nonmyocyte cardiac populations.\nCONCLUSIONS: We present a novel, simplified method, demonstrating concomitant isolation of viable cardiac myocytes and nonmyocytes from the same adult mouse heart. We anticipate that this new approach will expand and accelerate innovative research in the field of cardiac biology.","container-title":"Circulation Research","DOI":"10.1161/CIRCRESAHA.116.309202","ISSN":"1524-4571","issue":"8","journalAbbreviation":"Circ Res","language":"eng","note":"PMID: 27502479\nPMCID: PMC5965670","page":"909-920","source":"PubMed","title":"A Simplified, Langendorff-Free Method for Concomitant Isolation of Viable Cardiac Myocytes and Nonmyocytes From the Adult Mouse Heart","volume":"119","author":[{"family":"Ackers-Johnson","given":"Matthew"},{"family":"Li","given":"Peter Yiqing"},{"family":"Holmes","given":"Andrew P."},{"family":"O'Brien","given":"Sian-Marie"},{"family":"Pavlovic","given":"Davor"},{"family":"Foo","given":"Roger S."}],"issued":{"date-parts":[["2016",9,30]]}}}],"schema":"https://github.com/citation-style-language/schema/raw/master/csl-citation.json"} </w:instrText>
      </w:r>
      <w:r w:rsidRPr="008643B0">
        <w:rPr>
          <w:rFonts w:ascii="Arial" w:eastAsia="等线" w:hAnsi="Arial" w:cs="Arial"/>
        </w:rPr>
        <w:fldChar w:fldCharType="separate"/>
      </w:r>
      <w:r w:rsidR="00A60ED8" w:rsidRPr="00A60ED8">
        <w:rPr>
          <w:rFonts w:ascii="Arial" w:hAnsi="Arial" w:cs="Arial"/>
          <w:kern w:val="0"/>
          <w:vertAlign w:val="superscript"/>
        </w:rPr>
        <w:t>10</w:t>
      </w:r>
      <w:r w:rsidRPr="008643B0">
        <w:rPr>
          <w:rFonts w:ascii="Arial" w:eastAsia="等线" w:hAnsi="Arial" w:cs="Arial"/>
        </w:rPr>
        <w:fldChar w:fldCharType="end"/>
      </w:r>
      <w:r w:rsidRPr="008643B0">
        <w:rPr>
          <w:rFonts w:ascii="Arial" w:eastAsia="等线" w:hAnsi="Arial" w:cs="Arial"/>
        </w:rPr>
        <w:t xml:space="preserve">. Separation of cardiomyocyte and non-cardiomyocyte were achieved through gravitation sedimentation of cardiomyocytes. Supernatant containing non-cardiomyocytes including fibroblast, endothelial and immune cells were used for flow cytometry antibody staining. </w:t>
      </w:r>
      <w:r w:rsidRPr="008643B0">
        <w:rPr>
          <w:rFonts w:ascii="Arial" w:hAnsi="Arial" w:cs="Arial"/>
        </w:rPr>
        <w:t xml:space="preserve">Analysis of the donor heart immune cell by flow cytometry were performed by staining specific antibodies including total immune cells (CD45+; </w:t>
      </w:r>
      <w:proofErr w:type="spellStart"/>
      <w:r w:rsidRPr="008643B0">
        <w:rPr>
          <w:rFonts w:ascii="Arial" w:hAnsi="Arial" w:cs="Arial"/>
        </w:rPr>
        <w:t>Biolegend</w:t>
      </w:r>
      <w:proofErr w:type="spellEnd"/>
      <w:r w:rsidRPr="008643B0">
        <w:rPr>
          <w:rFonts w:ascii="Arial" w:hAnsi="Arial" w:cs="Arial"/>
        </w:rPr>
        <w:t xml:space="preserve">), as well as T (CD3+; </w:t>
      </w:r>
      <w:proofErr w:type="spellStart"/>
      <w:r w:rsidRPr="008643B0">
        <w:rPr>
          <w:rFonts w:ascii="Arial" w:hAnsi="Arial" w:cs="Arial"/>
        </w:rPr>
        <w:t>Biolegend</w:t>
      </w:r>
      <w:proofErr w:type="spellEnd"/>
      <w:r w:rsidRPr="008643B0">
        <w:rPr>
          <w:rFonts w:ascii="Arial" w:hAnsi="Arial" w:cs="Arial"/>
        </w:rPr>
        <w:t xml:space="preserve">), B lymphocytes (B220+; </w:t>
      </w:r>
      <w:proofErr w:type="spellStart"/>
      <w:r w:rsidRPr="008643B0">
        <w:rPr>
          <w:rFonts w:ascii="Arial" w:hAnsi="Arial" w:cs="Arial"/>
        </w:rPr>
        <w:t>Biolegend</w:t>
      </w:r>
      <w:proofErr w:type="spellEnd"/>
      <w:r w:rsidRPr="008643B0">
        <w:rPr>
          <w:rFonts w:ascii="Arial" w:hAnsi="Arial" w:cs="Arial"/>
        </w:rPr>
        <w:t>) after gating into CD45+ CD11b-. Cell count by flow cytometry was done by adding cell counting beads (</w:t>
      </w:r>
      <w:proofErr w:type="spellStart"/>
      <w:r w:rsidRPr="008643B0">
        <w:rPr>
          <w:rFonts w:ascii="Arial" w:hAnsi="Arial" w:cs="Arial"/>
        </w:rPr>
        <w:t>Spherotech</w:t>
      </w:r>
      <w:proofErr w:type="spellEnd"/>
      <w:r w:rsidRPr="008643B0">
        <w:rPr>
          <w:rFonts w:ascii="Arial" w:hAnsi="Arial" w:cs="Arial"/>
        </w:rPr>
        <w:t>, ACBP-100-10, 1 × 10</w:t>
      </w:r>
      <w:r w:rsidRPr="008643B0">
        <w:rPr>
          <w:rFonts w:ascii="Arial" w:hAnsi="Arial" w:cs="Arial"/>
          <w:vertAlign w:val="superscript"/>
        </w:rPr>
        <w:t>6</w:t>
      </w:r>
      <w:r w:rsidRPr="008643B0">
        <w:rPr>
          <w:rFonts w:ascii="Arial" w:hAnsi="Arial" w:cs="Arial"/>
        </w:rPr>
        <w:t xml:space="preserve"> beads/mL) to each sample, and the following equation was used to calculate cell numbers as previously described</w:t>
      </w:r>
      <w:r w:rsidRPr="008643B0">
        <w:rPr>
          <w:rFonts w:ascii="Arial" w:hAnsi="Arial" w:cs="Arial"/>
        </w:rPr>
        <w:fldChar w:fldCharType="begin"/>
      </w:r>
      <w:r w:rsidR="00A60ED8">
        <w:rPr>
          <w:rFonts w:ascii="Arial" w:hAnsi="Arial" w:cs="Arial"/>
        </w:rPr>
        <w:instrText xml:space="preserve"> ADDIN ZOTERO_ITEM CSL_CITATION {"citationID":"X1C9ZETB","properties":{"formattedCitation":"\\super 11\\nosupersub{}","plainCitation":"11","noteIndex":0},"citationItems":[{"id":281,"uris":["http://zotero.org/users/local/jpFMERx2/items/YBD48DYS"],"itemData":{"id":281,"type":"article-journal","abstract":"Immune activation post-myocardial infarction is an orchestrated sequence of cellular responses to effect tissue repair and healing. However, excessive and dysregulated inflammation can result in left ventricular remodeling and pathological alterations in the structural and mechanical attributes of the heart. Identification of key pathways and critical cellular mediators of inflammation is thus essential to design immunomodulatory therapies for myocardial infarction and ischemic heart failure. Despite this, the experimental approaches to isolate mononuclear cells from the heart are diverse, and detailed protocols to enable maximum yield of live cells in the shortest time possible are not readily available. Here, we describe optimized protocols for the isolation, fixation, and flow cytometric characterization of cardiac CD45+ leukocytes. These protocols circumvent time-consuming coronary perfusion and density-mediated cell-separation steps, resulting in high cellular yields from cardiac digests devoid of contaminating intravascular cells. Moreover, in contrast to methanol and acetone, we show that cell fixation using 1% paraformaldehyde is most optimal as it does not affect antibody binding or cellular morphology, thereby providing a considerable advantage to study activation/infiltration-associated changes in cellular granularity and size. These are highly versatile methods that can easily be streamlined for studies requiring simultaneous isolation of immune cells from different tissues or deployment in studies containing a large cohort of samples with time-sensitive constraints.NEW &amp; NOTEWORTHY In this article, we describe optimized protocols for the isolation, fixation, and flow cytometric analysis of immune cells from the ischemic/nonischemic hearts. These protocols are optimized to process several samples/tissues, simultaneously enabling maximal yield of immune cells in the shortest time possible. We show that the low-speed centrifugation can be used as an effective alternative to lengthy coronary perfusion to remove intravascular cells, and sieving through 40-μm filter can replace density-mediated mononuclear cell separation which usually results in 50-70% cell loss in the sedimented pellets. We also show that cell fixation using 1% paraformaldehyde is better than the organic solvents such as methanol and acetone for flow cytometric analysis.","container-title":"American Journal of Physiology. Heart and Circulatory Physiology","DOI":"10.1152/ajpheart.00137.2019","ISSN":"1522-1539","issue":"3","journalAbbreviation":"Am J Physiol Heart Circ Physiol","language":"eng","note":"PMID: 31373510\nPMCID: PMC6766726","page":"H658-H666","source":"PubMed","title":"Optimized protocols for isolation, fixation, and flow cytometric characterization of leukocytes in ischemic hearts","volume":"317","author":[{"family":"Covarrubias","given":"Roman"},{"family":"Ismahil","given":"Mohamed Ameen"},{"family":"Rokosh","given":"Gregg"},{"family":"Hamid","given":"Tariq"},{"family":"Accornero","given":"Federica"},{"family":"Singh","given":"Harpreet"},{"family":"Gumina","given":"Richard J."},{"family":"Prabhu","given":"Sumanth D."},{"family":"Bansal","given":"Shyam S."}],"issued":{"date-parts":[["2019",9,1]]}}}],"schema":"https://github.com/citation-style-language/schema/raw/master/csl-citation.json"} </w:instrText>
      </w:r>
      <w:r w:rsidRPr="008643B0">
        <w:rPr>
          <w:rFonts w:ascii="Arial" w:hAnsi="Arial" w:cs="Arial"/>
        </w:rPr>
        <w:fldChar w:fldCharType="separate"/>
      </w:r>
      <w:r w:rsidR="00A60ED8" w:rsidRPr="00A60ED8">
        <w:rPr>
          <w:rFonts w:ascii="Arial" w:hAnsi="Arial" w:cs="Arial"/>
          <w:kern w:val="0"/>
          <w:vertAlign w:val="superscript"/>
        </w:rPr>
        <w:t>11</w:t>
      </w:r>
      <w:r w:rsidRPr="008643B0">
        <w:rPr>
          <w:rFonts w:ascii="Arial" w:hAnsi="Arial" w:cs="Arial"/>
        </w:rPr>
        <w:fldChar w:fldCharType="end"/>
      </w:r>
      <w:r w:rsidRPr="008643B0">
        <w:rPr>
          <w:rFonts w:ascii="Arial" w:hAnsi="Arial" w:cs="Arial"/>
        </w:rPr>
        <w:t xml:space="preserve">. </w:t>
      </w:r>
    </w:p>
    <w:p w14:paraId="702F40D8" w14:textId="77777777" w:rsidR="00D005EB" w:rsidRPr="008643B0" w:rsidRDefault="00D005EB" w:rsidP="00D005EB">
      <w:pPr>
        <w:spacing w:line="480" w:lineRule="auto"/>
        <w:rPr>
          <w:rFonts w:ascii="Arial" w:hAnsi="Arial" w:cs="Arial"/>
        </w:rPr>
      </w:pPr>
    </w:p>
    <w:p w14:paraId="5FD79B86" w14:textId="77777777" w:rsidR="00D005EB" w:rsidRPr="008643B0" w:rsidRDefault="00D005EB" w:rsidP="00D005EB">
      <w:pPr>
        <w:spacing w:line="480" w:lineRule="auto"/>
        <w:rPr>
          <w:rFonts w:ascii="Arial" w:hAnsi="Arial" w:cs="Arial"/>
          <w:b/>
          <w:bCs/>
          <w:i/>
          <w:iCs/>
        </w:rPr>
      </w:pPr>
      <w:r w:rsidRPr="008643B0">
        <w:rPr>
          <w:rFonts w:ascii="Arial" w:hAnsi="Arial" w:cs="Arial"/>
          <w:b/>
          <w:bCs/>
          <w:i/>
          <w:iCs/>
        </w:rPr>
        <w:t>Western Blotting</w:t>
      </w:r>
    </w:p>
    <w:p w14:paraId="6D7643A9" w14:textId="3D41547E" w:rsidR="00735C48" w:rsidRDefault="00D005EB" w:rsidP="00D005EB">
      <w:pPr>
        <w:spacing w:line="480" w:lineRule="auto"/>
        <w:rPr>
          <w:rFonts w:ascii="Arial" w:eastAsia="等线" w:hAnsi="Arial" w:cs="Arial"/>
        </w:rPr>
      </w:pPr>
      <w:r w:rsidRPr="008643B0">
        <w:rPr>
          <w:rFonts w:ascii="Arial" w:eastAsia="等线" w:hAnsi="Arial" w:cs="Arial"/>
        </w:rPr>
        <w:t xml:space="preserve">Western blotting procedure was conducted following standard protocol. Total proteins were extracted from mice heart tissue samples subjected to experimental TBI. Equal amounts of total protein per sample were subjected to polyacrylamide-sodium dodecyl sulfate gel and then transferred to a polyvinylidene fluoride membrane. The membrane was blocked with 5% </w:t>
      </w:r>
      <w:r w:rsidRPr="008643B0">
        <w:rPr>
          <w:rFonts w:ascii="Arial" w:eastAsia="等线" w:hAnsi="Arial" w:cs="Arial"/>
        </w:rPr>
        <w:lastRenderedPageBreak/>
        <w:t xml:space="preserve">nonfat dry milk in Tris-buffered saline with 0.05% Tween-20 (TBST) followed by incubating with primary antibodies at 4 °C overnight. Corresponding secondary antibodies were used to incubate with membranes. Protein expression was detected using a Bio-Rad imaging system with a chemiluminescent substrate. The primary antibodies used in this study were as follows: Itgb1 (1:1000; CST; 34971), CD44 (1:1000; CST; 37259) and GAPDH (1:10000; </w:t>
      </w:r>
      <w:proofErr w:type="spellStart"/>
      <w:r w:rsidRPr="008643B0">
        <w:rPr>
          <w:rFonts w:ascii="Arial" w:eastAsia="等线" w:hAnsi="Arial" w:cs="Arial"/>
        </w:rPr>
        <w:t>Abclonal</w:t>
      </w:r>
      <w:proofErr w:type="spellEnd"/>
      <w:r w:rsidRPr="008643B0">
        <w:rPr>
          <w:rFonts w:ascii="Arial" w:eastAsia="等线" w:hAnsi="Arial" w:cs="Arial"/>
        </w:rPr>
        <w:t>, AC001).</w:t>
      </w:r>
    </w:p>
    <w:p w14:paraId="0E532A69" w14:textId="77777777" w:rsidR="00735C48" w:rsidRDefault="00735C48">
      <w:pPr>
        <w:suppressAutoHyphens w:val="0"/>
        <w:overflowPunct/>
        <w:rPr>
          <w:rFonts w:ascii="Arial" w:eastAsia="等线" w:hAnsi="Arial" w:cs="Arial"/>
        </w:rPr>
      </w:pPr>
      <w:r>
        <w:rPr>
          <w:rFonts w:ascii="Arial" w:eastAsia="等线" w:hAnsi="Arial" w:cs="Arial"/>
        </w:rPr>
        <w:br w:type="page"/>
      </w:r>
    </w:p>
    <w:p w14:paraId="5DB55B42" w14:textId="563F85BD" w:rsidR="00A60ED8" w:rsidRDefault="00A60ED8">
      <w:pPr>
        <w:rPr>
          <w:rFonts w:ascii="Arial" w:hAnsi="Arial" w:cs="Arial"/>
          <w:b/>
          <w:bCs/>
        </w:rPr>
      </w:pPr>
      <w:r w:rsidRPr="00A60ED8">
        <w:rPr>
          <w:rFonts w:ascii="Arial" w:hAnsi="Arial" w:cs="Arial"/>
          <w:b/>
          <w:bCs/>
        </w:rPr>
        <w:lastRenderedPageBreak/>
        <w:t>Supplementary References</w:t>
      </w:r>
    </w:p>
    <w:p w14:paraId="456F1CAA" w14:textId="77777777" w:rsidR="00A60ED8" w:rsidRDefault="00A60ED8">
      <w:pPr>
        <w:rPr>
          <w:rFonts w:ascii="Arial" w:hAnsi="Arial" w:cs="Arial"/>
          <w:b/>
          <w:bCs/>
        </w:rPr>
      </w:pPr>
    </w:p>
    <w:p w14:paraId="2C070B3E" w14:textId="77777777" w:rsidR="00A60ED8" w:rsidRPr="00A60ED8" w:rsidRDefault="00A60ED8" w:rsidP="00A60ED8">
      <w:pPr>
        <w:pStyle w:val="Bibliography"/>
        <w:rPr>
          <w:rFonts w:ascii="Arial" w:hAnsi="Arial" w:cs="Arial"/>
        </w:rPr>
      </w:pPr>
      <w:r>
        <w:rPr>
          <w:rFonts w:ascii="Arial" w:hAnsi="Arial" w:cs="Arial"/>
          <w:b/>
          <w:bCs/>
        </w:rPr>
        <w:fldChar w:fldCharType="begin"/>
      </w:r>
      <w:r>
        <w:rPr>
          <w:rFonts w:ascii="Arial" w:hAnsi="Arial" w:cs="Arial"/>
          <w:b/>
          <w:bCs/>
        </w:rPr>
        <w:instrText xml:space="preserve"> ADDIN ZOTERO_BIBL {"uncited":[],"omitted":[],"custom":[]} CSL_BIBLIOGRAPHY </w:instrText>
      </w:r>
      <w:r>
        <w:rPr>
          <w:rFonts w:ascii="Arial" w:hAnsi="Arial" w:cs="Arial"/>
          <w:b/>
          <w:bCs/>
        </w:rPr>
        <w:fldChar w:fldCharType="separate"/>
      </w:r>
      <w:r w:rsidRPr="00A60ED8">
        <w:rPr>
          <w:rFonts w:ascii="Arial" w:hAnsi="Arial" w:cs="Arial"/>
        </w:rPr>
        <w:t>1.</w:t>
      </w:r>
      <w:r w:rsidRPr="00A60ED8">
        <w:rPr>
          <w:rFonts w:ascii="Arial" w:hAnsi="Arial" w:cs="Arial"/>
        </w:rPr>
        <w:tab/>
        <w:t xml:space="preserve">Koenig AL, Shchukina I, Amrute J, et al. Single-cell transcriptomics reveals cell-type-specific diversification in human heart failure. </w:t>
      </w:r>
      <w:r w:rsidRPr="00A60ED8">
        <w:rPr>
          <w:rFonts w:ascii="Arial" w:hAnsi="Arial" w:cs="Arial"/>
          <w:i/>
          <w:iCs/>
        </w:rPr>
        <w:t>Nat Cardiovasc Res</w:t>
      </w:r>
      <w:r w:rsidRPr="00A60ED8">
        <w:rPr>
          <w:rFonts w:ascii="Arial" w:hAnsi="Arial" w:cs="Arial"/>
        </w:rPr>
        <w:t>. 2022;1(3):263-280. doi:10.1038/s44161-022-00028-6</w:t>
      </w:r>
    </w:p>
    <w:p w14:paraId="25471AAC" w14:textId="77777777" w:rsidR="00A60ED8" w:rsidRPr="00A60ED8" w:rsidRDefault="00A60ED8" w:rsidP="00A60ED8">
      <w:pPr>
        <w:pStyle w:val="Bibliography"/>
        <w:rPr>
          <w:rFonts w:ascii="Arial" w:hAnsi="Arial" w:cs="Arial"/>
        </w:rPr>
      </w:pPr>
      <w:r w:rsidRPr="00A60ED8">
        <w:rPr>
          <w:rFonts w:ascii="Arial" w:hAnsi="Arial" w:cs="Arial"/>
        </w:rPr>
        <w:t>2.</w:t>
      </w:r>
      <w:r w:rsidRPr="00A60ED8">
        <w:rPr>
          <w:rFonts w:ascii="Arial" w:hAnsi="Arial" w:cs="Arial"/>
        </w:rPr>
        <w:tab/>
        <w:t xml:space="preserve">Ho DE, Imai K, King G, Stuart EA. </w:t>
      </w:r>
      <w:r w:rsidRPr="00A60ED8">
        <w:rPr>
          <w:rFonts w:ascii="Arial" w:hAnsi="Arial" w:cs="Arial"/>
          <w:b/>
          <w:bCs/>
        </w:rPr>
        <w:t>MatchIt</w:t>
      </w:r>
      <w:r w:rsidRPr="00A60ED8">
        <w:rPr>
          <w:rFonts w:ascii="Arial" w:hAnsi="Arial" w:cs="Arial"/>
        </w:rPr>
        <w:t xml:space="preserve"> : Nonparametric Preprocessing for Parametric Causal Inference. </w:t>
      </w:r>
      <w:r w:rsidRPr="00A60ED8">
        <w:rPr>
          <w:rFonts w:ascii="Arial" w:hAnsi="Arial" w:cs="Arial"/>
          <w:i/>
          <w:iCs/>
        </w:rPr>
        <w:t>J Stat Soft</w:t>
      </w:r>
      <w:r w:rsidRPr="00A60ED8">
        <w:rPr>
          <w:rFonts w:ascii="Arial" w:hAnsi="Arial" w:cs="Arial"/>
        </w:rPr>
        <w:t>. 2011;42(8). doi:10.18637/jss.v042.i08</w:t>
      </w:r>
    </w:p>
    <w:p w14:paraId="33D70776" w14:textId="77777777" w:rsidR="00A60ED8" w:rsidRPr="00A60ED8" w:rsidRDefault="00A60ED8" w:rsidP="00A60ED8">
      <w:pPr>
        <w:pStyle w:val="Bibliography"/>
        <w:rPr>
          <w:rFonts w:ascii="Arial" w:hAnsi="Arial" w:cs="Arial"/>
        </w:rPr>
      </w:pPr>
      <w:r w:rsidRPr="00A60ED8">
        <w:rPr>
          <w:rFonts w:ascii="Arial" w:hAnsi="Arial" w:cs="Arial"/>
        </w:rPr>
        <w:t>3.</w:t>
      </w:r>
      <w:r w:rsidRPr="00A60ED8">
        <w:rPr>
          <w:rFonts w:ascii="Arial" w:hAnsi="Arial" w:cs="Arial"/>
        </w:rPr>
        <w:tab/>
        <w:t xml:space="preserve">Hao Y, Stuart T, Kowalski MH, et al. Dictionary learning for integrative, multimodal and scalable single-cell analysis. </w:t>
      </w:r>
      <w:r w:rsidRPr="00A60ED8">
        <w:rPr>
          <w:rFonts w:ascii="Arial" w:hAnsi="Arial" w:cs="Arial"/>
          <w:i/>
          <w:iCs/>
        </w:rPr>
        <w:t>Nat Biotechnol</w:t>
      </w:r>
      <w:r w:rsidRPr="00A60ED8">
        <w:rPr>
          <w:rFonts w:ascii="Arial" w:hAnsi="Arial" w:cs="Arial"/>
        </w:rPr>
        <w:t>. Published online May 25, 2023. doi:10.1038/s41587-023-01767-y</w:t>
      </w:r>
    </w:p>
    <w:p w14:paraId="5B45FE93" w14:textId="77777777" w:rsidR="00A60ED8" w:rsidRPr="00A60ED8" w:rsidRDefault="00A60ED8" w:rsidP="00A60ED8">
      <w:pPr>
        <w:pStyle w:val="Bibliography"/>
        <w:rPr>
          <w:rFonts w:ascii="Arial" w:hAnsi="Arial" w:cs="Arial"/>
        </w:rPr>
      </w:pPr>
      <w:r w:rsidRPr="00A60ED8">
        <w:rPr>
          <w:rFonts w:ascii="Arial" w:hAnsi="Arial" w:cs="Arial"/>
        </w:rPr>
        <w:t>4.</w:t>
      </w:r>
      <w:r w:rsidRPr="00A60ED8">
        <w:rPr>
          <w:rFonts w:ascii="Arial" w:hAnsi="Arial" w:cs="Arial"/>
        </w:rPr>
        <w:tab/>
        <w:t xml:space="preserve">Wu H, Kirita Y, Donnelly EL, Humphreys BD. Advantages of Single-Nucleus over Single-Cell RNA Sequencing of Adult Kidney: Rare Cell Types and Novel Cell States Revealed in Fibrosis. </w:t>
      </w:r>
      <w:r w:rsidRPr="00A60ED8">
        <w:rPr>
          <w:rFonts w:ascii="Arial" w:hAnsi="Arial" w:cs="Arial"/>
          <w:i/>
          <w:iCs/>
        </w:rPr>
        <w:t>J Am Soc Nephrol</w:t>
      </w:r>
      <w:r w:rsidRPr="00A60ED8">
        <w:rPr>
          <w:rFonts w:ascii="Arial" w:hAnsi="Arial" w:cs="Arial"/>
        </w:rPr>
        <w:t>. 2019;30(1):23-32. doi:10.1681/ASN.2018090912</w:t>
      </w:r>
    </w:p>
    <w:p w14:paraId="27443CE6" w14:textId="77777777" w:rsidR="00A60ED8" w:rsidRPr="00A60ED8" w:rsidRDefault="00A60ED8" w:rsidP="00A60ED8">
      <w:pPr>
        <w:pStyle w:val="Bibliography"/>
        <w:rPr>
          <w:rFonts w:ascii="Arial" w:hAnsi="Arial" w:cs="Arial"/>
        </w:rPr>
      </w:pPr>
      <w:r w:rsidRPr="00A60ED8">
        <w:rPr>
          <w:rFonts w:ascii="Arial" w:hAnsi="Arial" w:cs="Arial"/>
        </w:rPr>
        <w:t>5.</w:t>
      </w:r>
      <w:r w:rsidRPr="00A60ED8">
        <w:rPr>
          <w:rFonts w:ascii="Arial" w:hAnsi="Arial" w:cs="Arial"/>
        </w:rPr>
        <w:tab/>
        <w:t xml:space="preserve">McGinnis CS, Murrow LM, Gartner ZJ. DoubletFinder: Doublet Detection in Single-Cell RNA Sequencing Data Using Artificial Nearest Neighbors. </w:t>
      </w:r>
      <w:r w:rsidRPr="00A60ED8">
        <w:rPr>
          <w:rFonts w:ascii="Arial" w:hAnsi="Arial" w:cs="Arial"/>
          <w:i/>
          <w:iCs/>
        </w:rPr>
        <w:t>cels</w:t>
      </w:r>
      <w:r w:rsidRPr="00A60ED8">
        <w:rPr>
          <w:rFonts w:ascii="Arial" w:hAnsi="Arial" w:cs="Arial"/>
        </w:rPr>
        <w:t>. 2019;8(4):329-337.e4. doi:10.1016/j.cels.2019.03.003</w:t>
      </w:r>
    </w:p>
    <w:p w14:paraId="7FE101D1" w14:textId="77777777" w:rsidR="00A60ED8" w:rsidRPr="00A60ED8" w:rsidRDefault="00A60ED8" w:rsidP="00A60ED8">
      <w:pPr>
        <w:pStyle w:val="Bibliography"/>
        <w:rPr>
          <w:rFonts w:ascii="Arial" w:hAnsi="Arial" w:cs="Arial"/>
        </w:rPr>
      </w:pPr>
      <w:r w:rsidRPr="00A60ED8">
        <w:rPr>
          <w:rFonts w:ascii="Arial" w:hAnsi="Arial" w:cs="Arial"/>
        </w:rPr>
        <w:t>6.</w:t>
      </w:r>
      <w:r w:rsidRPr="00A60ED8">
        <w:rPr>
          <w:rFonts w:ascii="Arial" w:hAnsi="Arial" w:cs="Arial"/>
        </w:rPr>
        <w:tab/>
        <w:t xml:space="preserve">Hao Y, Hao S, Andersen-Nissen E, et al. Integrated analysis of multimodal single-cell data. </w:t>
      </w:r>
      <w:r w:rsidRPr="00A60ED8">
        <w:rPr>
          <w:rFonts w:ascii="Arial" w:hAnsi="Arial" w:cs="Arial"/>
          <w:i/>
          <w:iCs/>
        </w:rPr>
        <w:t>Cell</w:t>
      </w:r>
      <w:r w:rsidRPr="00A60ED8">
        <w:rPr>
          <w:rFonts w:ascii="Arial" w:hAnsi="Arial" w:cs="Arial"/>
        </w:rPr>
        <w:t>. 2021;184(13):3573-3587.e29. doi:10.1016/j.cell.2021.04.048</w:t>
      </w:r>
    </w:p>
    <w:p w14:paraId="760FACF4" w14:textId="77777777" w:rsidR="00A60ED8" w:rsidRPr="00A60ED8" w:rsidRDefault="00A60ED8" w:rsidP="00A60ED8">
      <w:pPr>
        <w:pStyle w:val="Bibliography"/>
        <w:rPr>
          <w:rFonts w:ascii="Arial" w:hAnsi="Arial" w:cs="Arial"/>
        </w:rPr>
      </w:pPr>
      <w:r w:rsidRPr="00A60ED8">
        <w:rPr>
          <w:rFonts w:ascii="Arial" w:hAnsi="Arial" w:cs="Arial"/>
        </w:rPr>
        <w:t>7.</w:t>
      </w:r>
      <w:r w:rsidRPr="00A60ED8">
        <w:rPr>
          <w:rFonts w:ascii="Arial" w:hAnsi="Arial" w:cs="Arial"/>
        </w:rPr>
        <w:tab/>
        <w:t xml:space="preserve">Hocker JD, Poirion OB, Zhu F, et al. Cardiac cell type-specific gene regulatory programs and disease risk association. </w:t>
      </w:r>
      <w:r w:rsidRPr="00A60ED8">
        <w:rPr>
          <w:rFonts w:ascii="Arial" w:hAnsi="Arial" w:cs="Arial"/>
          <w:i/>
          <w:iCs/>
        </w:rPr>
        <w:t>Sci Adv</w:t>
      </w:r>
      <w:r w:rsidRPr="00A60ED8">
        <w:rPr>
          <w:rFonts w:ascii="Arial" w:hAnsi="Arial" w:cs="Arial"/>
        </w:rPr>
        <w:t>. 2021;7(20):eabf1444. doi:10.1126/sciadv.abf1444</w:t>
      </w:r>
    </w:p>
    <w:p w14:paraId="526AFA8F" w14:textId="77777777" w:rsidR="00A60ED8" w:rsidRPr="00A60ED8" w:rsidRDefault="00A60ED8" w:rsidP="00A60ED8">
      <w:pPr>
        <w:pStyle w:val="Bibliography"/>
        <w:rPr>
          <w:rFonts w:ascii="Arial" w:hAnsi="Arial" w:cs="Arial"/>
        </w:rPr>
      </w:pPr>
      <w:r w:rsidRPr="00A60ED8">
        <w:rPr>
          <w:rFonts w:ascii="Arial" w:hAnsi="Arial" w:cs="Arial"/>
        </w:rPr>
        <w:t>8.</w:t>
      </w:r>
      <w:r w:rsidRPr="00A60ED8">
        <w:rPr>
          <w:rFonts w:ascii="Arial" w:hAnsi="Arial" w:cs="Arial"/>
        </w:rPr>
        <w:tab/>
        <w:t xml:space="preserve">Litviňuková M, Talavera-López C, Maatz H, et al. Cells of the adult human heart. </w:t>
      </w:r>
      <w:r w:rsidRPr="00A60ED8">
        <w:rPr>
          <w:rFonts w:ascii="Arial" w:hAnsi="Arial" w:cs="Arial"/>
          <w:i/>
          <w:iCs/>
        </w:rPr>
        <w:t>Nature</w:t>
      </w:r>
      <w:r w:rsidRPr="00A60ED8">
        <w:rPr>
          <w:rFonts w:ascii="Arial" w:hAnsi="Arial" w:cs="Arial"/>
        </w:rPr>
        <w:t>. 2020;588(7838):466-472. doi:10.1038/s41586-020-2797-4</w:t>
      </w:r>
    </w:p>
    <w:p w14:paraId="6D1B2BC5" w14:textId="77777777" w:rsidR="00A60ED8" w:rsidRPr="00A60ED8" w:rsidRDefault="00A60ED8" w:rsidP="00A60ED8">
      <w:pPr>
        <w:pStyle w:val="Bibliography"/>
        <w:rPr>
          <w:rFonts w:ascii="Arial" w:hAnsi="Arial" w:cs="Arial"/>
        </w:rPr>
      </w:pPr>
      <w:r w:rsidRPr="00A60ED8">
        <w:rPr>
          <w:rFonts w:ascii="Arial" w:hAnsi="Arial" w:cs="Arial"/>
        </w:rPr>
        <w:t>9.</w:t>
      </w:r>
      <w:r w:rsidRPr="00A60ED8">
        <w:rPr>
          <w:rFonts w:ascii="Arial" w:hAnsi="Arial" w:cs="Arial"/>
        </w:rPr>
        <w:tab/>
        <w:t xml:space="preserve">Jin S, Guerrero-Juarez CF, Zhang L, et al. Inference and analysis of cell-cell communication using CellChat. </w:t>
      </w:r>
      <w:r w:rsidRPr="00A60ED8">
        <w:rPr>
          <w:rFonts w:ascii="Arial" w:hAnsi="Arial" w:cs="Arial"/>
          <w:i/>
          <w:iCs/>
        </w:rPr>
        <w:t>Nat Commun</w:t>
      </w:r>
      <w:r w:rsidRPr="00A60ED8">
        <w:rPr>
          <w:rFonts w:ascii="Arial" w:hAnsi="Arial" w:cs="Arial"/>
        </w:rPr>
        <w:t>. 2021;12(1):1088. doi:10.1038/s41467-021-21246-9</w:t>
      </w:r>
    </w:p>
    <w:p w14:paraId="466B0D04" w14:textId="77777777" w:rsidR="00A60ED8" w:rsidRPr="00A60ED8" w:rsidRDefault="00A60ED8" w:rsidP="00A60ED8">
      <w:pPr>
        <w:pStyle w:val="Bibliography"/>
        <w:rPr>
          <w:rFonts w:ascii="Arial" w:hAnsi="Arial" w:cs="Arial"/>
        </w:rPr>
      </w:pPr>
      <w:r w:rsidRPr="00A60ED8">
        <w:rPr>
          <w:rFonts w:ascii="Arial" w:hAnsi="Arial" w:cs="Arial"/>
        </w:rPr>
        <w:t>10.</w:t>
      </w:r>
      <w:r w:rsidRPr="00A60ED8">
        <w:rPr>
          <w:rFonts w:ascii="Arial" w:hAnsi="Arial" w:cs="Arial"/>
        </w:rPr>
        <w:tab/>
        <w:t xml:space="preserve">Ackers-Johnson M, Li PY, Holmes AP, O’Brien SM, Pavlovic D, Foo RS. A Simplified, Langendorff-Free Method for Concomitant Isolation of Viable Cardiac Myocytes and Nonmyocytes From the Adult Mouse Heart. </w:t>
      </w:r>
      <w:r w:rsidRPr="00A60ED8">
        <w:rPr>
          <w:rFonts w:ascii="Arial" w:hAnsi="Arial" w:cs="Arial"/>
          <w:i/>
          <w:iCs/>
        </w:rPr>
        <w:t>Circ Res</w:t>
      </w:r>
      <w:r w:rsidRPr="00A60ED8">
        <w:rPr>
          <w:rFonts w:ascii="Arial" w:hAnsi="Arial" w:cs="Arial"/>
        </w:rPr>
        <w:t>. 2016;119(8):909-920. doi:10.1161/CIRCRESAHA.116.309202</w:t>
      </w:r>
    </w:p>
    <w:p w14:paraId="13DF3463" w14:textId="77777777" w:rsidR="00A60ED8" w:rsidRPr="00A60ED8" w:rsidRDefault="00A60ED8" w:rsidP="00A60ED8">
      <w:pPr>
        <w:pStyle w:val="Bibliography"/>
        <w:rPr>
          <w:rFonts w:ascii="Arial" w:hAnsi="Arial" w:cs="Arial"/>
        </w:rPr>
      </w:pPr>
      <w:r w:rsidRPr="00A60ED8">
        <w:rPr>
          <w:rFonts w:ascii="Arial" w:hAnsi="Arial" w:cs="Arial"/>
        </w:rPr>
        <w:t>11.</w:t>
      </w:r>
      <w:r w:rsidRPr="00A60ED8">
        <w:rPr>
          <w:rFonts w:ascii="Arial" w:hAnsi="Arial" w:cs="Arial"/>
        </w:rPr>
        <w:tab/>
        <w:t xml:space="preserve">Covarrubias R, Ismahil MA, Rokosh G, et al. Optimized protocols for isolation, fixation, and flow cytometric characterization of leukocytes in ischemic hearts. </w:t>
      </w:r>
      <w:r w:rsidRPr="00A60ED8">
        <w:rPr>
          <w:rFonts w:ascii="Arial" w:hAnsi="Arial" w:cs="Arial"/>
          <w:i/>
          <w:iCs/>
        </w:rPr>
        <w:t>Am J Physiol Heart Circ Physiol</w:t>
      </w:r>
      <w:r w:rsidRPr="00A60ED8">
        <w:rPr>
          <w:rFonts w:ascii="Arial" w:hAnsi="Arial" w:cs="Arial"/>
        </w:rPr>
        <w:t>. 2019;317(3):H658-H666. doi:10.1152/ajpheart.00137.2019</w:t>
      </w:r>
    </w:p>
    <w:p w14:paraId="6EB2FD67" w14:textId="7E268709" w:rsidR="00A60ED8" w:rsidRPr="00A60ED8" w:rsidRDefault="00A60ED8">
      <w:pPr>
        <w:rPr>
          <w:rFonts w:ascii="Arial" w:hAnsi="Arial" w:cs="Arial"/>
          <w:b/>
          <w:bCs/>
        </w:rPr>
      </w:pPr>
      <w:r>
        <w:rPr>
          <w:rFonts w:ascii="Arial" w:hAnsi="Arial" w:cs="Arial"/>
          <w:b/>
          <w:bCs/>
        </w:rPr>
        <w:lastRenderedPageBreak/>
        <w:fldChar w:fldCharType="end"/>
      </w:r>
    </w:p>
    <w:sectPr w:rsidR="00A60ED8" w:rsidRPr="00A60E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EF5E9" w14:textId="77777777" w:rsidR="004C56F3" w:rsidRDefault="004C56F3" w:rsidP="00A60ED8">
      <w:r>
        <w:separator/>
      </w:r>
    </w:p>
  </w:endnote>
  <w:endnote w:type="continuationSeparator" w:id="0">
    <w:p w14:paraId="53F2FE0A" w14:textId="77777777" w:rsidR="004C56F3" w:rsidRDefault="004C56F3" w:rsidP="00A60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20603050405020304"/>
    <w:charset w:val="00"/>
    <w:family w:val="roman"/>
    <w:pitch w:val="variable"/>
    <w:sig w:usb0="E0000AFF" w:usb1="500078FF" w:usb2="00000021" w:usb3="00000000" w:csb0="000001BF" w:csb1="00000000"/>
  </w:font>
  <w:font w:name="Noto Serif CJK SC">
    <w:altName w:val="Cambria"/>
    <w:charset w:val="86"/>
    <w:family w:val="roman"/>
    <w:pitch w:val="default"/>
    <w:sig w:usb0="30000083" w:usb1="2BDF3C10" w:usb2="00000016" w:usb3="00000000" w:csb0="602E0107" w:csb1="00000000"/>
  </w:font>
  <w:font w:name="Lohit Devanagari">
    <w:altName w:val="Times New Roman"/>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0206F" w14:textId="77777777" w:rsidR="004C56F3" w:rsidRDefault="004C56F3" w:rsidP="00A60ED8">
      <w:r>
        <w:separator/>
      </w:r>
    </w:p>
  </w:footnote>
  <w:footnote w:type="continuationSeparator" w:id="0">
    <w:p w14:paraId="58D10BD5" w14:textId="77777777" w:rsidR="004C56F3" w:rsidRDefault="004C56F3" w:rsidP="00A60E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752"/>
    <w:rsid w:val="001D54C7"/>
    <w:rsid w:val="00243AFC"/>
    <w:rsid w:val="004C56F3"/>
    <w:rsid w:val="005D4FFD"/>
    <w:rsid w:val="006572C4"/>
    <w:rsid w:val="00735C48"/>
    <w:rsid w:val="008643B0"/>
    <w:rsid w:val="008E6752"/>
    <w:rsid w:val="009B13A3"/>
    <w:rsid w:val="009B31F0"/>
    <w:rsid w:val="00A60ED8"/>
    <w:rsid w:val="00C66ED3"/>
    <w:rsid w:val="00CF1C86"/>
    <w:rsid w:val="00D005EB"/>
    <w:rsid w:val="00F26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BC5687"/>
  <w15:chartTrackingRefBased/>
  <w15:docId w15:val="{F250CFF3-C3F1-4CB3-A636-EF6A1743D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752"/>
    <w:pPr>
      <w:suppressAutoHyphens/>
      <w:overflowPunct w:val="0"/>
    </w:pPr>
    <w:rPr>
      <w:rFonts w:ascii="Liberation Serif" w:eastAsia="Noto Serif CJK SC" w:hAnsi="Liberation Serif" w:cs="Lohit Devanagari"/>
      <w:sz w:val="24"/>
      <w:szCs w:val="24"/>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qFormat/>
    <w:rsid w:val="008E6752"/>
    <w:rPr>
      <w:color w:val="000080"/>
      <w:u w:val="single"/>
    </w:rPr>
  </w:style>
  <w:style w:type="paragraph" w:styleId="Header">
    <w:name w:val="header"/>
    <w:basedOn w:val="Normal"/>
    <w:link w:val="HeaderChar"/>
    <w:uiPriority w:val="99"/>
    <w:unhideWhenUsed/>
    <w:rsid w:val="00A60ED8"/>
    <w:pPr>
      <w:tabs>
        <w:tab w:val="center" w:pos="4153"/>
        <w:tab w:val="right" w:pos="8306"/>
      </w:tabs>
      <w:snapToGrid w:val="0"/>
      <w:jc w:val="center"/>
    </w:pPr>
    <w:rPr>
      <w:rFonts w:cs="Mangal"/>
      <w:sz w:val="18"/>
      <w:szCs w:val="16"/>
    </w:rPr>
  </w:style>
  <w:style w:type="character" w:customStyle="1" w:styleId="HeaderChar">
    <w:name w:val="Header Char"/>
    <w:basedOn w:val="DefaultParagraphFont"/>
    <w:link w:val="Header"/>
    <w:uiPriority w:val="99"/>
    <w:rsid w:val="00A60ED8"/>
    <w:rPr>
      <w:rFonts w:ascii="Liberation Serif" w:eastAsia="Noto Serif CJK SC" w:hAnsi="Liberation Serif" w:cs="Mangal"/>
      <w:sz w:val="18"/>
      <w:szCs w:val="16"/>
      <w:lang w:bidi="hi-IN"/>
    </w:rPr>
  </w:style>
  <w:style w:type="paragraph" w:styleId="Footer">
    <w:name w:val="footer"/>
    <w:basedOn w:val="Normal"/>
    <w:link w:val="FooterChar"/>
    <w:uiPriority w:val="99"/>
    <w:unhideWhenUsed/>
    <w:rsid w:val="00A60ED8"/>
    <w:pPr>
      <w:tabs>
        <w:tab w:val="center" w:pos="4153"/>
        <w:tab w:val="right" w:pos="8306"/>
      </w:tabs>
      <w:snapToGrid w:val="0"/>
    </w:pPr>
    <w:rPr>
      <w:rFonts w:cs="Mangal"/>
      <w:sz w:val="18"/>
      <w:szCs w:val="16"/>
    </w:rPr>
  </w:style>
  <w:style w:type="character" w:customStyle="1" w:styleId="FooterChar">
    <w:name w:val="Footer Char"/>
    <w:basedOn w:val="DefaultParagraphFont"/>
    <w:link w:val="Footer"/>
    <w:uiPriority w:val="99"/>
    <w:rsid w:val="00A60ED8"/>
    <w:rPr>
      <w:rFonts w:ascii="Liberation Serif" w:eastAsia="Noto Serif CJK SC" w:hAnsi="Liberation Serif" w:cs="Mangal"/>
      <w:sz w:val="18"/>
      <w:szCs w:val="16"/>
      <w:lang w:bidi="hi-IN"/>
    </w:rPr>
  </w:style>
  <w:style w:type="paragraph" w:styleId="Bibliography">
    <w:name w:val="Bibliography"/>
    <w:basedOn w:val="Normal"/>
    <w:next w:val="Normal"/>
    <w:uiPriority w:val="37"/>
    <w:unhideWhenUsed/>
    <w:rsid w:val="00A60ED8"/>
    <w:pPr>
      <w:tabs>
        <w:tab w:val="left" w:pos="384"/>
      </w:tabs>
      <w:spacing w:after="240"/>
      <w:ind w:left="384" w:hanging="384"/>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zimuth.hubmapconsortium.org/" TargetMode="External"/><Relationship Id="rId3" Type="http://schemas.openxmlformats.org/officeDocument/2006/relationships/webSettings" Target="webSettings.xml"/><Relationship Id="rId7" Type="http://schemas.openxmlformats.org/officeDocument/2006/relationships/hyperlink" Target="https://zhanghao-njmu.github.io/SC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enzhi817327@163.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github.com/sqjin/CellCha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5879</Words>
  <Characters>33511</Characters>
  <Application>Microsoft Office Word</Application>
  <DocSecurity>0</DocSecurity>
  <Lines>279</Lines>
  <Paragraphs>78</Paragraphs>
  <ScaleCrop>false</ScaleCrop>
  <Company/>
  <LinksUpToDate>false</LinksUpToDate>
  <CharactersWithSpaces>39312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 YIM</dc:creator>
  <cp:keywords/>
  <dc:description/>
  <cp:lastModifiedBy>WY YIM</cp:lastModifiedBy>
  <cp:revision>9</cp:revision>
  <dcterms:created xsi:type="dcterms:W3CDTF">2024-01-23T15:24:00Z</dcterms:created>
  <dcterms:modified xsi:type="dcterms:W3CDTF">2024-04-18T08:15:00Z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id="bS4oXfwh"/&gt;&lt;style id="http://www.zotero.org/styles/american-medical-association" hasBibliography="1" bibliographyStyleHasBeenSet="1"/&gt;&lt;prefs&gt;&lt;pref name="fieldType" value="Field"/&gt;&lt;/prefs&gt;&lt;/data&gt;</vt:lpwstr>
  </property>
</Properties>
</file>