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B00" w14:textId="4AC0A52A" w:rsidR="00F150E2" w:rsidRPr="003D36B9" w:rsidRDefault="001E4272">
      <w:pPr>
        <w:rPr>
          <w:i/>
          <w:iCs/>
        </w:rPr>
      </w:pPr>
      <w:r w:rsidRPr="003D36B9">
        <w:rPr>
          <w:rFonts w:hint="eastAsia"/>
          <w:i/>
          <w:iCs/>
        </w:rPr>
        <w:t>Supplement to:</w:t>
      </w:r>
    </w:p>
    <w:p w14:paraId="4F2DE7E6" w14:textId="77777777" w:rsidR="001E4272" w:rsidRDefault="001E4272"/>
    <w:p w14:paraId="20D748E0" w14:textId="77777777" w:rsidR="001E4272" w:rsidRPr="00650A0E" w:rsidRDefault="001E4272" w:rsidP="001E4272">
      <w:pPr>
        <w:jc w:val="both"/>
        <w:rPr>
          <w:sz w:val="28"/>
          <w:szCs w:val="28"/>
        </w:rPr>
      </w:pPr>
      <w:r w:rsidRPr="00650A0E">
        <w:rPr>
          <w:b/>
          <w:bCs/>
          <w:sz w:val="28"/>
          <w:szCs w:val="28"/>
        </w:rPr>
        <w:t>Stage dependence of Elton’s biotic resistance hypothesis of biological invasion</w:t>
      </w:r>
    </w:p>
    <w:p w14:paraId="165DA032" w14:textId="77777777" w:rsidR="001E4272" w:rsidRDefault="001E4272"/>
    <w:p w14:paraId="6A99CCD5" w14:textId="77777777" w:rsidR="001E4272" w:rsidRDefault="001E4272"/>
    <w:p w14:paraId="364D896D" w14:textId="548B33C5" w:rsidR="001E4272" w:rsidRDefault="001E4272" w:rsidP="001E4272">
      <w:pPr>
        <w:spacing w:before="0" w:after="160" w:line="259" w:lineRule="auto"/>
      </w:pPr>
      <w:r>
        <w:br w:type="page"/>
      </w:r>
    </w:p>
    <w:p w14:paraId="579DEA2C" w14:textId="77777777" w:rsidR="001E4272" w:rsidRDefault="001E4272" w:rsidP="001E4272">
      <w:pPr>
        <w:tabs>
          <w:tab w:val="left" w:pos="4111"/>
        </w:tabs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5C4586C3" wp14:editId="724FD8BA">
            <wp:extent cx="5271770" cy="3434715"/>
            <wp:effectExtent l="0" t="0" r="5080" b="0"/>
            <wp:docPr id="78714402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434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D7013" w14:textId="71F3C127" w:rsidR="001E4272" w:rsidRDefault="001E4272" w:rsidP="001E4272">
      <w:pPr>
        <w:tabs>
          <w:tab w:val="left" w:pos="4111"/>
        </w:tabs>
        <w:spacing w:line="360" w:lineRule="auto"/>
        <w:jc w:val="both"/>
      </w:pPr>
      <w:bookmarkStart w:id="0" w:name="_Hlk159975286"/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1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5E1518">
        <w:rPr>
          <w:rFonts w:hint="eastAsia"/>
          <w:iCs/>
          <w:kern w:val="0"/>
          <w:sz w:val="20"/>
          <w14:ligatures w14:val="none"/>
        </w:rPr>
        <w:t xml:space="preserve">The raincloud plots </w:t>
      </w:r>
      <w:bookmarkEnd w:id="0"/>
      <w:r>
        <w:rPr>
          <w:rFonts w:hint="eastAsia"/>
          <w:iCs/>
          <w:kern w:val="0"/>
          <w:sz w:val="20"/>
          <w14:ligatures w14:val="none"/>
        </w:rPr>
        <w:t>depict the distribution and variation of the nine variables used to predict alien species presence and richness across different plot types</w:t>
      </w:r>
      <w:r>
        <w:rPr>
          <w:iCs/>
          <w:kern w:val="0"/>
          <w:sz w:val="20"/>
          <w14:ligatures w14:val="none"/>
        </w:rPr>
        <w:t>, namely,</w:t>
      </w:r>
      <w:r>
        <w:rPr>
          <w:rFonts w:hint="eastAsia"/>
          <w:iCs/>
          <w:kern w:val="0"/>
          <w:sz w:val="20"/>
          <w14:ligatures w14:val="none"/>
        </w:rPr>
        <w:t xml:space="preserve"> </w:t>
      </w:r>
      <w:r w:rsidRPr="00E92C74">
        <w:rPr>
          <w:iCs/>
          <w:kern w:val="0"/>
          <w:sz w:val="20"/>
          <w14:ligatures w14:val="none"/>
        </w:rPr>
        <w:t>non-invaded plot</w:t>
      </w:r>
      <w:r>
        <w:rPr>
          <w:iCs/>
          <w:kern w:val="0"/>
          <w:sz w:val="20"/>
          <w14:ligatures w14:val="none"/>
        </w:rPr>
        <w:t>s</w:t>
      </w:r>
      <w:r w:rsidRPr="00E92C74">
        <w:rPr>
          <w:iCs/>
          <w:kern w:val="0"/>
          <w:sz w:val="20"/>
          <w14:ligatures w14:val="none"/>
        </w:rPr>
        <w:t>, NAT plot</w:t>
      </w:r>
      <w:r>
        <w:rPr>
          <w:iCs/>
          <w:kern w:val="0"/>
          <w:sz w:val="20"/>
          <w14:ligatures w14:val="none"/>
        </w:rPr>
        <w:t>s</w:t>
      </w:r>
      <w:r w:rsidRPr="00E92C74">
        <w:rPr>
          <w:iCs/>
          <w:kern w:val="0"/>
          <w:sz w:val="20"/>
          <w14:ligatures w14:val="none"/>
        </w:rPr>
        <w:t xml:space="preserve"> (plots invaded by naturalized species), INV plot</w:t>
      </w:r>
      <w:r>
        <w:rPr>
          <w:iCs/>
          <w:kern w:val="0"/>
          <w:sz w:val="20"/>
          <w14:ligatures w14:val="none"/>
        </w:rPr>
        <w:t>s</w:t>
      </w:r>
      <w:r w:rsidRPr="00E92C74">
        <w:rPr>
          <w:iCs/>
          <w:kern w:val="0"/>
          <w:sz w:val="20"/>
          <w14:ligatures w14:val="none"/>
        </w:rPr>
        <w:t xml:space="preserve"> (plots invaded by invasive species), and NAT + INV plot</w:t>
      </w:r>
      <w:r>
        <w:rPr>
          <w:iCs/>
          <w:kern w:val="0"/>
          <w:sz w:val="20"/>
          <w14:ligatures w14:val="none"/>
        </w:rPr>
        <w:t>s</w:t>
      </w:r>
      <w:r w:rsidRPr="00E92C74">
        <w:rPr>
          <w:iCs/>
          <w:kern w:val="0"/>
          <w:sz w:val="20"/>
          <w14:ligatures w14:val="none"/>
        </w:rPr>
        <w:t xml:space="preserve"> (plots invaded by both naturalized and invasive species)</w:t>
      </w:r>
      <w:r>
        <w:rPr>
          <w:rFonts w:hint="eastAsia"/>
          <w:iCs/>
          <w:kern w:val="0"/>
          <w:sz w:val="20"/>
          <w14:ligatures w14:val="none"/>
        </w:rPr>
        <w:t>.</w:t>
      </w:r>
      <w:r>
        <w:rPr>
          <w:iCs/>
          <w:kern w:val="0"/>
          <w:sz w:val="20"/>
          <w14:ligatures w14:val="none"/>
        </w:rPr>
        <w:t xml:space="preserve"> S</w:t>
      </w:r>
      <w:r>
        <w:rPr>
          <w:rFonts w:hint="eastAsia"/>
          <w:iCs/>
          <w:kern w:val="0"/>
          <w:sz w:val="20"/>
          <w14:ligatures w14:val="none"/>
        </w:rPr>
        <w:t xml:space="preserve">ee Table 1 in </w:t>
      </w:r>
      <w:r w:rsidR="00C17E8A">
        <w:rPr>
          <w:rFonts w:hint="eastAsia"/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 xml:space="preserve">main text for </w:t>
      </w:r>
      <w:r>
        <w:rPr>
          <w:iCs/>
          <w:kern w:val="0"/>
          <w:sz w:val="20"/>
          <w14:ligatures w14:val="none"/>
        </w:rPr>
        <w:t>the</w:t>
      </w:r>
      <w:r>
        <w:rPr>
          <w:rFonts w:hint="eastAsia"/>
          <w:iCs/>
          <w:kern w:val="0"/>
          <w:sz w:val="20"/>
          <w14:ligatures w14:val="none"/>
        </w:rPr>
        <w:t xml:space="preserve"> detailed description</w:t>
      </w:r>
      <w:r>
        <w:rPr>
          <w:iCs/>
          <w:kern w:val="0"/>
          <w:sz w:val="20"/>
          <w14:ligatures w14:val="none"/>
        </w:rPr>
        <w:t xml:space="preserve"> of each variable.</w:t>
      </w:r>
      <w:r>
        <w:rPr>
          <w:rFonts w:hint="eastAsia"/>
          <w:iCs/>
          <w:kern w:val="0"/>
          <w:sz w:val="20"/>
          <w14:ligatures w14:val="none"/>
        </w:rPr>
        <w:t xml:space="preserve"> Each raincloud plot </w:t>
      </w:r>
      <w:r>
        <w:rPr>
          <w:iCs/>
          <w:kern w:val="0"/>
          <w:sz w:val="20"/>
          <w14:ligatures w14:val="none"/>
        </w:rPr>
        <w:t>displays</w:t>
      </w:r>
      <w:r w:rsidRPr="005E1518">
        <w:rPr>
          <w:rFonts w:hint="eastAsia"/>
          <w:iCs/>
          <w:kern w:val="0"/>
          <w:sz w:val="20"/>
          <w14:ligatures w14:val="none"/>
        </w:rPr>
        <w:t xml:space="preserve"> individual data points with overlaid means</w:t>
      </w:r>
      <w:r>
        <w:rPr>
          <w:rFonts w:hint="eastAsia"/>
          <w:iCs/>
          <w:kern w:val="0"/>
          <w:sz w:val="20"/>
          <w14:ligatures w14:val="none"/>
        </w:rPr>
        <w:t xml:space="preserve"> (left), </w:t>
      </w:r>
      <w:r w:rsidRPr="005E1518">
        <w:rPr>
          <w:rFonts w:hint="eastAsia"/>
          <w:iCs/>
          <w:kern w:val="0"/>
          <w:sz w:val="20"/>
          <w14:ligatures w14:val="none"/>
        </w:rPr>
        <w:t xml:space="preserve">a box plot indicating median and </w:t>
      </w:r>
      <w:r w:rsidRPr="005E1518">
        <w:rPr>
          <w:iCs/>
          <w:kern w:val="0"/>
          <w:sz w:val="20"/>
          <w14:ligatures w14:val="none"/>
        </w:rPr>
        <w:t>interquartile</w:t>
      </w:r>
      <w:r w:rsidRPr="005E1518">
        <w:rPr>
          <w:rFonts w:hint="eastAsia"/>
          <w:iCs/>
          <w:kern w:val="0"/>
          <w:sz w:val="20"/>
          <w14:ligatures w14:val="none"/>
        </w:rPr>
        <w:t xml:space="preserve"> range (middle),</w:t>
      </w:r>
      <w:r>
        <w:rPr>
          <w:rFonts w:hint="eastAsia"/>
          <w:iCs/>
          <w:kern w:val="0"/>
          <w:sz w:val="20"/>
          <w14:ligatures w14:val="none"/>
        </w:rPr>
        <w:t xml:space="preserve"> and </w:t>
      </w:r>
      <w:r w:rsidRPr="005E1518">
        <w:rPr>
          <w:rFonts w:hint="eastAsia"/>
          <w:iCs/>
          <w:kern w:val="0"/>
          <w:sz w:val="20"/>
          <w14:ligatures w14:val="none"/>
        </w:rPr>
        <w:t>a density plot (</w:t>
      </w:r>
      <w:r>
        <w:rPr>
          <w:rFonts w:hint="eastAsia"/>
          <w:iCs/>
          <w:kern w:val="0"/>
          <w:sz w:val="20"/>
          <w14:ligatures w14:val="none"/>
        </w:rPr>
        <w:t>right</w:t>
      </w:r>
      <w:r w:rsidRPr="005E1518">
        <w:rPr>
          <w:rFonts w:hint="eastAsia"/>
          <w:iCs/>
          <w:kern w:val="0"/>
          <w:sz w:val="20"/>
          <w14:ligatures w14:val="none"/>
        </w:rPr>
        <w:t xml:space="preserve">). </w:t>
      </w:r>
      <w:r w:rsidRPr="005E1518">
        <w:rPr>
          <w:iCs/>
          <w:kern w:val="0"/>
          <w:sz w:val="20"/>
          <w14:ligatures w14:val="none"/>
        </w:rPr>
        <w:t>Additionally, the mean</w:t>
      </w:r>
      <w:r>
        <w:rPr>
          <w:rFonts w:hint="eastAsia"/>
          <w:iCs/>
          <w:kern w:val="0"/>
          <w:sz w:val="20"/>
          <w14:ligatures w14:val="none"/>
        </w:rPr>
        <w:t xml:space="preserve"> of each </w:t>
      </w:r>
      <w:r>
        <w:rPr>
          <w:iCs/>
          <w:kern w:val="0"/>
          <w:sz w:val="20"/>
          <w14:ligatures w14:val="none"/>
        </w:rPr>
        <w:t>variable</w:t>
      </w:r>
      <w:r w:rsidRPr="005E1518">
        <w:rPr>
          <w:iCs/>
          <w:kern w:val="0"/>
          <w:sz w:val="20"/>
          <w14:ligatures w14:val="none"/>
        </w:rPr>
        <w:t xml:space="preserve"> </w:t>
      </w:r>
      <w:r>
        <w:rPr>
          <w:rFonts w:hint="eastAsia"/>
          <w:iCs/>
          <w:kern w:val="0"/>
          <w:sz w:val="20"/>
          <w14:ligatures w14:val="none"/>
        </w:rPr>
        <w:t xml:space="preserve">for each plot type </w:t>
      </w:r>
      <w:r w:rsidRPr="005E1518">
        <w:rPr>
          <w:iCs/>
          <w:kern w:val="0"/>
          <w:sz w:val="20"/>
          <w14:ligatures w14:val="none"/>
        </w:rPr>
        <w:t xml:space="preserve">were </w:t>
      </w:r>
      <w:r>
        <w:rPr>
          <w:rFonts w:hint="eastAsia"/>
          <w:iCs/>
          <w:kern w:val="0"/>
          <w:sz w:val="20"/>
          <w14:ligatures w14:val="none"/>
        </w:rPr>
        <w:t>marked</w:t>
      </w:r>
      <w:r w:rsidRPr="005E1518">
        <w:rPr>
          <w:iCs/>
          <w:kern w:val="0"/>
          <w:sz w:val="20"/>
          <w14:ligatures w14:val="none"/>
        </w:rPr>
        <w:t>.</w:t>
      </w:r>
    </w:p>
    <w:p w14:paraId="67B39602" w14:textId="7899FC96" w:rsidR="001E4272" w:rsidRDefault="003B7A00" w:rsidP="003B7A00">
      <w:pPr>
        <w:tabs>
          <w:tab w:val="left" w:pos="4111"/>
        </w:tabs>
        <w:spacing w:line="360" w:lineRule="auto"/>
      </w:pPr>
      <w:r w:rsidRPr="003B7A00">
        <w:rPr>
          <w:noProof/>
        </w:rPr>
        <w:drawing>
          <wp:inline distT="0" distB="0" distL="0" distR="0" wp14:anchorId="73A8B8B7" wp14:editId="73293BEA">
            <wp:extent cx="5272405" cy="5326380"/>
            <wp:effectExtent l="0" t="0" r="4445" b="7620"/>
            <wp:docPr id="210089530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326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Hlk140787407"/>
      <w:r w:rsidR="001E4272" w:rsidRPr="00B11A5C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="001E4272" w:rsidRPr="00B11A5C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="001E4272" w:rsidRPr="00B11A5C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="001E4272" w:rsidRPr="00B11A5C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 w:rsidR="001E4272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2</w:t>
      </w:r>
      <w:r w:rsidR="001E4272" w:rsidRPr="00B11A5C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 Correlogram show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ing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 the Pearson correlations among plot area (m</w:t>
      </w:r>
      <w:r w:rsidR="001E4272" w:rsidRPr="00F05661">
        <w:rPr>
          <w:iCs/>
          <w:color w:val="000000" w:themeColor="text1"/>
          <w:kern w:val="0"/>
          <w:sz w:val="20"/>
          <w:szCs w:val="18"/>
          <w:vertAlign w:val="superscript"/>
          <w14:ligatures w14:val="none"/>
        </w:rPr>
        <w:t>2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, log-transformed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>), elevation (m),</w:t>
      </w:r>
      <w:r w:rsidR="001E4272" w:rsidRPr="00040F2A">
        <w:t xml:space="preserve"> </w:t>
      </w:r>
      <w:r w:rsidR="001E4272" w:rsidRPr="00040F2A">
        <w:rPr>
          <w:iCs/>
          <w:color w:val="000000" w:themeColor="text1"/>
          <w:kern w:val="0"/>
          <w:sz w:val="20"/>
          <w:szCs w:val="18"/>
          <w14:ligatures w14:val="none"/>
        </w:rPr>
        <w:t xml:space="preserve">mean annual 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>temperature (℃),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total annual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 precipitation (mm),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soil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 pH (pH)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 xml:space="preserve"> and 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>population density (people/km</w:t>
      </w:r>
      <w:r w:rsidR="001E4272" w:rsidRPr="00F05661">
        <w:rPr>
          <w:iCs/>
          <w:color w:val="000000" w:themeColor="text1"/>
          <w:kern w:val="0"/>
          <w:sz w:val="20"/>
          <w:szCs w:val="18"/>
          <w:vertAlign w:val="superscript"/>
          <w14:ligatures w14:val="none"/>
        </w:rPr>
        <w:t>2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, log(x+1)-transformed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>) across the four plot types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, namely, </w:t>
      </w:r>
      <w:bookmarkStart w:id="2" w:name="_Hlk159975081"/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non-invaded plot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s (n = 4,630)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, NAT plot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(plots invaded by naturalized species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, n = 2,157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), INV plot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(plots invaded by invasive species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, n = 1,776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), and NAT + INV plot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(plots invaded by both naturalized and invasive species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, n = 3493</w:t>
      </w:r>
      <w:r w:rsidR="001E4272"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)</w:t>
      </w:r>
      <w:bookmarkEnd w:id="2"/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. The lower triangle of the </w:t>
      </w:r>
      <w:r w:rsidR="001E4272">
        <w:rPr>
          <w:iCs/>
          <w:color w:val="000000" w:themeColor="text1"/>
          <w:kern w:val="0"/>
          <w:sz w:val="20"/>
          <w:szCs w:val="18"/>
          <w14:ligatures w14:val="none"/>
        </w:rPr>
        <w:t>figure</w:t>
      </w:r>
      <w:r w:rsidR="001E4272" w:rsidRPr="00B11A5C">
        <w:rPr>
          <w:iCs/>
          <w:color w:val="000000" w:themeColor="text1"/>
          <w:kern w:val="0"/>
          <w:sz w:val="20"/>
          <w:szCs w:val="18"/>
          <w14:ligatures w14:val="none"/>
        </w:rPr>
        <w:t xml:space="preserve"> shows the pairwise linear regression lines, while the upper triangle shows the Pearson correlation coefficients of each pair.</w:t>
      </w:r>
      <w:bookmarkEnd w:id="1"/>
      <w:r w:rsidR="001E4272">
        <w:br w:type="page"/>
      </w:r>
    </w:p>
    <w:p w14:paraId="6F8EAC95" w14:textId="77777777" w:rsidR="001E4272" w:rsidRPr="00D27B4D" w:rsidRDefault="001E4272" w:rsidP="001E4272">
      <w:pPr>
        <w:tabs>
          <w:tab w:val="left" w:pos="4111"/>
        </w:tabs>
        <w:jc w:val="center"/>
      </w:pPr>
      <w:r>
        <w:rPr>
          <w:noProof/>
          <w:lang w:eastAsia="en-GB"/>
        </w:rPr>
        <w:drawing>
          <wp:inline distT="0" distB="0" distL="0" distR="0" wp14:anchorId="7A616007" wp14:editId="04ADF5F7">
            <wp:extent cx="4251325" cy="4441190"/>
            <wp:effectExtent l="0" t="0" r="0" b="0"/>
            <wp:docPr id="98226326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325" cy="4441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7FB282" w14:textId="77777777" w:rsidR="001E4272" w:rsidRDefault="001E4272" w:rsidP="001E4272">
      <w:pPr>
        <w:spacing w:before="200" w:line="360" w:lineRule="auto"/>
        <w:jc w:val="both"/>
        <w:rPr>
          <w:iCs/>
          <w:color w:val="000000" w:themeColor="text1"/>
          <w:kern w:val="0"/>
          <w:sz w:val="20"/>
          <w:szCs w:val="18"/>
          <w14:ligatures w14:val="none"/>
        </w:rPr>
      </w:pPr>
      <w:bookmarkStart w:id="3" w:name="_Hlk140606784"/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3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bookmarkEnd w:id="3"/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053F34">
        <w:rPr>
          <w:iCs/>
          <w:color w:val="000000" w:themeColor="text1"/>
          <w:kern w:val="0"/>
          <w:sz w:val="20"/>
          <w:szCs w:val="18"/>
          <w14:ligatures w14:val="none"/>
        </w:rPr>
        <w:t xml:space="preserve">Plot 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of</w:t>
      </w:r>
      <w:r w:rsidRPr="00053F34">
        <w:rPr>
          <w:iCs/>
          <w:color w:val="000000" w:themeColor="text1"/>
          <w:kern w:val="0"/>
          <w:sz w:val="20"/>
          <w:szCs w:val="18"/>
          <w14:ligatures w14:val="none"/>
        </w:rPr>
        <w:t xml:space="preserve"> the principal component analysis of </w:t>
      </w:r>
      <w:r w:rsidRPr="00596692">
        <w:rPr>
          <w:iCs/>
          <w:color w:val="000000" w:themeColor="text1"/>
          <w:kern w:val="0"/>
          <w:sz w:val="20"/>
          <w:szCs w:val="18"/>
          <w14:ligatures w14:val="none"/>
        </w:rPr>
        <w:t xml:space="preserve">mean annual </w:t>
      </w:r>
      <w:r w:rsidRPr="00053F34">
        <w:rPr>
          <w:iCs/>
          <w:color w:val="000000" w:themeColor="text1"/>
          <w:kern w:val="0"/>
          <w:sz w:val="20"/>
          <w:szCs w:val="18"/>
          <w14:ligatures w14:val="none"/>
        </w:rPr>
        <w:t xml:space="preserve">temperature, 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total annual </w:t>
      </w:r>
      <w:r w:rsidRPr="00053F34">
        <w:rPr>
          <w:iCs/>
          <w:color w:val="000000" w:themeColor="text1"/>
          <w:kern w:val="0"/>
          <w:sz w:val="20"/>
          <w:szCs w:val="18"/>
          <w14:ligatures w14:val="none"/>
        </w:rPr>
        <w:t>precipitation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,</w:t>
      </w:r>
      <w:r w:rsidRPr="00053F34">
        <w:rPr>
          <w:iCs/>
          <w:color w:val="000000" w:themeColor="text1"/>
          <w:kern w:val="0"/>
          <w:sz w:val="20"/>
          <w:szCs w:val="18"/>
          <w14:ligatures w14:val="none"/>
        </w:rPr>
        <w:t xml:space="preserve"> and elevation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 using data 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of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 all </w:t>
      </w:r>
      <w:r w:rsidRPr="005114EC">
        <w:rPr>
          <w:iCs/>
          <w:color w:val="000000" w:themeColor="text1"/>
          <w:kern w:val="0"/>
          <w:sz w:val="20"/>
          <w:szCs w:val="18"/>
          <w14:ligatures w14:val="none"/>
        </w:rPr>
        <w:t>12,056 plots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.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br w:type="page"/>
      </w:r>
    </w:p>
    <w:p w14:paraId="70F01218" w14:textId="77777777" w:rsidR="001E4272" w:rsidRDefault="001E4272" w:rsidP="001E4272">
      <w:pPr>
        <w:tabs>
          <w:tab w:val="left" w:pos="4111"/>
        </w:tabs>
        <w:jc w:val="center"/>
      </w:pPr>
      <w:r>
        <w:rPr>
          <w:noProof/>
          <w:lang w:eastAsia="en-GB"/>
        </w:rPr>
        <w:drawing>
          <wp:inline distT="0" distB="0" distL="0" distR="0" wp14:anchorId="20C1BD4E" wp14:editId="43881222">
            <wp:extent cx="5271770" cy="3569970"/>
            <wp:effectExtent l="0" t="0" r="5080" b="0"/>
            <wp:docPr id="140285114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19" cy="3573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F32000" w14:textId="77777777" w:rsidR="001E4272" w:rsidRDefault="001E4272" w:rsidP="001E4272">
      <w:pPr>
        <w:tabs>
          <w:tab w:val="left" w:pos="4111"/>
        </w:tabs>
        <w:spacing w:line="360" w:lineRule="auto"/>
        <w:jc w:val="both"/>
      </w:pP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4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B11A5C">
        <w:rPr>
          <w:iCs/>
          <w:color w:val="000000" w:themeColor="text1"/>
          <w:kern w:val="0"/>
          <w:sz w:val="20"/>
          <w:szCs w:val="18"/>
          <w14:ligatures w14:val="none"/>
        </w:rPr>
        <w:t>Correlogram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(left) and bar plot (right), respectively, show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ing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the pairwise correlation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and variance inflation factor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(VIF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) of the nine variables used to predict alien species presence and richness for models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 (</w:t>
      </w:r>
      <w:r>
        <w:rPr>
          <w:iCs/>
          <w:kern w:val="0"/>
          <w:sz w:val="20"/>
          <w14:ligatures w14:val="none"/>
        </w:rPr>
        <w:t>n = 7,187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)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focusing on NAT plot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E92C74">
        <w:rPr>
          <w:iCs/>
          <w:kern w:val="0"/>
          <w:sz w:val="20"/>
          <w14:ligatures w14:val="none"/>
        </w:rPr>
        <w:t>(plots invaded by naturalized species)</w:t>
      </w:r>
      <w:r>
        <w:rPr>
          <w:rFonts w:hint="eastAsia"/>
          <w:iCs/>
          <w:kern w:val="0"/>
          <w:sz w:val="20"/>
          <w14:ligatures w14:val="none"/>
        </w:rPr>
        <w:t>. See Table 1 in main text for the detailed description of these variables.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>
        <w:rPr>
          <w:rFonts w:hint="eastAsia"/>
          <w:iCs/>
          <w:kern w:val="0"/>
          <w:sz w:val="20"/>
          <w14:ligatures w14:val="none"/>
        </w:rPr>
        <w:t xml:space="preserve">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>correlogram, t</w:t>
      </w:r>
      <w:r w:rsidRPr="004B3555">
        <w:rPr>
          <w:iCs/>
          <w:kern w:val="0"/>
          <w:sz w:val="20"/>
          <w14:ligatures w14:val="none"/>
        </w:rPr>
        <w:t>he lower triangle shows the pairwise linear regression lines, while the upper triangle shows the Pearson correlation coefficients of each pair.</w:t>
      </w:r>
      <w:r>
        <w:rPr>
          <w:rFonts w:hint="eastAsia"/>
          <w:iCs/>
          <w:kern w:val="0"/>
          <w:sz w:val="20"/>
          <w14:ligatures w14:val="none"/>
        </w:rPr>
        <w:t xml:space="preserve"> 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 xml:space="preserve">bar plot, the dashed line </w:t>
      </w:r>
      <w:r>
        <w:rPr>
          <w:iCs/>
          <w:kern w:val="0"/>
          <w:sz w:val="20"/>
          <w14:ligatures w14:val="none"/>
        </w:rPr>
        <w:t>indicates</w:t>
      </w:r>
      <w:r>
        <w:rPr>
          <w:rFonts w:hint="eastAsia"/>
          <w:iCs/>
          <w:kern w:val="0"/>
          <w:sz w:val="20"/>
          <w14:ligatures w14:val="none"/>
        </w:rPr>
        <w:t xml:space="preserve"> the threshold of VIF = 5. </w:t>
      </w:r>
      <w:r w:rsidRPr="00F64BE1">
        <w:rPr>
          <w:iCs/>
          <w:kern w:val="0"/>
          <w:sz w:val="20"/>
          <w14:ligatures w14:val="none"/>
        </w:rPr>
        <w:t>Variables with VIF</w:t>
      </w:r>
      <w:r>
        <w:rPr>
          <w:rFonts w:hint="eastAsia"/>
          <w:iCs/>
          <w:kern w:val="0"/>
          <w:sz w:val="20"/>
          <w14:ligatures w14:val="none"/>
        </w:rPr>
        <w:t xml:space="preserve">s </w:t>
      </w:r>
      <w:r w:rsidRPr="00F64BE1">
        <w:rPr>
          <w:iCs/>
          <w:kern w:val="0"/>
          <w:sz w:val="20"/>
          <w14:ligatures w14:val="none"/>
        </w:rPr>
        <w:t>exceeding this threshold are represented by unfilled bars, while those with VIF values lower than or equal to the threshold are depicted by black-filled bars.</w:t>
      </w:r>
      <w:r>
        <w:rPr>
          <w:rFonts w:hint="eastAsia"/>
          <w:iCs/>
          <w:kern w:val="0"/>
          <w:sz w:val="20"/>
          <w14:ligatures w14:val="none"/>
        </w:rPr>
        <w:t xml:space="preserve"> Additionally, variables with VIF &gt;5 were excluded in related regressions.</w:t>
      </w:r>
    </w:p>
    <w:p w14:paraId="3E1F6E73" w14:textId="77777777" w:rsidR="001E4272" w:rsidRDefault="001E4272" w:rsidP="001E4272">
      <w:pPr>
        <w:tabs>
          <w:tab w:val="left" w:pos="4111"/>
        </w:tabs>
      </w:pPr>
      <w:r>
        <w:rPr>
          <w:noProof/>
          <w:lang w:eastAsia="en-GB"/>
        </w:rPr>
        <w:drawing>
          <wp:inline distT="0" distB="0" distL="0" distR="0" wp14:anchorId="562C700D" wp14:editId="01D38A6D">
            <wp:extent cx="5271770" cy="3562350"/>
            <wp:effectExtent l="0" t="0" r="5080" b="0"/>
            <wp:docPr id="76462876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D126F" w14:textId="77777777" w:rsidR="001E4272" w:rsidRDefault="001E4272" w:rsidP="001E4272">
      <w:pPr>
        <w:tabs>
          <w:tab w:val="left" w:pos="4111"/>
        </w:tabs>
        <w:spacing w:line="360" w:lineRule="auto"/>
        <w:jc w:val="both"/>
      </w:pP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5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B11A5C">
        <w:rPr>
          <w:iCs/>
          <w:color w:val="000000" w:themeColor="text1"/>
          <w:kern w:val="0"/>
          <w:sz w:val="20"/>
          <w:szCs w:val="18"/>
          <w14:ligatures w14:val="none"/>
        </w:rPr>
        <w:t>Correlogram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(left) and bar plot (right), respectively, show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ing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the pairwise correlation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and variance inflation factor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(VIF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) of the nine variables used to predict alien species presence and richness for models 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(</w:t>
      </w:r>
      <w:r>
        <w:rPr>
          <w:iCs/>
          <w:kern w:val="0"/>
          <w:sz w:val="20"/>
          <w14:ligatures w14:val="none"/>
        </w:rPr>
        <w:t>n = 6,460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) 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focusing on INV plot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E92C74">
        <w:rPr>
          <w:iCs/>
          <w:kern w:val="0"/>
          <w:sz w:val="20"/>
          <w14:ligatures w14:val="none"/>
        </w:rPr>
        <w:t xml:space="preserve">(plots invaded by </w:t>
      </w:r>
      <w:r>
        <w:rPr>
          <w:rFonts w:hint="eastAsia"/>
          <w:iCs/>
          <w:kern w:val="0"/>
          <w:sz w:val="20"/>
          <w14:ligatures w14:val="none"/>
        </w:rPr>
        <w:t>invasive</w:t>
      </w:r>
      <w:r w:rsidRPr="00E92C74">
        <w:rPr>
          <w:iCs/>
          <w:kern w:val="0"/>
          <w:sz w:val="20"/>
          <w14:ligatures w14:val="none"/>
        </w:rPr>
        <w:t xml:space="preserve"> species)</w:t>
      </w:r>
      <w:r>
        <w:rPr>
          <w:rFonts w:hint="eastAsia"/>
          <w:iCs/>
          <w:kern w:val="0"/>
          <w:sz w:val="20"/>
          <w14:ligatures w14:val="none"/>
        </w:rPr>
        <w:t>. See Table 1 in main text for the detailed description of these variables.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>
        <w:rPr>
          <w:rFonts w:hint="eastAsia"/>
          <w:iCs/>
          <w:kern w:val="0"/>
          <w:sz w:val="20"/>
          <w14:ligatures w14:val="none"/>
        </w:rPr>
        <w:t xml:space="preserve">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>correlogram, t</w:t>
      </w:r>
      <w:r w:rsidRPr="004B3555">
        <w:rPr>
          <w:iCs/>
          <w:kern w:val="0"/>
          <w:sz w:val="20"/>
          <w14:ligatures w14:val="none"/>
        </w:rPr>
        <w:t>he lower triangle shows the pairwise linear regression lines, while the upper triangle shows the Pearson correlation coefficients of each pair.</w:t>
      </w:r>
      <w:r>
        <w:rPr>
          <w:rFonts w:hint="eastAsia"/>
          <w:iCs/>
          <w:kern w:val="0"/>
          <w:sz w:val="20"/>
          <w14:ligatures w14:val="none"/>
        </w:rPr>
        <w:t xml:space="preserve"> 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 xml:space="preserve">bar plot, the dashed line </w:t>
      </w:r>
      <w:r>
        <w:rPr>
          <w:iCs/>
          <w:kern w:val="0"/>
          <w:sz w:val="20"/>
          <w14:ligatures w14:val="none"/>
        </w:rPr>
        <w:t>indicates</w:t>
      </w:r>
      <w:r>
        <w:rPr>
          <w:rFonts w:hint="eastAsia"/>
          <w:iCs/>
          <w:kern w:val="0"/>
          <w:sz w:val="20"/>
          <w14:ligatures w14:val="none"/>
        </w:rPr>
        <w:t xml:space="preserve"> the threshold of VIF = 5. </w:t>
      </w:r>
      <w:r w:rsidRPr="00F64BE1">
        <w:rPr>
          <w:iCs/>
          <w:kern w:val="0"/>
          <w:sz w:val="20"/>
          <w14:ligatures w14:val="none"/>
        </w:rPr>
        <w:t>Variables with VIF</w:t>
      </w:r>
      <w:r>
        <w:rPr>
          <w:rFonts w:hint="eastAsia"/>
          <w:iCs/>
          <w:kern w:val="0"/>
          <w:sz w:val="20"/>
          <w14:ligatures w14:val="none"/>
        </w:rPr>
        <w:t xml:space="preserve">s </w:t>
      </w:r>
      <w:r w:rsidRPr="00F64BE1">
        <w:rPr>
          <w:iCs/>
          <w:kern w:val="0"/>
          <w:sz w:val="20"/>
          <w14:ligatures w14:val="none"/>
        </w:rPr>
        <w:t>exceeding this threshold are represented by unfilled bars, while those with VIF values lower than or equal to the threshold are depicted by black-filled bars.</w:t>
      </w:r>
      <w:r>
        <w:rPr>
          <w:rFonts w:hint="eastAsia"/>
          <w:iCs/>
          <w:kern w:val="0"/>
          <w:sz w:val="20"/>
          <w14:ligatures w14:val="none"/>
        </w:rPr>
        <w:t xml:space="preserve"> Additionally, variables with VIF &gt;5 were excluded in related regressions.</w:t>
      </w:r>
    </w:p>
    <w:p w14:paraId="7A19124C" w14:textId="77777777" w:rsidR="001E4272" w:rsidRDefault="001E4272" w:rsidP="001E4272">
      <w:pPr>
        <w:tabs>
          <w:tab w:val="left" w:pos="4111"/>
        </w:tabs>
      </w:pPr>
      <w:r>
        <w:rPr>
          <w:noProof/>
          <w:lang w:eastAsia="en-GB"/>
        </w:rPr>
        <w:drawing>
          <wp:inline distT="0" distB="0" distL="0" distR="0" wp14:anchorId="2B723A10" wp14:editId="582A2FB6">
            <wp:extent cx="5271770" cy="3578225"/>
            <wp:effectExtent l="0" t="0" r="5080" b="3175"/>
            <wp:docPr id="116283074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0298" cy="3584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DFF5FB" w14:textId="77777777" w:rsidR="001E4272" w:rsidRDefault="001E4272" w:rsidP="001E4272">
      <w:pPr>
        <w:tabs>
          <w:tab w:val="left" w:pos="4111"/>
        </w:tabs>
        <w:spacing w:line="360" w:lineRule="auto"/>
        <w:jc w:val="both"/>
      </w:pP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6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B11A5C">
        <w:rPr>
          <w:iCs/>
          <w:color w:val="000000" w:themeColor="text1"/>
          <w:kern w:val="0"/>
          <w:sz w:val="20"/>
          <w:szCs w:val="18"/>
          <w14:ligatures w14:val="none"/>
        </w:rPr>
        <w:t>Correlogram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(left) and bar plot (right), respectively, show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ing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the pairwise correlation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and variance inflation factor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(VIF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) of the nine variables used to predict alien species presence and richness for models 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(</w:t>
      </w:r>
      <w:r>
        <w:rPr>
          <w:iCs/>
          <w:kern w:val="0"/>
          <w:sz w:val="20"/>
          <w14:ligatures w14:val="none"/>
        </w:rPr>
        <w:t>n = 8,123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) 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focusing on NAT + INV plot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E92C74">
        <w:rPr>
          <w:iCs/>
          <w:kern w:val="0"/>
          <w:sz w:val="20"/>
          <w14:ligatures w14:val="none"/>
        </w:rPr>
        <w:t xml:space="preserve">(plots invaded by </w:t>
      </w:r>
      <w:r>
        <w:rPr>
          <w:rFonts w:hint="eastAsia"/>
          <w:iCs/>
          <w:kern w:val="0"/>
          <w:sz w:val="20"/>
          <w14:ligatures w14:val="none"/>
        </w:rPr>
        <w:t xml:space="preserve">both </w:t>
      </w:r>
      <w:r w:rsidRPr="00E92C74">
        <w:rPr>
          <w:iCs/>
          <w:kern w:val="0"/>
          <w:sz w:val="20"/>
          <w14:ligatures w14:val="none"/>
        </w:rPr>
        <w:t xml:space="preserve">naturalized </w:t>
      </w:r>
      <w:r>
        <w:rPr>
          <w:rFonts w:hint="eastAsia"/>
          <w:iCs/>
          <w:kern w:val="0"/>
          <w:sz w:val="20"/>
          <w14:ligatures w14:val="none"/>
        </w:rPr>
        <w:t xml:space="preserve">and invasive </w:t>
      </w:r>
      <w:r w:rsidRPr="00E92C74">
        <w:rPr>
          <w:iCs/>
          <w:kern w:val="0"/>
          <w:sz w:val="20"/>
          <w14:ligatures w14:val="none"/>
        </w:rPr>
        <w:t>species)</w:t>
      </w:r>
      <w:r>
        <w:rPr>
          <w:rFonts w:hint="eastAsia"/>
          <w:iCs/>
          <w:kern w:val="0"/>
          <w:sz w:val="20"/>
          <w14:ligatures w14:val="none"/>
        </w:rPr>
        <w:t>. See Table 1 in main text for the detailed description of these variables.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>
        <w:rPr>
          <w:rFonts w:hint="eastAsia"/>
          <w:iCs/>
          <w:kern w:val="0"/>
          <w:sz w:val="20"/>
          <w14:ligatures w14:val="none"/>
        </w:rPr>
        <w:t>In</w:t>
      </w:r>
      <w:r>
        <w:rPr>
          <w:iCs/>
          <w:kern w:val="0"/>
          <w:sz w:val="20"/>
          <w14:ligatures w14:val="none"/>
        </w:rPr>
        <w:t xml:space="preserve"> the</w:t>
      </w:r>
      <w:r>
        <w:rPr>
          <w:rFonts w:hint="eastAsia"/>
          <w:iCs/>
          <w:kern w:val="0"/>
          <w:sz w:val="20"/>
          <w14:ligatures w14:val="none"/>
        </w:rPr>
        <w:t xml:space="preserve"> correlogram, t</w:t>
      </w:r>
      <w:r w:rsidRPr="004B3555">
        <w:rPr>
          <w:iCs/>
          <w:kern w:val="0"/>
          <w:sz w:val="20"/>
          <w14:ligatures w14:val="none"/>
        </w:rPr>
        <w:t>he lower triangle shows the pairwise linear regression lines, while the upper triangle shows the Pearson correlation coefficients of each pair.</w:t>
      </w:r>
      <w:r>
        <w:rPr>
          <w:rFonts w:hint="eastAsia"/>
          <w:iCs/>
          <w:kern w:val="0"/>
          <w:sz w:val="20"/>
          <w14:ligatures w14:val="none"/>
        </w:rPr>
        <w:t xml:space="preserve"> 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 xml:space="preserve">bar plot, the dashed line </w:t>
      </w:r>
      <w:r>
        <w:rPr>
          <w:iCs/>
          <w:kern w:val="0"/>
          <w:sz w:val="20"/>
          <w14:ligatures w14:val="none"/>
        </w:rPr>
        <w:t>indicates</w:t>
      </w:r>
      <w:r>
        <w:rPr>
          <w:rFonts w:hint="eastAsia"/>
          <w:iCs/>
          <w:kern w:val="0"/>
          <w:sz w:val="20"/>
          <w14:ligatures w14:val="none"/>
        </w:rPr>
        <w:t xml:space="preserve"> the threshold of VIF = 5. </w:t>
      </w:r>
      <w:r w:rsidRPr="00F64BE1">
        <w:rPr>
          <w:iCs/>
          <w:kern w:val="0"/>
          <w:sz w:val="20"/>
          <w14:ligatures w14:val="none"/>
        </w:rPr>
        <w:t>Variables with VIF</w:t>
      </w:r>
      <w:r>
        <w:rPr>
          <w:rFonts w:hint="eastAsia"/>
          <w:iCs/>
          <w:kern w:val="0"/>
          <w:sz w:val="20"/>
          <w14:ligatures w14:val="none"/>
        </w:rPr>
        <w:t xml:space="preserve">s </w:t>
      </w:r>
      <w:r w:rsidRPr="00F64BE1">
        <w:rPr>
          <w:iCs/>
          <w:kern w:val="0"/>
          <w:sz w:val="20"/>
          <w14:ligatures w14:val="none"/>
        </w:rPr>
        <w:t>exceeding this threshold are represented by unfilled bars, while those with VIF values lower than or equal to the threshold are depicted by black-filled bars.</w:t>
      </w:r>
      <w:r>
        <w:rPr>
          <w:rFonts w:hint="eastAsia"/>
          <w:iCs/>
          <w:kern w:val="0"/>
          <w:sz w:val="20"/>
          <w14:ligatures w14:val="none"/>
        </w:rPr>
        <w:t xml:space="preserve"> Additionally, variables with VIF &gt;5 were excluded in related regressions.</w:t>
      </w:r>
    </w:p>
    <w:p w14:paraId="60EC6823" w14:textId="77777777" w:rsidR="001E4272" w:rsidRDefault="001E4272" w:rsidP="001E4272">
      <w:pPr>
        <w:tabs>
          <w:tab w:val="left" w:pos="4111"/>
        </w:tabs>
      </w:pPr>
      <w:r>
        <w:rPr>
          <w:noProof/>
          <w:lang w:eastAsia="en-GB"/>
        </w:rPr>
        <w:drawing>
          <wp:inline distT="0" distB="0" distL="0" distR="0" wp14:anchorId="657536ED" wp14:editId="5CC90BD2">
            <wp:extent cx="5271770" cy="3578225"/>
            <wp:effectExtent l="0" t="0" r="5080" b="3175"/>
            <wp:docPr id="79347958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C2E6C" w14:textId="44725FCF" w:rsidR="001E4272" w:rsidRDefault="001E4272" w:rsidP="004369EE">
      <w:pPr>
        <w:tabs>
          <w:tab w:val="left" w:pos="4111"/>
        </w:tabs>
        <w:spacing w:line="360" w:lineRule="auto"/>
        <w:jc w:val="both"/>
      </w:pP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>Fig. S</w: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begin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instrText xml:space="preserve"> SEQ Fig._S \* ARABIC </w:instrText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fldChar w:fldCharType="separate"/>
      </w:r>
      <w:r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t>7</w:t>
      </w:r>
      <w:r w:rsidRPr="00053F34">
        <w:rPr>
          <w:b/>
          <w:bCs/>
          <w:iCs/>
          <w:noProof/>
          <w:color w:val="000000" w:themeColor="text1"/>
          <w:kern w:val="0"/>
          <w:sz w:val="20"/>
          <w:szCs w:val="18"/>
          <w14:ligatures w14:val="none"/>
        </w:rPr>
        <w:fldChar w:fldCharType="end"/>
      </w:r>
      <w:r w:rsidRPr="00053F34">
        <w:rPr>
          <w:b/>
          <w:bCs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B11A5C">
        <w:rPr>
          <w:iCs/>
          <w:color w:val="000000" w:themeColor="text1"/>
          <w:kern w:val="0"/>
          <w:sz w:val="20"/>
          <w:szCs w:val="18"/>
          <w14:ligatures w14:val="none"/>
        </w:rPr>
        <w:t>Correlogram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(left) and bar plot (right), respectively, show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ing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the pairwise correlation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and variance inflation factor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(VIF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) of the nine variables used to predict alien species presence and richness for models 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(</w:t>
      </w:r>
      <w:r>
        <w:rPr>
          <w:iCs/>
          <w:kern w:val="0"/>
          <w:sz w:val="20"/>
          <w14:ligatures w14:val="none"/>
        </w:rPr>
        <w:t>n = 12,056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 xml:space="preserve">) 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>focusing on alien plot</w:t>
      </w:r>
      <w:r>
        <w:rPr>
          <w:iCs/>
          <w:color w:val="000000" w:themeColor="text1"/>
          <w:kern w:val="0"/>
          <w:sz w:val="20"/>
          <w:szCs w:val="18"/>
          <w14:ligatures w14:val="none"/>
        </w:rPr>
        <w:t>s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 w:rsidRPr="00E92C74">
        <w:rPr>
          <w:iCs/>
          <w:kern w:val="0"/>
          <w:sz w:val="20"/>
          <w14:ligatures w14:val="none"/>
        </w:rPr>
        <w:t xml:space="preserve">(plots invaded by </w:t>
      </w:r>
      <w:r>
        <w:rPr>
          <w:rFonts w:hint="eastAsia"/>
          <w:iCs/>
          <w:kern w:val="0"/>
          <w:sz w:val="20"/>
          <w14:ligatures w14:val="none"/>
        </w:rPr>
        <w:t>alien</w:t>
      </w:r>
      <w:r w:rsidRPr="00E92C74">
        <w:rPr>
          <w:iCs/>
          <w:kern w:val="0"/>
          <w:sz w:val="20"/>
          <w14:ligatures w14:val="none"/>
        </w:rPr>
        <w:t xml:space="preserve"> species</w:t>
      </w:r>
      <w:r>
        <w:rPr>
          <w:rFonts w:hint="eastAsia"/>
          <w:iCs/>
          <w:kern w:val="0"/>
          <w:sz w:val="20"/>
          <w14:ligatures w14:val="none"/>
        </w:rPr>
        <w:t xml:space="preserve"> regardless of their invasion stages</w:t>
      </w:r>
      <w:r w:rsidRPr="00E92C74">
        <w:rPr>
          <w:iCs/>
          <w:kern w:val="0"/>
          <w:sz w:val="20"/>
          <w14:ligatures w14:val="none"/>
        </w:rPr>
        <w:t>)</w:t>
      </w:r>
      <w:r>
        <w:rPr>
          <w:rFonts w:hint="eastAsia"/>
          <w:iCs/>
          <w:kern w:val="0"/>
          <w:sz w:val="20"/>
          <w14:ligatures w14:val="none"/>
        </w:rPr>
        <w:t>. See Table 1 in main text for the detailed description of these variables.</w:t>
      </w:r>
      <w:r>
        <w:rPr>
          <w:rFonts w:hint="eastAsia"/>
          <w:iCs/>
          <w:color w:val="000000" w:themeColor="text1"/>
          <w:kern w:val="0"/>
          <w:sz w:val="20"/>
          <w:szCs w:val="18"/>
          <w14:ligatures w14:val="none"/>
        </w:rPr>
        <w:t xml:space="preserve"> </w:t>
      </w:r>
      <w:r>
        <w:rPr>
          <w:rFonts w:hint="eastAsia"/>
          <w:iCs/>
          <w:kern w:val="0"/>
          <w:sz w:val="20"/>
          <w14:ligatures w14:val="none"/>
        </w:rPr>
        <w:t xml:space="preserve">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>correlogram, t</w:t>
      </w:r>
      <w:r w:rsidRPr="004B3555">
        <w:rPr>
          <w:iCs/>
          <w:kern w:val="0"/>
          <w:sz w:val="20"/>
          <w14:ligatures w14:val="none"/>
        </w:rPr>
        <w:t>he lower triangle shows the pairwise linear regression lines, while the upper triangle shows the Pearson correlation coefficients of each pair.</w:t>
      </w:r>
      <w:r>
        <w:rPr>
          <w:rFonts w:hint="eastAsia"/>
          <w:iCs/>
          <w:kern w:val="0"/>
          <w:sz w:val="20"/>
          <w14:ligatures w14:val="none"/>
        </w:rPr>
        <w:t xml:space="preserve"> In </w:t>
      </w:r>
      <w:r>
        <w:rPr>
          <w:iCs/>
          <w:kern w:val="0"/>
          <w:sz w:val="20"/>
          <w14:ligatures w14:val="none"/>
        </w:rPr>
        <w:t xml:space="preserve">the </w:t>
      </w:r>
      <w:r>
        <w:rPr>
          <w:rFonts w:hint="eastAsia"/>
          <w:iCs/>
          <w:kern w:val="0"/>
          <w:sz w:val="20"/>
          <w14:ligatures w14:val="none"/>
        </w:rPr>
        <w:t xml:space="preserve">bar plot, the dashed line </w:t>
      </w:r>
      <w:r>
        <w:rPr>
          <w:iCs/>
          <w:kern w:val="0"/>
          <w:sz w:val="20"/>
          <w14:ligatures w14:val="none"/>
        </w:rPr>
        <w:t>indicates</w:t>
      </w:r>
      <w:r>
        <w:rPr>
          <w:rFonts w:hint="eastAsia"/>
          <w:iCs/>
          <w:kern w:val="0"/>
          <w:sz w:val="20"/>
          <w14:ligatures w14:val="none"/>
        </w:rPr>
        <w:t xml:space="preserve"> the threshold of VIF = 5. </w:t>
      </w:r>
      <w:r w:rsidRPr="00F64BE1">
        <w:rPr>
          <w:iCs/>
          <w:kern w:val="0"/>
          <w:sz w:val="20"/>
          <w14:ligatures w14:val="none"/>
        </w:rPr>
        <w:t>Variables with VIF</w:t>
      </w:r>
      <w:r>
        <w:rPr>
          <w:rFonts w:hint="eastAsia"/>
          <w:iCs/>
          <w:kern w:val="0"/>
          <w:sz w:val="20"/>
          <w14:ligatures w14:val="none"/>
        </w:rPr>
        <w:t xml:space="preserve">s </w:t>
      </w:r>
      <w:r w:rsidRPr="00F64BE1">
        <w:rPr>
          <w:iCs/>
          <w:kern w:val="0"/>
          <w:sz w:val="20"/>
          <w14:ligatures w14:val="none"/>
        </w:rPr>
        <w:t>exceeding this threshold are represented by unfilled bars, while those with VIF values lower than or equal to the threshold are depicted by black-filled bars.</w:t>
      </w:r>
      <w:r>
        <w:rPr>
          <w:rFonts w:hint="eastAsia"/>
          <w:iCs/>
          <w:kern w:val="0"/>
          <w:sz w:val="20"/>
          <w14:ligatures w14:val="none"/>
        </w:rPr>
        <w:t xml:space="preserve"> Additionally, variables with VIF &gt;5 were excluded in related regressions.</w:t>
      </w:r>
    </w:p>
    <w:sectPr w:rsidR="001E4272" w:rsidSect="00211F8A">
      <w:pgSz w:w="11906" w:h="16838"/>
      <w:pgMar w:top="1440" w:right="1800" w:bottom="1440" w:left="180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6E6A5D" w14:textId="77777777" w:rsidR="00211F8A" w:rsidRDefault="00211F8A" w:rsidP="001E4272">
      <w:pPr>
        <w:spacing w:before="0" w:after="0" w:line="240" w:lineRule="auto"/>
      </w:pPr>
      <w:r>
        <w:separator/>
      </w:r>
    </w:p>
  </w:endnote>
  <w:endnote w:type="continuationSeparator" w:id="0">
    <w:p w14:paraId="212ABC00" w14:textId="77777777" w:rsidR="00211F8A" w:rsidRDefault="00211F8A" w:rsidP="001E427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FC2A05" w14:textId="77777777" w:rsidR="00211F8A" w:rsidRDefault="00211F8A" w:rsidP="001E4272">
      <w:pPr>
        <w:spacing w:before="0" w:after="0" w:line="240" w:lineRule="auto"/>
      </w:pPr>
      <w:r>
        <w:separator/>
      </w:r>
    </w:p>
  </w:footnote>
  <w:footnote w:type="continuationSeparator" w:id="0">
    <w:p w14:paraId="7AD5325F" w14:textId="77777777" w:rsidR="00211F8A" w:rsidRDefault="00211F8A" w:rsidP="001E4272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15410"/>
    <w:multiLevelType w:val="multilevel"/>
    <w:tmpl w:val="7EAC0920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eastAsia"/>
      </w:rPr>
    </w:lvl>
    <w:lvl w:ilvl="1">
      <w:start w:val="1"/>
      <w:numFmt w:val="decimal"/>
      <w:lvlRestart w:val="0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lvlText w:val="%3.%2.%1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eastAsia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eastAsia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eastAsia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eastAsia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eastAsia"/>
      </w:rPr>
    </w:lvl>
  </w:abstractNum>
  <w:num w:numId="1" w16cid:durableId="2006979960">
    <w:abstractNumId w:val="0"/>
    <w:lvlOverride w:ilvl="0">
      <w:lvl w:ilvl="0">
        <w:start w:val="1"/>
        <w:numFmt w:val="decimal"/>
        <w:pStyle w:val="1"/>
        <w:lvlText w:val="%1."/>
        <w:lvlJc w:val="left"/>
        <w:pPr>
          <w:ind w:left="360" w:hanging="360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</w:rPr>
      </w:lvl>
    </w:lvlOverride>
  </w:num>
  <w:num w:numId="2" w16cid:durableId="382413143">
    <w:abstractNumId w:val="0"/>
    <w:lvlOverride w:ilvl="0">
      <w:lvl w:ilvl="0" w:tentative="1">
        <w:start w:val="1"/>
        <w:numFmt w:val="decimal"/>
        <w:pStyle w:val="1"/>
        <w:lvlText w:val="%1."/>
        <w:lvlJc w:val="left"/>
        <w:pPr>
          <w:ind w:left="360" w:hanging="360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spacing w:val="0"/>
          <w:kern w:val="0"/>
          <w:position w:val="0"/>
          <w:u w:val="none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</w:rPr>
      </w:lvl>
    </w:lvlOverride>
    <w:lvlOverride w:ilvl="1">
      <w:lvl w:ilvl="1">
        <w:start w:val="1"/>
        <w:numFmt w:val="decimal"/>
        <w:lvlRestart w:val="0"/>
        <w:pStyle w:val="2"/>
        <w:suff w:val="space"/>
        <w:lvlText w:val="%1.%2"/>
        <w:lvlJc w:val="left"/>
        <w:pPr>
          <w:ind w:left="0" w:firstLine="0"/>
        </w:pPr>
        <w:rPr>
          <w:rFonts w:hint="eastAsia"/>
        </w:rPr>
      </w:lvl>
    </w:lvlOverride>
    <w:lvlOverride w:ilvl="2">
      <w:lvl w:ilvl="2" w:tentative="1">
        <w:start w:val="1"/>
        <w:numFmt w:val="decimal"/>
        <w:lvlText w:val="%3.%2.%1"/>
        <w:lvlJc w:val="left"/>
        <w:pPr>
          <w:ind w:left="0" w:firstLine="0"/>
        </w:pPr>
        <w:rPr>
          <w:rFonts w:hint="eastAsia"/>
        </w:rPr>
      </w:lvl>
    </w:lvlOverride>
    <w:lvlOverride w:ilvl="3">
      <w:lvl w:ilvl="3" w:tentative="1">
        <w:start w:val="1"/>
        <w:numFmt w:val="decimal"/>
        <w:lvlText w:val="(%4)"/>
        <w:lvlJc w:val="left"/>
        <w:pPr>
          <w:ind w:left="1440" w:hanging="360"/>
        </w:pPr>
        <w:rPr>
          <w:rFonts w:hint="eastAsia"/>
        </w:rPr>
      </w:lvl>
    </w:lvlOverride>
    <w:lvlOverride w:ilvl="4">
      <w:lvl w:ilvl="4" w:tentative="1">
        <w:start w:val="1"/>
        <w:numFmt w:val="lowerLetter"/>
        <w:lvlText w:val="(%5)"/>
        <w:lvlJc w:val="left"/>
        <w:pPr>
          <w:ind w:left="1800" w:hanging="360"/>
        </w:pPr>
        <w:rPr>
          <w:rFonts w:hint="eastAsia"/>
        </w:rPr>
      </w:lvl>
    </w:lvlOverride>
    <w:lvlOverride w:ilvl="5">
      <w:lvl w:ilvl="5" w:tentative="1">
        <w:start w:val="1"/>
        <w:numFmt w:val="lowerRoman"/>
        <w:lvlText w:val="(%6)"/>
        <w:lvlJc w:val="left"/>
        <w:pPr>
          <w:ind w:left="2160" w:hanging="360"/>
        </w:pPr>
        <w:rPr>
          <w:rFonts w:hint="eastAsia"/>
        </w:rPr>
      </w:lvl>
    </w:lvlOverride>
    <w:lvlOverride w:ilvl="6">
      <w:lvl w:ilvl="6" w:tentative="1">
        <w:start w:val="1"/>
        <w:numFmt w:val="decimal"/>
        <w:lvlText w:val="%7."/>
        <w:lvlJc w:val="left"/>
        <w:pPr>
          <w:ind w:left="2520" w:hanging="360"/>
        </w:pPr>
        <w:rPr>
          <w:rFonts w:hint="eastAsia"/>
        </w:rPr>
      </w:lvl>
    </w:lvlOverride>
    <w:lvlOverride w:ilvl="7">
      <w:lvl w:ilvl="7" w:tentative="1">
        <w:start w:val="1"/>
        <w:numFmt w:val="lowerLetter"/>
        <w:lvlText w:val="%8."/>
        <w:lvlJc w:val="left"/>
        <w:pPr>
          <w:ind w:left="2880" w:hanging="360"/>
        </w:pPr>
        <w:rPr>
          <w:rFonts w:hint="eastAsia"/>
        </w:rPr>
      </w:lvl>
    </w:lvlOverride>
    <w:lvlOverride w:ilvl="8">
      <w:lvl w:ilvl="8" w:tentative="1">
        <w:start w:val="1"/>
        <w:numFmt w:val="lowerRoman"/>
        <w:lvlText w:val="%9."/>
        <w:lvlJc w:val="left"/>
        <w:pPr>
          <w:ind w:left="3240" w:hanging="360"/>
        </w:pPr>
        <w:rPr>
          <w:rFonts w:hint="eastAsia"/>
        </w:rPr>
      </w:lvl>
    </w:lvlOverride>
  </w:num>
  <w:num w:numId="3" w16cid:durableId="1539734617">
    <w:abstractNumId w:val="0"/>
    <w:lvlOverride w:ilvl="0">
      <w:lvl w:ilvl="0">
        <w:start w:val="1"/>
        <w:numFmt w:val="decimal"/>
        <w:pStyle w:val="1"/>
        <w:lvlText w:val="%1."/>
        <w:lvlJc w:val="left"/>
        <w:pPr>
          <w:ind w:left="360" w:hanging="360"/>
        </w:pPr>
        <w:rPr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vanish w:val="0"/>
          <w:color w:val="000000" w:themeColor="text1"/>
          <w:spacing w:val="0"/>
          <w:kern w:val="0"/>
          <w:position w:val="0"/>
          <w:u w:val="none"/>
          <w:vertAlign w:val="baseline"/>
          <w14:glow w14:rad="0">
            <w14:srgbClr w14:val="000000"/>
          </w14:glow>
          <w14:shadow w14:blurRad="0" w14:dist="0" w14:dir="0" w14:sx="0" w14:sy="0" w14:kx="0" w14:ky="0" w14:algn="none">
            <w14:srgbClr w14:val="000000"/>
          </w14:shadow>
          <w14:reflection w14:blurRad="0" w14:stA="0" w14:stPos="0" w14:endA="0" w14:endPos="0" w14:dist="0" w14:dir="0" w14:fadeDir="0" w14:sx="0" w14:sy="0" w14:kx="0" w14:ky="0" w14:algn="none"/>
          <w14:scene3d>
            <w14:camera w14:prst="orthographicFront"/>
            <w14:lightRig w14:rig="threePt" w14:dir="t">
              <w14:rot w14:lat="0" w14:lon="0" w14:rev="0"/>
            </w14:lightRig>
          </w14:scene3d>
          <w14:props3d w14:extrusionH="0" w14:contourW="0" w14:prstMaterial="none"/>
          <w14:ligatures w14:val="none"/>
          <w14:numForm w14:val="default"/>
          <w14:numSpacing w14:val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659"/>
    <w:rsid w:val="001C7107"/>
    <w:rsid w:val="001E4272"/>
    <w:rsid w:val="00211F8A"/>
    <w:rsid w:val="003B7A00"/>
    <w:rsid w:val="003D36B9"/>
    <w:rsid w:val="00402194"/>
    <w:rsid w:val="00430659"/>
    <w:rsid w:val="004369EE"/>
    <w:rsid w:val="00447F23"/>
    <w:rsid w:val="005C13D8"/>
    <w:rsid w:val="00610A90"/>
    <w:rsid w:val="00717D1E"/>
    <w:rsid w:val="0076203D"/>
    <w:rsid w:val="00911D1A"/>
    <w:rsid w:val="00AC36EC"/>
    <w:rsid w:val="00B408AC"/>
    <w:rsid w:val="00C17E8A"/>
    <w:rsid w:val="00DA05A7"/>
    <w:rsid w:val="00EE3E1A"/>
    <w:rsid w:val="00F150E2"/>
    <w:rsid w:val="00FB0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AECB5F"/>
  <w15:chartTrackingRefBased/>
  <w15:docId w15:val="{27321FDE-8FF9-4251-AA69-92E5AA11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D1A"/>
    <w:pPr>
      <w:spacing w:before="120" w:after="120" w:line="48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autoRedefine/>
    <w:uiPriority w:val="9"/>
    <w:qFormat/>
    <w:rsid w:val="001C7107"/>
    <w:pPr>
      <w:keepNext/>
      <w:keepLines/>
      <w:numPr>
        <w:numId w:val="1"/>
      </w:numPr>
      <w:spacing w:after="0" w:line="360" w:lineRule="auto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1C7107"/>
    <w:pPr>
      <w:keepNext/>
      <w:keepLines/>
      <w:numPr>
        <w:ilvl w:val="1"/>
        <w:numId w:val="3"/>
      </w:numPr>
      <w:spacing w:after="0" w:line="360" w:lineRule="auto"/>
      <w:outlineLvl w:val="1"/>
    </w:pPr>
    <w:rPr>
      <w:rFonts w:eastAsiaTheme="majorEastAsia" w:cstheme="majorBidi"/>
      <w:b/>
      <w:color w:val="000000" w:themeColor="tex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065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065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065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065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065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0659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0659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qFormat/>
    <w:rsid w:val="001C7107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20">
    <w:name w:val="标题 2 字符"/>
    <w:basedOn w:val="a0"/>
    <w:link w:val="2"/>
    <w:uiPriority w:val="9"/>
    <w:qFormat/>
    <w:rsid w:val="00EE3E1A"/>
    <w:rPr>
      <w:rFonts w:eastAsiaTheme="majorEastAsia" w:cstheme="majorBidi"/>
      <w:b/>
      <w:color w:val="000000" w:themeColor="text1"/>
      <w:sz w:val="26"/>
      <w:szCs w:val="26"/>
    </w:rPr>
  </w:style>
  <w:style w:type="paragraph" w:customStyle="1" w:styleId="TableFigHead">
    <w:name w:val="TableFigHead"/>
    <w:basedOn w:val="a3"/>
    <w:link w:val="TableFigHeadChar"/>
    <w:qFormat/>
    <w:rsid w:val="00EE3E1A"/>
    <w:pPr>
      <w:spacing w:before="200"/>
    </w:pPr>
    <w:rPr>
      <w:i/>
      <w:sz w:val="20"/>
    </w:rPr>
  </w:style>
  <w:style w:type="character" w:customStyle="1" w:styleId="TableFigHeadChar">
    <w:name w:val="TableFigHead Char"/>
    <w:basedOn w:val="a0"/>
    <w:link w:val="TableFigHead"/>
    <w:qFormat/>
    <w:rsid w:val="00EE3E1A"/>
    <w:rPr>
      <w:iCs/>
      <w:color w:val="000000" w:themeColor="text1"/>
      <w:sz w:val="20"/>
      <w:szCs w:val="18"/>
    </w:rPr>
  </w:style>
  <w:style w:type="paragraph" w:styleId="a3">
    <w:name w:val="caption"/>
    <w:basedOn w:val="a"/>
    <w:next w:val="a"/>
    <w:uiPriority w:val="35"/>
    <w:unhideWhenUsed/>
    <w:qFormat/>
    <w:rsid w:val="001C7107"/>
    <w:pPr>
      <w:spacing w:line="360" w:lineRule="auto"/>
    </w:pPr>
    <w:rPr>
      <w:iCs/>
      <w:color w:val="000000" w:themeColor="text1"/>
      <w:sz w:val="18"/>
      <w:szCs w:val="18"/>
    </w:rPr>
  </w:style>
  <w:style w:type="paragraph" w:styleId="a4">
    <w:name w:val="Balloon Text"/>
    <w:basedOn w:val="a"/>
    <w:link w:val="a5"/>
    <w:qFormat/>
    <w:rsid w:val="00717D1E"/>
    <w:pPr>
      <w:widowControl w:val="0"/>
      <w:spacing w:after="0" w:line="240" w:lineRule="auto"/>
    </w:pPr>
    <w:rPr>
      <w:color w:val="FF0000"/>
      <w:sz w:val="18"/>
      <w:szCs w:val="18"/>
      <w:lang w:val="en-US"/>
    </w:rPr>
  </w:style>
  <w:style w:type="character" w:customStyle="1" w:styleId="a5">
    <w:name w:val="批注框文本 字符"/>
    <w:link w:val="a4"/>
    <w:rsid w:val="00717D1E"/>
    <w:rPr>
      <w:color w:val="FF0000"/>
      <w:kern w:val="2"/>
      <w:sz w:val="18"/>
      <w:szCs w:val="18"/>
      <w:lang w:val="en-US"/>
    </w:rPr>
  </w:style>
  <w:style w:type="paragraph" w:customStyle="1" w:styleId="response">
    <w:name w:val="response"/>
    <w:basedOn w:val="a6"/>
    <w:autoRedefine/>
    <w:qFormat/>
    <w:rsid w:val="00B408AC"/>
    <w:pPr>
      <w:spacing w:after="120" w:line="360" w:lineRule="auto"/>
    </w:pPr>
    <w:rPr>
      <w:rFonts w:ascii="Verdana" w:hAnsi="Verdana"/>
      <w:color w:val="5B9BD5" w:themeColor="accent5"/>
      <w:sz w:val="18"/>
      <w:szCs w:val="17"/>
      <w:shd w:val="clear" w:color="auto" w:fill="FFFFFF"/>
      <w:lang w:val="da-DK" w:eastAsia="en-US"/>
    </w:rPr>
  </w:style>
  <w:style w:type="paragraph" w:styleId="a6">
    <w:name w:val="Plain Text"/>
    <w:basedOn w:val="a"/>
    <w:link w:val="a7"/>
    <w:uiPriority w:val="99"/>
    <w:semiHidden/>
    <w:unhideWhenUsed/>
    <w:rsid w:val="00B408AC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7">
    <w:name w:val="纯文本 字符"/>
    <w:basedOn w:val="a0"/>
    <w:link w:val="a6"/>
    <w:uiPriority w:val="99"/>
    <w:semiHidden/>
    <w:rsid w:val="00B408AC"/>
    <w:rPr>
      <w:rFonts w:ascii="Consolas" w:hAnsi="Consolas"/>
      <w:sz w:val="21"/>
      <w:szCs w:val="21"/>
    </w:rPr>
  </w:style>
  <w:style w:type="paragraph" w:customStyle="1" w:styleId="CNTableFig">
    <w:name w:val="CN.TableFig"/>
    <w:basedOn w:val="a3"/>
    <w:link w:val="CNTableFigChar"/>
    <w:autoRedefine/>
    <w:qFormat/>
    <w:rsid w:val="00FB09DD"/>
    <w:rPr>
      <w:rFonts w:asciiTheme="minorHAnsi" w:hAnsiTheme="minorHAnsi"/>
      <w:b/>
      <w:bCs/>
      <w:sz w:val="22"/>
      <w:szCs w:val="22"/>
    </w:rPr>
  </w:style>
  <w:style w:type="character" w:customStyle="1" w:styleId="CNTableFigChar">
    <w:name w:val="CN.TableFig Char"/>
    <w:basedOn w:val="a0"/>
    <w:link w:val="CNTableFig"/>
    <w:rsid w:val="00FB09DD"/>
    <w:rPr>
      <w:b/>
      <w:bCs/>
      <w:iCs/>
      <w:color w:val="000000" w:themeColor="text1"/>
    </w:rPr>
  </w:style>
  <w:style w:type="paragraph" w:customStyle="1" w:styleId="Bodytext">
    <w:name w:val="Bodytext"/>
    <w:basedOn w:val="a"/>
    <w:link w:val="BodytextChar"/>
    <w:autoRedefine/>
    <w:qFormat/>
    <w:rsid w:val="00911D1A"/>
    <w:pPr>
      <w:jc w:val="both"/>
    </w:pPr>
    <w:rPr>
      <w:rFonts w:asciiTheme="minorHAnsi" w:eastAsia="宋体" w:hAnsiTheme="minorHAnsi"/>
      <w:sz w:val="24"/>
    </w:rPr>
  </w:style>
  <w:style w:type="character" w:customStyle="1" w:styleId="BodytextChar">
    <w:name w:val="Bodytext Char"/>
    <w:basedOn w:val="a0"/>
    <w:link w:val="Bodytext"/>
    <w:rsid w:val="00911D1A"/>
    <w:rPr>
      <w:sz w:val="24"/>
    </w:rPr>
  </w:style>
  <w:style w:type="character" w:customStyle="1" w:styleId="30">
    <w:name w:val="标题 3 字符"/>
    <w:basedOn w:val="a0"/>
    <w:link w:val="3"/>
    <w:uiPriority w:val="9"/>
    <w:semiHidden/>
    <w:rsid w:val="004306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rsid w:val="00430659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标题 5 字符"/>
    <w:basedOn w:val="a0"/>
    <w:link w:val="5"/>
    <w:uiPriority w:val="9"/>
    <w:semiHidden/>
    <w:rsid w:val="00430659"/>
    <w:rPr>
      <w:rFonts w:eastAsiaTheme="majorEastAsia" w:cstheme="majorBidi"/>
      <w:color w:val="2F5496" w:themeColor="accent1" w:themeShade="BF"/>
    </w:rPr>
  </w:style>
  <w:style w:type="character" w:customStyle="1" w:styleId="60">
    <w:name w:val="标题 6 字符"/>
    <w:basedOn w:val="a0"/>
    <w:link w:val="6"/>
    <w:uiPriority w:val="9"/>
    <w:semiHidden/>
    <w:rsid w:val="0043065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标题 7 字符"/>
    <w:basedOn w:val="a0"/>
    <w:link w:val="7"/>
    <w:uiPriority w:val="9"/>
    <w:semiHidden/>
    <w:rsid w:val="00430659"/>
    <w:rPr>
      <w:rFonts w:eastAsiaTheme="majorEastAsia" w:cstheme="majorBidi"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3065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标题 9 字符"/>
    <w:basedOn w:val="a0"/>
    <w:link w:val="9"/>
    <w:uiPriority w:val="9"/>
    <w:semiHidden/>
    <w:rsid w:val="00430659"/>
    <w:rPr>
      <w:rFonts w:eastAsiaTheme="majorEastAsia" w:cstheme="majorBidi"/>
      <w:color w:val="272727" w:themeColor="text1" w:themeTint="D8"/>
    </w:rPr>
  </w:style>
  <w:style w:type="paragraph" w:styleId="a8">
    <w:name w:val="Title"/>
    <w:basedOn w:val="a"/>
    <w:next w:val="a"/>
    <w:link w:val="a9"/>
    <w:uiPriority w:val="10"/>
    <w:qFormat/>
    <w:rsid w:val="0043065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9">
    <w:name w:val="标题 字符"/>
    <w:basedOn w:val="a0"/>
    <w:link w:val="a8"/>
    <w:uiPriority w:val="10"/>
    <w:rsid w:val="004306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a">
    <w:name w:val="Subtitle"/>
    <w:basedOn w:val="a"/>
    <w:next w:val="a"/>
    <w:link w:val="ab"/>
    <w:uiPriority w:val="11"/>
    <w:qFormat/>
    <w:rsid w:val="00430659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ab">
    <w:name w:val="副标题 字符"/>
    <w:basedOn w:val="a0"/>
    <w:link w:val="aa"/>
    <w:uiPriority w:val="11"/>
    <w:rsid w:val="004306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c">
    <w:name w:val="Quote"/>
    <w:basedOn w:val="a"/>
    <w:next w:val="a"/>
    <w:link w:val="ad"/>
    <w:uiPriority w:val="29"/>
    <w:qFormat/>
    <w:rsid w:val="0043065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d">
    <w:name w:val="引用 字符"/>
    <w:basedOn w:val="a0"/>
    <w:link w:val="ac"/>
    <w:uiPriority w:val="29"/>
    <w:rsid w:val="00430659"/>
    <w:rPr>
      <w:rFonts w:ascii="Times New Roman" w:hAnsi="Times New Roman"/>
      <w:i/>
      <w:iCs/>
      <w:color w:val="404040" w:themeColor="text1" w:themeTint="BF"/>
    </w:rPr>
  </w:style>
  <w:style w:type="paragraph" w:styleId="ae">
    <w:name w:val="List Paragraph"/>
    <w:basedOn w:val="a"/>
    <w:uiPriority w:val="34"/>
    <w:qFormat/>
    <w:rsid w:val="00430659"/>
    <w:pPr>
      <w:ind w:left="720"/>
      <w:contextualSpacing/>
    </w:pPr>
  </w:style>
  <w:style w:type="character" w:styleId="af">
    <w:name w:val="Intense Emphasis"/>
    <w:basedOn w:val="a0"/>
    <w:uiPriority w:val="21"/>
    <w:qFormat/>
    <w:rsid w:val="00430659"/>
    <w:rPr>
      <w:i/>
      <w:iCs/>
      <w:color w:val="2F5496" w:themeColor="accent1" w:themeShade="BF"/>
    </w:rPr>
  </w:style>
  <w:style w:type="paragraph" w:styleId="af0">
    <w:name w:val="Intense Quote"/>
    <w:basedOn w:val="a"/>
    <w:next w:val="a"/>
    <w:link w:val="af1"/>
    <w:uiPriority w:val="30"/>
    <w:qFormat/>
    <w:rsid w:val="004306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f1">
    <w:name w:val="明显引用 字符"/>
    <w:basedOn w:val="a0"/>
    <w:link w:val="af0"/>
    <w:uiPriority w:val="30"/>
    <w:rsid w:val="00430659"/>
    <w:rPr>
      <w:rFonts w:ascii="Times New Roman" w:hAnsi="Times New Roman"/>
      <w:i/>
      <w:iCs/>
      <w:color w:val="2F5496" w:themeColor="accent1" w:themeShade="BF"/>
    </w:rPr>
  </w:style>
  <w:style w:type="character" w:styleId="af2">
    <w:name w:val="Intense Reference"/>
    <w:basedOn w:val="a0"/>
    <w:uiPriority w:val="32"/>
    <w:qFormat/>
    <w:rsid w:val="00430659"/>
    <w:rPr>
      <w:b/>
      <w:bCs/>
      <w:smallCaps/>
      <w:color w:val="2F5496" w:themeColor="accent1" w:themeShade="BF"/>
      <w:spacing w:val="5"/>
    </w:rPr>
  </w:style>
  <w:style w:type="paragraph" w:styleId="af3">
    <w:name w:val="header"/>
    <w:basedOn w:val="a"/>
    <w:link w:val="af4"/>
    <w:uiPriority w:val="99"/>
    <w:unhideWhenUsed/>
    <w:rsid w:val="001E4272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af4">
    <w:name w:val="页眉 字符"/>
    <w:basedOn w:val="a0"/>
    <w:link w:val="af3"/>
    <w:uiPriority w:val="99"/>
    <w:rsid w:val="001E4272"/>
    <w:rPr>
      <w:rFonts w:ascii="Times New Roman" w:hAnsi="Times New Roman"/>
    </w:rPr>
  </w:style>
  <w:style w:type="paragraph" w:styleId="af5">
    <w:name w:val="footer"/>
    <w:basedOn w:val="a"/>
    <w:link w:val="af6"/>
    <w:uiPriority w:val="99"/>
    <w:unhideWhenUsed/>
    <w:rsid w:val="001E4272"/>
    <w:pPr>
      <w:tabs>
        <w:tab w:val="center" w:pos="4153"/>
        <w:tab w:val="right" w:pos="8306"/>
      </w:tabs>
      <w:spacing w:before="0" w:after="0" w:line="240" w:lineRule="auto"/>
    </w:pPr>
  </w:style>
  <w:style w:type="character" w:customStyle="1" w:styleId="af6">
    <w:name w:val="页脚 字符"/>
    <w:basedOn w:val="a0"/>
    <w:link w:val="af5"/>
    <w:uiPriority w:val="99"/>
    <w:rsid w:val="001E4272"/>
    <w:rPr>
      <w:rFonts w:ascii="Times New Roman" w:hAnsi="Times New Roman"/>
    </w:rPr>
  </w:style>
  <w:style w:type="character" w:styleId="af7">
    <w:name w:val="line number"/>
    <w:basedOn w:val="a0"/>
    <w:uiPriority w:val="99"/>
    <w:semiHidden/>
    <w:unhideWhenUsed/>
    <w:rsid w:val="00610A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8</Pages>
  <Words>787</Words>
  <Characters>4491</Characters>
  <Application>Microsoft Office Word</Application>
  <DocSecurity>0</DocSecurity>
  <Lines>37</Lines>
  <Paragraphs>10</Paragraphs>
  <ScaleCrop>false</ScaleCrop>
  <Company/>
  <LinksUpToDate>false</LinksUpToDate>
  <CharactersWithSpaces>5268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Kun Guo</dc:creator>
  <cp:keywords/>
  <dc:description/>
  <cp:lastModifiedBy>wenyong guo</cp:lastModifiedBy>
  <cp:revision>8</cp:revision>
  <dcterms:created xsi:type="dcterms:W3CDTF">2024-04-05T09:07:00Z</dcterms:created>
  <dcterms:modified xsi:type="dcterms:W3CDTF">2024-04-07T03:27:00Z</dcterms:modified>
</cp:coreProperties>
</file>