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5DB8F" w14:textId="26320EB6" w:rsidR="00233A9C" w:rsidRDefault="00573F8E" w:rsidP="00233A9C">
      <w:pPr>
        <w:rPr>
          <w:rFonts w:ascii="Arial" w:eastAsia="SimSun" w:hAnsi="Arial"/>
          <w:sz w:val="15"/>
          <w:szCs w:val="15"/>
        </w:rPr>
      </w:pPr>
      <w:r>
        <w:rPr>
          <w:rFonts w:ascii="Arial" w:eastAsia="SimSun" w:hAnsi="Arial"/>
          <w:noProof/>
          <w:sz w:val="15"/>
          <w:szCs w:val="15"/>
        </w:rPr>
        <w:drawing>
          <wp:inline distT="0" distB="0" distL="0" distR="0" wp14:anchorId="696B2086" wp14:editId="1D005330">
            <wp:extent cx="5274310" cy="27393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4B78B" w14:textId="77777777" w:rsidR="00233A9C" w:rsidRPr="002916BB" w:rsidRDefault="00233A9C" w:rsidP="00233A9C">
      <w:pPr>
        <w:spacing w:line="360" w:lineRule="auto"/>
        <w:rPr>
          <w:rFonts w:ascii="Arial" w:eastAsia="SimSun" w:hAnsi="Arial"/>
          <w:b/>
          <w:bCs/>
          <w:sz w:val="20"/>
          <w:szCs w:val="20"/>
          <w:lang w:val="en-GB"/>
        </w:rPr>
      </w:pPr>
      <w:r w:rsidRPr="002916BB">
        <w:rPr>
          <w:rFonts w:ascii="Arial" w:eastAsia="SimSun" w:hAnsi="Arial"/>
          <w:b/>
          <w:bCs/>
          <w:sz w:val="20"/>
          <w:szCs w:val="20"/>
          <w:lang w:val="en-GB"/>
        </w:rPr>
        <w:t>S</w:t>
      </w:r>
      <w:r w:rsidRPr="002916BB">
        <w:rPr>
          <w:rFonts w:ascii="Arial" w:eastAsia="SimSun" w:hAnsi="Arial" w:hint="eastAsia"/>
          <w:b/>
          <w:bCs/>
          <w:sz w:val="20"/>
          <w:szCs w:val="20"/>
          <w:lang w:val="en-GB"/>
        </w:rPr>
        <w:t>upple</w:t>
      </w:r>
      <w:r w:rsidRPr="002916BB">
        <w:rPr>
          <w:rFonts w:ascii="Arial" w:eastAsia="SimSun" w:hAnsi="Arial"/>
          <w:b/>
          <w:bCs/>
          <w:sz w:val="20"/>
          <w:szCs w:val="20"/>
          <w:lang w:val="en-GB"/>
        </w:rPr>
        <w:t>mentary Fig1</w:t>
      </w:r>
      <w:r w:rsidRPr="002916BB">
        <w:rPr>
          <w:rFonts w:ascii="Arial" w:eastAsia="SimSun" w:hAnsi="Arial" w:hint="eastAsia"/>
          <w:b/>
          <w:bCs/>
          <w:sz w:val="20"/>
          <w:szCs w:val="20"/>
          <w:lang w:val="en-GB"/>
        </w:rPr>
        <w:t>.</w:t>
      </w:r>
      <w:r w:rsidRPr="002916BB">
        <w:rPr>
          <w:rFonts w:ascii="Arial" w:eastAsia="SimSun" w:hAnsi="Arial"/>
          <w:b/>
          <w:bCs/>
          <w:sz w:val="20"/>
          <w:szCs w:val="20"/>
          <w:lang w:val="en-GB"/>
        </w:rPr>
        <w:t xml:space="preserve"> Establishment of BAG2-KO and BAG2-OE GC cell lines</w:t>
      </w:r>
    </w:p>
    <w:p w14:paraId="1A822AFC" w14:textId="77777777" w:rsidR="00233A9C" w:rsidRPr="002916BB" w:rsidRDefault="00233A9C" w:rsidP="00233A9C">
      <w:pPr>
        <w:spacing w:line="360" w:lineRule="auto"/>
        <w:rPr>
          <w:rFonts w:ascii="Arial" w:eastAsia="SimSun" w:hAnsi="Arial"/>
          <w:sz w:val="20"/>
          <w:szCs w:val="20"/>
        </w:rPr>
      </w:pPr>
      <w:r w:rsidRPr="002916BB">
        <w:rPr>
          <w:rFonts w:ascii="Arial" w:eastAsia="SimSun" w:hAnsi="Arial"/>
          <w:sz w:val="20"/>
          <w:szCs w:val="20"/>
        </w:rPr>
        <w:t>(A, B) BAG2 mRNA and protein expression levels were evaluated in a normal gastric mucosa cell line, GES, as well as several GC cell lines (MKN-45, HGC-27, SNU-216, AGS, NCI-N87).</w:t>
      </w:r>
    </w:p>
    <w:p w14:paraId="0EB7D712" w14:textId="77777777" w:rsidR="00233A9C" w:rsidRPr="002916BB" w:rsidRDefault="00233A9C" w:rsidP="00233A9C">
      <w:pPr>
        <w:spacing w:line="360" w:lineRule="auto"/>
        <w:rPr>
          <w:rFonts w:ascii="Arial" w:eastAsia="SimSun" w:hAnsi="Arial"/>
          <w:sz w:val="20"/>
          <w:szCs w:val="20"/>
        </w:rPr>
      </w:pPr>
      <w:r w:rsidRPr="002916BB">
        <w:rPr>
          <w:rFonts w:ascii="Arial" w:eastAsia="SimSun" w:hAnsi="Arial"/>
          <w:sz w:val="20"/>
          <w:szCs w:val="20"/>
        </w:rPr>
        <w:t>(C-F) The interference efficiency of BAG2-specific sgRNA and BAG2-specific LV-sgRNA was assessed.</w:t>
      </w:r>
    </w:p>
    <w:p w14:paraId="3DC298FE" w14:textId="5FA56F63" w:rsidR="00233A9C" w:rsidRPr="002916BB" w:rsidRDefault="00573F8E" w:rsidP="00233A9C">
      <w:pPr>
        <w:spacing w:line="360" w:lineRule="auto"/>
        <w:rPr>
          <w:rFonts w:ascii="Arial" w:eastAsia="SimSun" w:hAnsi="Arial"/>
          <w:sz w:val="20"/>
          <w:szCs w:val="20"/>
        </w:rPr>
      </w:pPr>
      <w:r w:rsidRPr="002916BB">
        <w:rPr>
          <w:rFonts w:ascii="Arial" w:eastAsia="SimSun" w:hAnsi="Arial"/>
          <w:noProof/>
          <w:sz w:val="20"/>
          <w:szCs w:val="20"/>
        </w:rPr>
        <w:drawing>
          <wp:inline distT="0" distB="0" distL="0" distR="0" wp14:anchorId="68AF0187" wp14:editId="21682D9B">
            <wp:extent cx="5274310" cy="219329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41EBD" w14:textId="77777777" w:rsidR="00233A9C" w:rsidRPr="002916BB" w:rsidRDefault="00233A9C" w:rsidP="00233A9C">
      <w:pPr>
        <w:spacing w:line="360" w:lineRule="auto"/>
        <w:rPr>
          <w:rFonts w:ascii="Arial" w:eastAsia="SimSun" w:hAnsi="Arial"/>
          <w:b/>
          <w:bCs/>
          <w:sz w:val="20"/>
          <w:szCs w:val="20"/>
        </w:rPr>
      </w:pPr>
      <w:r w:rsidRPr="002916BB">
        <w:rPr>
          <w:rFonts w:ascii="Arial" w:eastAsia="SimSun" w:hAnsi="Arial" w:hint="eastAsia"/>
          <w:b/>
          <w:bCs/>
          <w:sz w:val="20"/>
          <w:szCs w:val="20"/>
        </w:rPr>
        <w:t>S</w:t>
      </w:r>
      <w:r w:rsidRPr="002916BB">
        <w:rPr>
          <w:rFonts w:ascii="Arial" w:eastAsia="SimSun" w:hAnsi="Arial"/>
          <w:b/>
          <w:bCs/>
          <w:sz w:val="20"/>
          <w:szCs w:val="20"/>
        </w:rPr>
        <w:t>upplementary Fig2. BAG2 KO has no effect on the expression levels of Bcl-2 and BAX</w:t>
      </w:r>
    </w:p>
    <w:p w14:paraId="1ACC2A07" w14:textId="030C7F71" w:rsidR="00233A9C" w:rsidRPr="002916BB" w:rsidRDefault="00233A9C" w:rsidP="00233A9C">
      <w:pPr>
        <w:spacing w:line="360" w:lineRule="auto"/>
        <w:rPr>
          <w:rFonts w:ascii="Arial" w:eastAsia="SimSun" w:hAnsi="Arial"/>
          <w:sz w:val="20"/>
          <w:szCs w:val="20"/>
          <w:lang w:val="en-GB"/>
        </w:rPr>
      </w:pPr>
      <w:r w:rsidRPr="002916BB">
        <w:rPr>
          <w:rFonts w:ascii="Arial" w:eastAsia="SimSun" w:hAnsi="Arial"/>
          <w:sz w:val="20"/>
          <w:szCs w:val="20"/>
          <w:lang w:val="en-GB"/>
        </w:rPr>
        <w:t>(A) Immunoblots analysis was performed to examine the protein expression levels of apoptotic apoptosis factors (including BAX and BCL-2) in the BAG2 KO and WT cell lines. (B)</w:t>
      </w:r>
      <w:r w:rsidR="006F7DC1" w:rsidRPr="002916BB">
        <w:rPr>
          <w:sz w:val="20"/>
          <w:szCs w:val="20"/>
        </w:rPr>
        <w:t xml:space="preserve"> </w:t>
      </w:r>
      <w:r w:rsidR="006F7DC1" w:rsidRPr="002916BB">
        <w:rPr>
          <w:rFonts w:ascii="Arial" w:eastAsia="SimSun" w:hAnsi="Arial"/>
          <w:sz w:val="20"/>
          <w:szCs w:val="20"/>
          <w:lang w:val="en-GB"/>
        </w:rPr>
        <w:t xml:space="preserve">Representative images of </w:t>
      </w:r>
      <w:proofErr w:type="spellStart"/>
      <w:r w:rsidR="006F7DC1" w:rsidRPr="002916BB">
        <w:rPr>
          <w:rFonts w:ascii="Arial" w:eastAsia="SimSun" w:hAnsi="Arial"/>
          <w:sz w:val="20"/>
          <w:szCs w:val="20"/>
          <w:lang w:val="en-GB"/>
        </w:rPr>
        <w:t>hematoxylin</w:t>
      </w:r>
      <w:proofErr w:type="spellEnd"/>
      <w:r w:rsidR="006F7DC1" w:rsidRPr="002916BB">
        <w:rPr>
          <w:rFonts w:ascii="Arial" w:eastAsia="SimSun" w:hAnsi="Arial"/>
          <w:sz w:val="20"/>
          <w:szCs w:val="20"/>
          <w:lang w:val="en-GB"/>
        </w:rPr>
        <w:t xml:space="preserve">–eosin (H&amp;E) in mice xenograft </w:t>
      </w:r>
      <w:proofErr w:type="spellStart"/>
      <w:r w:rsidR="006F7DC1" w:rsidRPr="002916BB">
        <w:rPr>
          <w:rFonts w:ascii="Arial" w:eastAsia="SimSun" w:hAnsi="Arial"/>
          <w:sz w:val="20"/>
          <w:szCs w:val="20"/>
          <w:lang w:val="en-GB"/>
        </w:rPr>
        <w:t>tumors</w:t>
      </w:r>
      <w:proofErr w:type="spellEnd"/>
      <w:r w:rsidR="006F7DC1" w:rsidRPr="002916BB">
        <w:rPr>
          <w:rFonts w:ascii="Arial" w:eastAsia="SimSun" w:hAnsi="Arial"/>
          <w:sz w:val="20"/>
          <w:szCs w:val="20"/>
          <w:lang w:val="en-GB"/>
        </w:rPr>
        <w:t xml:space="preserve"> treated with BAG2 KO</w:t>
      </w:r>
      <w:r w:rsidR="006F7DC1" w:rsidRPr="002916BB">
        <w:rPr>
          <w:rFonts w:ascii="Arial" w:eastAsia="SimSun" w:hAnsi="Arial" w:hint="eastAsia"/>
          <w:sz w:val="20"/>
          <w:szCs w:val="20"/>
          <w:lang w:val="en-GB"/>
        </w:rPr>
        <w:t>.</w:t>
      </w:r>
    </w:p>
    <w:p w14:paraId="257521A4" w14:textId="5B1E7E9C" w:rsidR="00233A9C" w:rsidRPr="002916BB" w:rsidRDefault="00573F8E" w:rsidP="00233A9C">
      <w:pPr>
        <w:rPr>
          <w:rFonts w:ascii="Arial" w:eastAsia="SimSun" w:hAnsi="Arial"/>
          <w:sz w:val="20"/>
          <w:szCs w:val="20"/>
        </w:rPr>
      </w:pPr>
      <w:r w:rsidRPr="002916BB">
        <w:rPr>
          <w:rFonts w:ascii="Arial" w:eastAsia="SimSun" w:hAnsi="Arial"/>
          <w:noProof/>
          <w:sz w:val="20"/>
          <w:szCs w:val="20"/>
        </w:rPr>
        <w:lastRenderedPageBreak/>
        <w:drawing>
          <wp:inline distT="0" distB="0" distL="0" distR="0" wp14:anchorId="3BEC156B" wp14:editId="53602699">
            <wp:extent cx="5274310" cy="202946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854EA" w14:textId="77777777" w:rsidR="00233A9C" w:rsidRPr="002916BB" w:rsidRDefault="00233A9C" w:rsidP="00233A9C">
      <w:pPr>
        <w:spacing w:line="360" w:lineRule="auto"/>
        <w:jc w:val="left"/>
        <w:rPr>
          <w:rFonts w:ascii="Arial" w:eastAsia="SimSun" w:hAnsi="Arial"/>
          <w:sz w:val="20"/>
          <w:szCs w:val="20"/>
          <w:lang w:val="en-GB"/>
        </w:rPr>
      </w:pPr>
      <w:r w:rsidRPr="002916BB">
        <w:rPr>
          <w:rFonts w:ascii="Arial" w:eastAsia="SimSun" w:hAnsi="Arial"/>
          <w:b/>
          <w:bCs/>
          <w:sz w:val="20"/>
          <w:szCs w:val="20"/>
          <w:lang w:val="en-GB"/>
        </w:rPr>
        <w:t>S</w:t>
      </w:r>
      <w:r w:rsidRPr="002916BB">
        <w:rPr>
          <w:rFonts w:ascii="Arial" w:eastAsia="SimSun" w:hAnsi="Arial" w:hint="eastAsia"/>
          <w:b/>
          <w:bCs/>
          <w:sz w:val="20"/>
          <w:szCs w:val="20"/>
          <w:lang w:val="en-GB"/>
        </w:rPr>
        <w:t>upple</w:t>
      </w:r>
      <w:r w:rsidRPr="002916BB">
        <w:rPr>
          <w:rFonts w:ascii="Arial" w:eastAsia="SimSun" w:hAnsi="Arial"/>
          <w:b/>
          <w:bCs/>
          <w:sz w:val="20"/>
          <w:szCs w:val="20"/>
          <w:lang w:val="en-GB"/>
        </w:rPr>
        <w:t>mentary Fig3.</w:t>
      </w:r>
      <w:r w:rsidRPr="002916BB">
        <w:rPr>
          <w:rFonts w:ascii="Arial" w:eastAsia="SimSun" w:hAnsi="Arial"/>
          <w:sz w:val="20"/>
          <w:szCs w:val="20"/>
          <w:lang w:val="en-GB"/>
        </w:rPr>
        <w:t xml:space="preserve"> Co-immunoprecipitation assays of BAG2, CHIP, or HSP70 co-expressed in AGS cells. IP, immunoprecipitation; WCL, whole-cell lysates.</w:t>
      </w:r>
    </w:p>
    <w:p w14:paraId="50F56344" w14:textId="230A1AB3" w:rsidR="00233A9C" w:rsidRPr="002916BB" w:rsidRDefault="00573F8E" w:rsidP="00233A9C">
      <w:pPr>
        <w:rPr>
          <w:rFonts w:ascii="Arial" w:eastAsia="SimSun" w:hAnsi="Arial"/>
          <w:sz w:val="20"/>
          <w:szCs w:val="20"/>
        </w:rPr>
      </w:pPr>
      <w:r w:rsidRPr="002916BB">
        <w:rPr>
          <w:rFonts w:ascii="Arial" w:eastAsia="SimSun" w:hAnsi="Arial"/>
          <w:noProof/>
          <w:sz w:val="20"/>
          <w:szCs w:val="20"/>
        </w:rPr>
        <w:lastRenderedPageBreak/>
        <w:drawing>
          <wp:inline distT="0" distB="0" distL="0" distR="0" wp14:anchorId="55AF1067" wp14:editId="253575BA">
            <wp:extent cx="5274310" cy="664210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DFD7E" w14:textId="1B2B847D" w:rsidR="00233A9C" w:rsidRPr="002916BB" w:rsidRDefault="00233A9C" w:rsidP="00233A9C">
      <w:pPr>
        <w:spacing w:line="360" w:lineRule="auto"/>
        <w:rPr>
          <w:rFonts w:ascii="Arial" w:eastAsia="SimSun" w:hAnsi="Arial"/>
          <w:b/>
          <w:bCs/>
          <w:sz w:val="20"/>
          <w:szCs w:val="20"/>
        </w:rPr>
      </w:pPr>
      <w:r w:rsidRPr="002916BB">
        <w:rPr>
          <w:rFonts w:ascii="Arial" w:eastAsia="SimSun" w:hAnsi="Arial"/>
          <w:b/>
          <w:bCs/>
          <w:sz w:val="20"/>
          <w:szCs w:val="20"/>
        </w:rPr>
        <w:t xml:space="preserve">Supplementary Fig. 4 </w:t>
      </w:r>
      <w:r w:rsidR="009A3761" w:rsidRPr="002916BB">
        <w:rPr>
          <w:rFonts w:ascii="Arial" w:eastAsia="SimSun" w:hAnsi="Arial"/>
          <w:b/>
          <w:bCs/>
          <w:sz w:val="20"/>
          <w:szCs w:val="20"/>
        </w:rPr>
        <w:t>D</w:t>
      </w:r>
      <w:r w:rsidRPr="002916BB">
        <w:rPr>
          <w:rFonts w:ascii="Arial" w:eastAsia="SimSun" w:hAnsi="Arial"/>
          <w:b/>
          <w:bCs/>
          <w:sz w:val="20"/>
          <w:szCs w:val="20"/>
        </w:rPr>
        <w:t xml:space="preserve">ocking scoring of the top 41 small molecule compounds </w:t>
      </w:r>
      <w:r w:rsidR="009A3761" w:rsidRPr="002916BB">
        <w:rPr>
          <w:rFonts w:ascii="Arial" w:eastAsia="SimSun" w:hAnsi="Arial"/>
          <w:b/>
          <w:bCs/>
          <w:sz w:val="20"/>
          <w:szCs w:val="20"/>
        </w:rPr>
        <w:t xml:space="preserve">and </w:t>
      </w:r>
      <w:r w:rsidR="00E67289" w:rsidRPr="002916BB">
        <w:rPr>
          <w:rFonts w:ascii="Arial" w:eastAsia="SimSun" w:hAnsi="Arial"/>
          <w:b/>
          <w:bCs/>
          <w:sz w:val="20"/>
          <w:szCs w:val="20"/>
        </w:rPr>
        <w:t>t</w:t>
      </w:r>
      <w:r w:rsidR="009A3761" w:rsidRPr="002916BB">
        <w:rPr>
          <w:rFonts w:ascii="Arial" w:eastAsia="SimSun" w:hAnsi="Arial"/>
          <w:b/>
          <w:bCs/>
          <w:sz w:val="20"/>
          <w:szCs w:val="20"/>
        </w:rPr>
        <w:t>he effects on HGC-27 cell viability were studied.</w:t>
      </w:r>
    </w:p>
    <w:p w14:paraId="52B20BEA" w14:textId="2BD95590" w:rsidR="00233A9C" w:rsidRPr="002916BB" w:rsidRDefault="00233A9C" w:rsidP="00233A9C">
      <w:pPr>
        <w:spacing w:line="360" w:lineRule="auto"/>
        <w:rPr>
          <w:rFonts w:ascii="Arial" w:eastAsia="SimSun" w:hAnsi="Arial"/>
          <w:sz w:val="20"/>
          <w:szCs w:val="20"/>
        </w:rPr>
      </w:pPr>
      <w:r w:rsidRPr="002916BB">
        <w:rPr>
          <w:rFonts w:ascii="Arial" w:eastAsia="SimSun" w:hAnsi="Arial"/>
          <w:sz w:val="20"/>
          <w:szCs w:val="20"/>
        </w:rPr>
        <w:t>(</w:t>
      </w:r>
      <w:r w:rsidR="009A3761" w:rsidRPr="002916BB">
        <w:rPr>
          <w:rFonts w:ascii="Arial" w:eastAsia="SimSun" w:hAnsi="Arial"/>
          <w:sz w:val="20"/>
          <w:szCs w:val="20"/>
        </w:rPr>
        <w:t>A</w:t>
      </w:r>
      <w:r w:rsidRPr="002916BB">
        <w:rPr>
          <w:rFonts w:ascii="Arial" w:eastAsia="SimSun" w:hAnsi="Arial"/>
          <w:sz w:val="20"/>
          <w:szCs w:val="20"/>
        </w:rPr>
        <w:t xml:space="preserve">) Docking score of </w:t>
      </w:r>
      <w:r w:rsidRPr="002916BB">
        <w:rPr>
          <w:rFonts w:ascii="Arial" w:eastAsia="SimSun" w:hAnsi="Arial"/>
          <w:sz w:val="20"/>
          <w:szCs w:val="20"/>
          <w:lang w:val="en-GB"/>
        </w:rPr>
        <w:t>17 675</w:t>
      </w:r>
      <w:r w:rsidRPr="002916BB">
        <w:rPr>
          <w:rFonts w:ascii="Arial" w:eastAsia="SimSun" w:hAnsi="Arial"/>
          <w:sz w:val="20"/>
          <w:szCs w:val="20"/>
        </w:rPr>
        <w:t xml:space="preserve"> small molecules with CHIP using virtual screening.</w:t>
      </w:r>
    </w:p>
    <w:p w14:paraId="137FF072" w14:textId="5E02DA19" w:rsidR="00233A9C" w:rsidRPr="002916BB" w:rsidRDefault="00233A9C" w:rsidP="00233A9C">
      <w:pPr>
        <w:spacing w:line="360" w:lineRule="auto"/>
        <w:rPr>
          <w:rFonts w:ascii="Arial" w:eastAsia="SimSun" w:hAnsi="Arial"/>
          <w:sz w:val="20"/>
          <w:szCs w:val="20"/>
        </w:rPr>
      </w:pPr>
      <w:r w:rsidRPr="002916BB">
        <w:rPr>
          <w:rFonts w:ascii="Arial" w:eastAsia="SimSun" w:hAnsi="Arial"/>
          <w:sz w:val="20"/>
          <w:szCs w:val="20"/>
        </w:rPr>
        <w:t>(</w:t>
      </w:r>
      <w:r w:rsidR="009A3761" w:rsidRPr="002916BB">
        <w:rPr>
          <w:rFonts w:ascii="Arial" w:eastAsia="SimSun" w:hAnsi="Arial"/>
          <w:sz w:val="20"/>
          <w:szCs w:val="20"/>
        </w:rPr>
        <w:t>B</w:t>
      </w:r>
      <w:r w:rsidRPr="002916BB">
        <w:rPr>
          <w:rFonts w:ascii="Arial" w:eastAsia="SimSun" w:hAnsi="Arial"/>
          <w:sz w:val="20"/>
          <w:szCs w:val="20"/>
        </w:rPr>
        <w:t>) Detailed docking scoring of top 41 small molecule compounds.</w:t>
      </w:r>
    </w:p>
    <w:p w14:paraId="2E37F020" w14:textId="7935A30C" w:rsidR="00233A9C" w:rsidRPr="002916BB" w:rsidRDefault="00233A9C" w:rsidP="00233A9C">
      <w:pPr>
        <w:spacing w:line="360" w:lineRule="auto"/>
        <w:rPr>
          <w:rFonts w:ascii="Arial" w:eastAsia="SimSun" w:hAnsi="Arial"/>
          <w:sz w:val="20"/>
          <w:szCs w:val="20"/>
        </w:rPr>
      </w:pPr>
      <w:r w:rsidRPr="002916BB">
        <w:rPr>
          <w:rFonts w:ascii="Arial" w:eastAsia="SimSun" w:hAnsi="Arial"/>
          <w:sz w:val="20"/>
          <w:szCs w:val="20"/>
        </w:rPr>
        <w:t>(</w:t>
      </w:r>
      <w:r w:rsidR="009A3761" w:rsidRPr="002916BB">
        <w:rPr>
          <w:rFonts w:ascii="Arial" w:eastAsia="SimSun" w:hAnsi="Arial"/>
          <w:sz w:val="20"/>
          <w:szCs w:val="20"/>
        </w:rPr>
        <w:t>C</w:t>
      </w:r>
      <w:r w:rsidRPr="002916BB">
        <w:rPr>
          <w:rFonts w:ascii="Arial" w:eastAsia="SimSun" w:hAnsi="Arial"/>
          <w:sz w:val="20"/>
          <w:szCs w:val="20"/>
        </w:rPr>
        <w:t>) Effect of the top 41 small molecules on the activity of the GC cell line HGC-27.</w:t>
      </w:r>
    </w:p>
    <w:p w14:paraId="2EC813A7" w14:textId="5202D975" w:rsidR="005A2AC5" w:rsidRPr="002916BB" w:rsidRDefault="00573F8E">
      <w:pPr>
        <w:rPr>
          <w:sz w:val="20"/>
          <w:szCs w:val="20"/>
        </w:rPr>
      </w:pPr>
      <w:r w:rsidRPr="002916BB">
        <w:rPr>
          <w:noProof/>
          <w:sz w:val="20"/>
          <w:szCs w:val="20"/>
        </w:rPr>
        <w:lastRenderedPageBreak/>
        <w:drawing>
          <wp:inline distT="0" distB="0" distL="0" distR="0" wp14:anchorId="525D3F22" wp14:editId="680A63EA">
            <wp:extent cx="5274310" cy="1687195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9D0B3" w14:textId="4DA5C287" w:rsidR="00754D55" w:rsidRPr="002916BB" w:rsidRDefault="00754D55" w:rsidP="00754D55">
      <w:pPr>
        <w:spacing w:line="360" w:lineRule="auto"/>
        <w:rPr>
          <w:rFonts w:ascii="Arial" w:eastAsia="SimSun" w:hAnsi="Arial" w:cs="Arial"/>
          <w:sz w:val="20"/>
          <w:szCs w:val="20"/>
          <w:lang w:val="en-GB"/>
        </w:rPr>
      </w:pPr>
      <w:r w:rsidRPr="002916BB">
        <w:rPr>
          <w:rFonts w:ascii="Arial" w:eastAsia="SimSun" w:hAnsi="Arial" w:cs="Arial"/>
          <w:b/>
          <w:bCs/>
          <w:sz w:val="20"/>
          <w:szCs w:val="20"/>
        </w:rPr>
        <w:t>Supplementary Fig5.</w:t>
      </w:r>
      <w:r w:rsidRPr="002916BB">
        <w:rPr>
          <w:rFonts w:ascii="Arial" w:eastAsia="SimSun" w:hAnsi="Arial" w:cs="Arial"/>
          <w:sz w:val="20"/>
          <w:szCs w:val="20"/>
          <w:lang w:val="en-GB"/>
        </w:rPr>
        <w:t xml:space="preserve"> Representative images of </w:t>
      </w:r>
      <w:proofErr w:type="spellStart"/>
      <w:r w:rsidRPr="002916BB">
        <w:rPr>
          <w:rFonts w:ascii="Arial" w:eastAsia="SimSun" w:hAnsi="Arial" w:cs="Arial"/>
          <w:sz w:val="20"/>
          <w:szCs w:val="20"/>
          <w:lang w:val="en-GB"/>
        </w:rPr>
        <w:t>hematoxylin</w:t>
      </w:r>
      <w:proofErr w:type="spellEnd"/>
      <w:r w:rsidRPr="002916BB">
        <w:rPr>
          <w:rFonts w:ascii="Arial" w:eastAsia="SimSun" w:hAnsi="Arial" w:cs="Arial"/>
          <w:sz w:val="20"/>
          <w:szCs w:val="20"/>
          <w:lang w:val="en-GB"/>
        </w:rPr>
        <w:t>–eosin (H&amp;E) in mice xenograft tumo</w:t>
      </w:r>
      <w:r w:rsidR="00821CDE" w:rsidRPr="002916BB">
        <w:rPr>
          <w:rFonts w:ascii="Arial" w:eastAsia="SimSun" w:hAnsi="Arial" w:cs="Arial"/>
          <w:sz w:val="20"/>
          <w:szCs w:val="20"/>
          <w:lang w:val="en-GB"/>
        </w:rPr>
        <w:t>u</w:t>
      </w:r>
      <w:r w:rsidRPr="002916BB">
        <w:rPr>
          <w:rFonts w:ascii="Arial" w:eastAsia="SimSun" w:hAnsi="Arial" w:cs="Arial"/>
          <w:sz w:val="20"/>
          <w:szCs w:val="20"/>
          <w:lang w:val="en-GB"/>
        </w:rPr>
        <w:t>rs treated with FIIN-2.</w:t>
      </w:r>
    </w:p>
    <w:p w14:paraId="314199E7" w14:textId="77777777" w:rsidR="00BB0759" w:rsidRPr="002916BB" w:rsidRDefault="00BB0759" w:rsidP="00BB0759">
      <w:pPr>
        <w:rPr>
          <w:rFonts w:ascii="Arial" w:eastAsia="SimSun" w:hAnsi="Arial" w:cs="Arial"/>
          <w:sz w:val="20"/>
          <w:szCs w:val="20"/>
        </w:rPr>
      </w:pPr>
    </w:p>
    <w:p w14:paraId="6B24A402" w14:textId="77777777" w:rsidR="00BB0759" w:rsidRPr="002916BB" w:rsidRDefault="00BB0759" w:rsidP="00754D55">
      <w:pPr>
        <w:spacing w:line="360" w:lineRule="auto"/>
        <w:rPr>
          <w:rFonts w:ascii="Arial" w:eastAsia="SimSun" w:hAnsi="Arial"/>
          <w:sz w:val="20"/>
          <w:szCs w:val="20"/>
          <w:lang w:val="en-GB"/>
        </w:rPr>
      </w:pPr>
    </w:p>
    <w:p w14:paraId="1FC2D405" w14:textId="77777777" w:rsidR="00754D55" w:rsidRPr="002916BB" w:rsidRDefault="00754D55">
      <w:pPr>
        <w:rPr>
          <w:sz w:val="20"/>
          <w:szCs w:val="20"/>
          <w:vertAlign w:val="subscript"/>
          <w:lang w:val="en-GB"/>
        </w:rPr>
      </w:pPr>
    </w:p>
    <w:sectPr w:rsidR="00754D55" w:rsidRPr="002916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79DE8" w14:textId="77777777" w:rsidR="00F953AD" w:rsidRDefault="00F953AD" w:rsidP="00233A9C">
      <w:r>
        <w:separator/>
      </w:r>
    </w:p>
  </w:endnote>
  <w:endnote w:type="continuationSeparator" w:id="0">
    <w:p w14:paraId="55CF1DA0" w14:textId="77777777" w:rsidR="00F953AD" w:rsidRDefault="00F953AD" w:rsidP="0023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7890D" w14:textId="77777777" w:rsidR="00F953AD" w:rsidRDefault="00F953AD" w:rsidP="00233A9C">
      <w:r>
        <w:separator/>
      </w:r>
    </w:p>
  </w:footnote>
  <w:footnote w:type="continuationSeparator" w:id="0">
    <w:p w14:paraId="7D464AE8" w14:textId="77777777" w:rsidR="00F953AD" w:rsidRDefault="00F953AD" w:rsidP="00233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B3"/>
    <w:rsid w:val="00011EEF"/>
    <w:rsid w:val="00200804"/>
    <w:rsid w:val="002057CE"/>
    <w:rsid w:val="00233A9C"/>
    <w:rsid w:val="002916BB"/>
    <w:rsid w:val="00345CE7"/>
    <w:rsid w:val="00427C2E"/>
    <w:rsid w:val="00573F8E"/>
    <w:rsid w:val="005A2AC5"/>
    <w:rsid w:val="006F6F3A"/>
    <w:rsid w:val="006F7DC1"/>
    <w:rsid w:val="00754D55"/>
    <w:rsid w:val="00821CDE"/>
    <w:rsid w:val="008E1EAB"/>
    <w:rsid w:val="00945D33"/>
    <w:rsid w:val="009A3761"/>
    <w:rsid w:val="00A33C9F"/>
    <w:rsid w:val="00A635B3"/>
    <w:rsid w:val="00AC4FE2"/>
    <w:rsid w:val="00BB0759"/>
    <w:rsid w:val="00D420D6"/>
    <w:rsid w:val="00D451DE"/>
    <w:rsid w:val="00D754CF"/>
    <w:rsid w:val="00E67289"/>
    <w:rsid w:val="00F9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5CCBF"/>
  <w15:chartTrackingRefBased/>
  <w15:docId w15:val="{34031DC2-2F95-4D37-ADDC-FBDE506A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A9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33A9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33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33A9C"/>
    <w:rPr>
      <w:sz w:val="18"/>
      <w:szCs w:val="18"/>
    </w:rPr>
  </w:style>
  <w:style w:type="table" w:styleId="TableGrid">
    <w:name w:val="Table Grid"/>
    <w:basedOn w:val="TableNormal"/>
    <w:rsid w:val="00BB0759"/>
    <w:rPr>
      <w:rFonts w:ascii="DengXian" w:eastAsia="DengXian" w:hAnsi="DengXian" w:cs="DengXian" w:hint="eastAsia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奋明</dc:creator>
  <cp:keywords/>
  <dc:description/>
  <cp:lastModifiedBy>Bhushan Tandale</cp:lastModifiedBy>
  <cp:revision>15</cp:revision>
  <dcterms:created xsi:type="dcterms:W3CDTF">2023-12-03T11:34:00Z</dcterms:created>
  <dcterms:modified xsi:type="dcterms:W3CDTF">2024-04-24T12:10:00Z</dcterms:modified>
</cp:coreProperties>
</file>