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57CB" w:rsidRPr="0062322A" w:rsidRDefault="002457CB" w:rsidP="002457CB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  <w:r w:rsidRPr="0072700C">
        <w:rPr>
          <w:rFonts w:ascii="Times New Roman" w:hAnsi="Times New Roman" w:cs="Times New Roman"/>
          <w:b/>
          <w:sz w:val="32"/>
          <w:szCs w:val="32"/>
        </w:rPr>
        <w:t xml:space="preserve">Enhanced virulence through genetic engineering of </w:t>
      </w:r>
      <w:r w:rsidRPr="00B229AF">
        <w:rPr>
          <w:rFonts w:ascii="Times New Roman" w:hAnsi="Times New Roman" w:cs="Times New Roman"/>
          <w:b/>
          <w:i/>
          <w:sz w:val="32"/>
          <w:szCs w:val="32"/>
        </w:rPr>
        <w:t>Beauveria bassiana</w:t>
      </w:r>
      <w:r w:rsidRPr="0072700C">
        <w:rPr>
          <w:rFonts w:ascii="Times New Roman" w:hAnsi="Times New Roman" w:cs="Times New Roman"/>
          <w:b/>
          <w:sz w:val="32"/>
          <w:szCs w:val="32"/>
        </w:rPr>
        <w:t xml:space="preserve"> blastospores </w:t>
      </w:r>
      <w:r>
        <w:rPr>
          <w:rFonts w:ascii="Times New Roman" w:hAnsi="Times New Roman" w:cs="Times New Roman"/>
          <w:b/>
          <w:sz w:val="32"/>
          <w:szCs w:val="32"/>
        </w:rPr>
        <w:t xml:space="preserve">by </w:t>
      </w:r>
      <w:r w:rsidRPr="0072700C">
        <w:rPr>
          <w:rFonts w:ascii="Times New Roman" w:hAnsi="Times New Roman" w:cs="Times New Roman"/>
          <w:b/>
          <w:sz w:val="32"/>
          <w:szCs w:val="32"/>
        </w:rPr>
        <w:t>overexpression of a cuticle-degrading endochitinase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2457CB" w:rsidRDefault="002457CB" w:rsidP="002457C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457CB" w:rsidRPr="009C0B88" w:rsidRDefault="002457CB" w:rsidP="002457C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C0B88">
        <w:rPr>
          <w:rFonts w:ascii="Times New Roman" w:hAnsi="Times New Roman" w:cs="Times New Roman"/>
          <w:sz w:val="24"/>
          <w:szCs w:val="24"/>
        </w:rPr>
        <w:t xml:space="preserve">Gabriel </w:t>
      </w:r>
      <w:r w:rsidRPr="002B48FC">
        <w:rPr>
          <w:rFonts w:ascii="Times New Roman" w:hAnsi="Times New Roman" w:cs="Times New Roman"/>
          <w:sz w:val="24"/>
          <w:szCs w:val="24"/>
        </w:rPr>
        <w:t>Moura Mascarin</w:t>
      </w:r>
      <w:r w:rsidRPr="002B48FC">
        <w:rPr>
          <w:rFonts w:ascii="Times New Roman" w:hAnsi="Times New Roman" w:cs="Times New Roman"/>
          <w:sz w:val="24"/>
          <w:szCs w:val="24"/>
          <w:vertAlign w:val="superscript"/>
        </w:rPr>
        <w:t>1,2*</w:t>
      </w:r>
      <w:r w:rsidRPr="002B48FC">
        <w:rPr>
          <w:rFonts w:ascii="Times New Roman" w:hAnsi="Times New Roman" w:cs="Times New Roman"/>
          <w:sz w:val="24"/>
          <w:szCs w:val="24"/>
        </w:rPr>
        <w:t>, Somraj Shrestha</w:t>
      </w:r>
      <w:r w:rsidRPr="002B48F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B48FC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Christopher A. Dunlap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, Jose Luis Ramirez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48FC">
        <w:rPr>
          <w:rFonts w:ascii="Times New Roman" w:hAnsi="Times New Roman" w:cs="Times New Roman"/>
          <w:sz w:val="24"/>
          <w:szCs w:val="24"/>
        </w:rPr>
        <w:t>Jeffrey J. Coleman</w:t>
      </w:r>
      <w:r w:rsidRPr="002B48FC">
        <w:rPr>
          <w:rFonts w:ascii="Times New Roman" w:hAnsi="Times New Roman" w:cs="Times New Roman"/>
          <w:sz w:val="24"/>
          <w:szCs w:val="24"/>
          <w:vertAlign w:val="superscript"/>
        </w:rPr>
        <w:t>2</w:t>
      </w:r>
    </w:p>
    <w:p w:rsidR="002457CB" w:rsidRPr="00EC073E" w:rsidRDefault="002457CB" w:rsidP="002457C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457CB" w:rsidRPr="00EC073E" w:rsidRDefault="002457CB" w:rsidP="002457C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457CB" w:rsidRPr="00FF06F4" w:rsidRDefault="002457CB" w:rsidP="002457C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06F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FF06F4">
        <w:rPr>
          <w:rFonts w:ascii="Times New Roman" w:hAnsi="Times New Roman"/>
          <w:sz w:val="24"/>
          <w:szCs w:val="24"/>
        </w:rPr>
        <w:t xml:space="preserve">Laboratory of Environmental Microbiology, Brazilian Agricultural Research Corporation, Embrapa </w:t>
      </w:r>
      <w:r w:rsidRPr="00FF06F4">
        <w:rPr>
          <w:rFonts w:ascii="Times New Roman" w:hAnsi="Times New Roman" w:cs="Times New Roman"/>
          <w:sz w:val="24"/>
          <w:szCs w:val="24"/>
        </w:rPr>
        <w:t xml:space="preserve">Environment, Rodovia SP 340, km 127.5, </w:t>
      </w:r>
      <w:r w:rsidRPr="00FF06F4">
        <w:rPr>
          <w:rFonts w:ascii="Times New Roman" w:hAnsi="Times New Roman"/>
          <w:sz w:val="24"/>
          <w:szCs w:val="24"/>
        </w:rPr>
        <w:t xml:space="preserve">13918-110 </w:t>
      </w:r>
      <w:r w:rsidRPr="00FF06F4">
        <w:rPr>
          <w:rFonts w:ascii="Times New Roman" w:hAnsi="Times New Roman" w:cs="Times New Roman"/>
          <w:sz w:val="24"/>
          <w:szCs w:val="24"/>
        </w:rPr>
        <w:t>Jaguariúna, SP, Brazil.</w:t>
      </w:r>
    </w:p>
    <w:p w:rsidR="002457CB" w:rsidRPr="001C20B5" w:rsidRDefault="002457CB" w:rsidP="002457C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06F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FF06F4">
        <w:rPr>
          <w:rFonts w:ascii="Times New Roman" w:hAnsi="Times New Roman" w:cs="Times New Roman"/>
          <w:sz w:val="24"/>
          <w:szCs w:val="24"/>
        </w:rPr>
        <w:t>Department of Entomology and Plant Pathology, Auburn University, Auburn, AL</w:t>
      </w:r>
      <w:r>
        <w:rPr>
          <w:rFonts w:ascii="Times New Roman" w:hAnsi="Times New Roman" w:cs="Times New Roman"/>
          <w:sz w:val="24"/>
          <w:szCs w:val="24"/>
        </w:rPr>
        <w:t xml:space="preserve"> 36849</w:t>
      </w:r>
      <w:r w:rsidRPr="00FF06F4">
        <w:rPr>
          <w:rFonts w:ascii="Times New Roman" w:hAnsi="Times New Roman" w:cs="Times New Roman"/>
          <w:sz w:val="24"/>
          <w:szCs w:val="24"/>
        </w:rPr>
        <w:t>, USA.</w:t>
      </w:r>
    </w:p>
    <w:p w:rsidR="002457CB" w:rsidRPr="001C20B5" w:rsidRDefault="002457CB" w:rsidP="002457C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F06F4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Crop Bioprotection Research Unit, National Center for Agricultural Research, USDA, Peoria,  IL 61604, USA</w:t>
      </w:r>
    </w:p>
    <w:p w:rsidR="002457CB" w:rsidRDefault="002457CB" w:rsidP="002457CB">
      <w:pPr>
        <w:rPr>
          <w:rFonts w:ascii="Times New Roman" w:hAnsi="Times New Roman" w:cs="Times New Roman"/>
          <w:b/>
          <w:sz w:val="24"/>
          <w:szCs w:val="20"/>
          <w:u w:val="single"/>
        </w:rPr>
      </w:pPr>
    </w:p>
    <w:p w:rsidR="002457CB" w:rsidRDefault="002457CB" w:rsidP="002457CB">
      <w:pPr>
        <w:jc w:val="center"/>
        <w:rPr>
          <w:rFonts w:ascii="Times New Roman" w:hAnsi="Times New Roman" w:cs="Times New Roman"/>
          <w:b/>
          <w:sz w:val="32"/>
          <w:szCs w:val="20"/>
          <w:u w:val="single"/>
        </w:rPr>
      </w:pPr>
    </w:p>
    <w:p w:rsidR="002457CB" w:rsidRDefault="002457CB" w:rsidP="002457CB">
      <w:pPr>
        <w:jc w:val="center"/>
        <w:rPr>
          <w:rFonts w:ascii="Times New Roman" w:hAnsi="Times New Roman" w:cs="Times New Roman"/>
          <w:b/>
          <w:sz w:val="32"/>
          <w:szCs w:val="20"/>
          <w:u w:val="single"/>
        </w:rPr>
      </w:pPr>
    </w:p>
    <w:p w:rsidR="002457CB" w:rsidRPr="002457CB" w:rsidRDefault="002457CB" w:rsidP="002457CB">
      <w:pPr>
        <w:jc w:val="center"/>
        <w:rPr>
          <w:rFonts w:ascii="Times New Roman" w:hAnsi="Times New Roman" w:cs="Times New Roman"/>
          <w:b/>
          <w:sz w:val="32"/>
          <w:szCs w:val="20"/>
          <w:u w:val="single"/>
        </w:rPr>
      </w:pPr>
      <w:bookmarkStart w:id="0" w:name="_GoBack"/>
      <w:bookmarkEnd w:id="0"/>
      <w:r w:rsidRPr="002457CB">
        <w:rPr>
          <w:rFonts w:ascii="Times New Roman" w:hAnsi="Times New Roman" w:cs="Times New Roman"/>
          <w:b/>
          <w:sz w:val="32"/>
          <w:szCs w:val="20"/>
          <w:u w:val="single"/>
        </w:rPr>
        <w:t>Supplementary material</w:t>
      </w:r>
    </w:p>
    <w:p w:rsidR="002457CB" w:rsidRDefault="002457CB" w:rsidP="002457CB">
      <w:pPr>
        <w:rPr>
          <w:rFonts w:ascii="Times New Roman" w:hAnsi="Times New Roman" w:cs="Times New Roman"/>
          <w:sz w:val="20"/>
          <w:szCs w:val="20"/>
          <w:u w:val="single"/>
        </w:rPr>
      </w:pPr>
    </w:p>
    <w:p w:rsidR="002457CB" w:rsidRDefault="002457CB" w:rsidP="002457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 wp14:anchorId="64933197" wp14:editId="7DE26BBB">
            <wp:extent cx="5306560" cy="4049485"/>
            <wp:effectExtent l="0" t="0" r="8890" b="8255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5371" cy="40562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457CB" w:rsidRPr="00C96358" w:rsidRDefault="002457CB" w:rsidP="002457C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144">
        <w:rPr>
          <w:rFonts w:ascii="Times New Roman" w:hAnsi="Times New Roman" w:cs="Times New Roman"/>
          <w:b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sz w:val="24"/>
          <w:szCs w:val="24"/>
        </w:rPr>
        <w:t>S1</w:t>
      </w:r>
      <w:r w:rsidRPr="00873144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Vector construction</w:t>
      </w:r>
      <w:r w:rsidRPr="00C96358">
        <w:rPr>
          <w:rFonts w:ascii="Times New Roman" w:hAnsi="Times New Roman" w:cs="Times New Roman"/>
          <w:bCs/>
          <w:sz w:val="24"/>
          <w:szCs w:val="24"/>
        </w:rPr>
        <w:t xml:space="preserve"> for overexpression of </w:t>
      </w:r>
      <w:r>
        <w:rPr>
          <w:rFonts w:ascii="Times New Roman" w:hAnsi="Times New Roman" w:cs="Times New Roman"/>
          <w:bCs/>
          <w:sz w:val="24"/>
          <w:szCs w:val="24"/>
        </w:rPr>
        <w:t xml:space="preserve">the endogenous </w:t>
      </w:r>
      <w:r w:rsidRPr="00C96358">
        <w:rPr>
          <w:rFonts w:ascii="Times New Roman" w:hAnsi="Times New Roman" w:cs="Times New Roman"/>
          <w:bCs/>
          <w:sz w:val="24"/>
          <w:szCs w:val="24"/>
        </w:rPr>
        <w:t xml:space="preserve">chitinase </w:t>
      </w:r>
      <w:r>
        <w:rPr>
          <w:rFonts w:ascii="Times New Roman" w:hAnsi="Times New Roman" w:cs="Times New Roman"/>
          <w:bCs/>
          <w:sz w:val="24"/>
          <w:szCs w:val="24"/>
        </w:rPr>
        <w:t xml:space="preserve">gene </w:t>
      </w:r>
      <w:r w:rsidRPr="00C96358">
        <w:rPr>
          <w:rFonts w:ascii="Times New Roman" w:hAnsi="Times New Roman" w:cs="Times New Roman"/>
          <w:bCs/>
          <w:i/>
          <w:sz w:val="24"/>
          <w:szCs w:val="24"/>
        </w:rPr>
        <w:t>BbChit1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3D6375">
        <w:rPr>
          <w:rFonts w:ascii="Times New Roman" w:hAnsi="Times New Roman" w:cs="Times New Roman"/>
          <w:b/>
          <w:bCs/>
          <w:sz w:val="24"/>
          <w:szCs w:val="24"/>
        </w:rPr>
        <w:t>(A)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96358">
        <w:rPr>
          <w:rFonts w:ascii="Times New Roman" w:hAnsi="Times New Roman" w:cs="Times New Roman"/>
          <w:sz w:val="24"/>
          <w:szCs w:val="24"/>
        </w:rPr>
        <w:t xml:space="preserve">Ligation of plasmid pUC19 and gene sequences of </w:t>
      </w:r>
      <w:r>
        <w:rPr>
          <w:rFonts w:ascii="Times New Roman" w:hAnsi="Times New Roman" w:cs="Times New Roman"/>
          <w:sz w:val="24"/>
          <w:szCs w:val="24"/>
        </w:rPr>
        <w:t>geneticin</w:t>
      </w:r>
      <w:r w:rsidRPr="00C96358">
        <w:rPr>
          <w:rFonts w:ascii="Times New Roman" w:hAnsi="Times New Roman" w:cs="Times New Roman"/>
          <w:sz w:val="24"/>
          <w:szCs w:val="24"/>
        </w:rPr>
        <w:t xml:space="preserve"> (pII99), </w:t>
      </w:r>
      <w:r w:rsidRPr="00BE2D7D">
        <w:rPr>
          <w:rFonts w:ascii="Times New Roman" w:hAnsi="Times New Roman" w:cs="Times New Roman"/>
          <w:i/>
          <w:sz w:val="24"/>
          <w:szCs w:val="24"/>
        </w:rPr>
        <w:t>gpdA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E2D7D">
        <w:rPr>
          <w:rFonts w:ascii="Times New Roman" w:hAnsi="Times New Roman" w:cs="Times New Roman"/>
          <w:sz w:val="24"/>
          <w:szCs w:val="24"/>
        </w:rPr>
        <w:t>promotor</w:t>
      </w:r>
      <w:r w:rsidRPr="00C9635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C96358">
        <w:rPr>
          <w:rFonts w:ascii="Times New Roman" w:hAnsi="Times New Roman" w:cs="Times New Roman"/>
          <w:sz w:val="24"/>
          <w:szCs w:val="24"/>
        </w:rPr>
        <w:t xml:space="preserve">chitinase </w:t>
      </w:r>
      <w:r>
        <w:rPr>
          <w:rFonts w:ascii="Times New Roman" w:hAnsi="Times New Roman" w:cs="Times New Roman"/>
          <w:sz w:val="24"/>
          <w:szCs w:val="24"/>
        </w:rPr>
        <w:t xml:space="preserve">gene </w:t>
      </w:r>
      <w:r w:rsidRPr="00C96358">
        <w:rPr>
          <w:rFonts w:ascii="Times New Roman" w:hAnsi="Times New Roman" w:cs="Times New Roman"/>
          <w:sz w:val="24"/>
          <w:szCs w:val="24"/>
        </w:rPr>
        <w:t>(</w:t>
      </w:r>
      <w:r w:rsidRPr="00C96358">
        <w:rPr>
          <w:rFonts w:ascii="Times New Roman" w:hAnsi="Times New Roman" w:cs="Times New Roman"/>
          <w:bCs/>
          <w:i/>
          <w:sz w:val="24"/>
          <w:szCs w:val="24"/>
        </w:rPr>
        <w:t>BbChit1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C96358">
        <w:rPr>
          <w:rFonts w:ascii="Times New Roman" w:hAnsi="Times New Roman" w:cs="Times New Roman"/>
          <w:sz w:val="24"/>
          <w:szCs w:val="24"/>
        </w:rPr>
        <w:t xml:space="preserve">. </w:t>
      </w:r>
      <w:r w:rsidRPr="005E2B85">
        <w:rPr>
          <w:rFonts w:ascii="Times New Roman" w:hAnsi="Times New Roman" w:cs="Times New Roman"/>
          <w:b/>
          <w:sz w:val="24"/>
          <w:szCs w:val="24"/>
        </w:rPr>
        <w:t>(B)</w:t>
      </w:r>
      <w:r>
        <w:rPr>
          <w:rFonts w:ascii="Times New Roman" w:hAnsi="Times New Roman" w:cs="Times New Roman"/>
          <w:sz w:val="24"/>
          <w:szCs w:val="24"/>
        </w:rPr>
        <w:t xml:space="preserve"> Map of the v</w:t>
      </w:r>
      <w:r w:rsidRPr="00D53619">
        <w:rPr>
          <w:rFonts w:ascii="Times New Roman" w:hAnsi="Times New Roman" w:cs="Times New Roman"/>
          <w:sz w:val="24"/>
          <w:szCs w:val="24"/>
        </w:rPr>
        <w:t xml:space="preserve">ector </w:t>
      </w:r>
      <w:r>
        <w:rPr>
          <w:rFonts w:ascii="Times New Roman" w:hAnsi="Times New Roman" w:cs="Times New Roman"/>
          <w:sz w:val="24"/>
          <w:szCs w:val="24"/>
        </w:rPr>
        <w:t xml:space="preserve">constructed for use in generation of the </w:t>
      </w:r>
      <w:r w:rsidRPr="00FD47E2">
        <w:rPr>
          <w:rFonts w:ascii="Times New Roman" w:hAnsi="Times New Roman" w:cs="Times New Roman"/>
          <w:i/>
          <w:iCs/>
          <w:sz w:val="24"/>
          <w:szCs w:val="24"/>
        </w:rPr>
        <w:t>BbChit1</w:t>
      </w:r>
      <w:r>
        <w:rPr>
          <w:rFonts w:ascii="Times New Roman" w:hAnsi="Times New Roman" w:cs="Times New Roman"/>
          <w:sz w:val="24"/>
          <w:szCs w:val="24"/>
        </w:rPr>
        <w:t xml:space="preserve"> overexpression strains. </w:t>
      </w:r>
    </w:p>
    <w:p w:rsidR="002457CB" w:rsidRDefault="002457CB" w:rsidP="002457CB">
      <w:pPr>
        <w:rPr>
          <w:b/>
          <w:sz w:val="28"/>
          <w:u w:val="single"/>
        </w:rPr>
      </w:pPr>
    </w:p>
    <w:p w:rsidR="002457CB" w:rsidRDefault="002457CB" w:rsidP="002457CB">
      <w:pPr>
        <w:spacing w:line="360" w:lineRule="auto"/>
        <w:rPr>
          <w:b/>
          <w:sz w:val="28"/>
        </w:rPr>
      </w:pPr>
      <w:r>
        <w:rPr>
          <w:b/>
          <w:noProof/>
          <w:sz w:val="28"/>
          <w:lang w:eastAsia="en-GB"/>
        </w:rPr>
        <w:drawing>
          <wp:inline distT="0" distB="0" distL="0" distR="0" wp14:anchorId="724BEB21" wp14:editId="6588371D">
            <wp:extent cx="5338119" cy="3808007"/>
            <wp:effectExtent l="0" t="0" r="0" b="254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0238" cy="38166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457CB" w:rsidRPr="00B01B53" w:rsidRDefault="002457CB" w:rsidP="002457CB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00B5B">
        <w:rPr>
          <w:rFonts w:ascii="Times New Roman" w:hAnsi="Times New Roman" w:cs="Times New Roman"/>
          <w:b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sz w:val="24"/>
          <w:szCs w:val="24"/>
        </w:rPr>
        <w:t>S2</w:t>
      </w:r>
      <w:r w:rsidRPr="00300B5B">
        <w:rPr>
          <w:rFonts w:ascii="Times New Roman" w:hAnsi="Times New Roman" w:cs="Times New Roman"/>
          <w:b/>
          <w:sz w:val="24"/>
          <w:szCs w:val="24"/>
        </w:rPr>
        <w:t>.</w:t>
      </w:r>
      <w:r w:rsidRPr="00300B5B">
        <w:rPr>
          <w:rFonts w:ascii="Times New Roman" w:hAnsi="Times New Roman" w:cs="Times New Roman"/>
          <w:sz w:val="24"/>
          <w:szCs w:val="24"/>
        </w:rPr>
        <w:t xml:space="preserve"> Flowchart</w:t>
      </w:r>
      <w:r w:rsidRPr="00B01B53">
        <w:rPr>
          <w:rFonts w:ascii="Times New Roman" w:hAnsi="Times New Roman" w:cs="Times New Roman"/>
          <w:sz w:val="24"/>
          <w:szCs w:val="24"/>
        </w:rPr>
        <w:t xml:space="preserve"> of </w:t>
      </w:r>
      <w:r w:rsidRPr="00916C18">
        <w:rPr>
          <w:rFonts w:ascii="Times New Roman" w:hAnsi="Times New Roman" w:cs="Times New Roman"/>
          <w:i/>
          <w:sz w:val="24"/>
          <w:szCs w:val="24"/>
        </w:rPr>
        <w:t>E. coli</w:t>
      </w:r>
      <w:r w:rsidRPr="00B01B53">
        <w:rPr>
          <w:rFonts w:ascii="Times New Roman" w:hAnsi="Times New Roman" w:cs="Times New Roman"/>
          <w:sz w:val="24"/>
          <w:szCs w:val="24"/>
        </w:rPr>
        <w:t xml:space="preserve"> transformation using heat-shock treatment with plasmids constructed with gpdA-</w:t>
      </w:r>
      <w:r w:rsidRPr="00B01B53">
        <w:rPr>
          <w:rFonts w:ascii="Times New Roman" w:hAnsi="Times New Roman" w:cs="Times New Roman"/>
          <w:i/>
          <w:sz w:val="24"/>
          <w:szCs w:val="24"/>
        </w:rPr>
        <w:t>BbChit1</w:t>
      </w:r>
      <w:r w:rsidRPr="00B01B5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geneticin</w:t>
      </w:r>
      <w:r w:rsidRPr="00B01B53">
        <w:rPr>
          <w:rFonts w:ascii="Times New Roman" w:hAnsi="Times New Roman" w:cs="Times New Roman"/>
          <w:sz w:val="24"/>
          <w:szCs w:val="24"/>
        </w:rPr>
        <w:t xml:space="preserve"> cassette </w:t>
      </w:r>
      <w:r>
        <w:rPr>
          <w:rFonts w:ascii="Times New Roman" w:hAnsi="Times New Roman" w:cs="Times New Roman"/>
          <w:sz w:val="24"/>
          <w:szCs w:val="24"/>
        </w:rPr>
        <w:t xml:space="preserve">in pUC-19 as the backbone </w:t>
      </w:r>
      <w:r w:rsidRPr="00B01B53">
        <w:rPr>
          <w:rFonts w:ascii="Times New Roman" w:hAnsi="Times New Roman" w:cs="Times New Roman"/>
          <w:sz w:val="24"/>
          <w:szCs w:val="24"/>
        </w:rPr>
        <w:t xml:space="preserve">for overexpression of </w:t>
      </w:r>
      <w:r>
        <w:rPr>
          <w:rFonts w:ascii="Times New Roman" w:hAnsi="Times New Roman" w:cs="Times New Roman"/>
          <w:sz w:val="24"/>
          <w:szCs w:val="24"/>
        </w:rPr>
        <w:t xml:space="preserve">an endogenous </w:t>
      </w:r>
      <w:r w:rsidRPr="00B01B53">
        <w:rPr>
          <w:rFonts w:ascii="Times New Roman" w:hAnsi="Times New Roman" w:cs="Times New Roman"/>
          <w:sz w:val="24"/>
          <w:szCs w:val="24"/>
        </w:rPr>
        <w:t xml:space="preserve">chitinase </w:t>
      </w:r>
      <w:r>
        <w:rPr>
          <w:rFonts w:ascii="Times New Roman" w:hAnsi="Times New Roman" w:cs="Times New Roman"/>
          <w:sz w:val="24"/>
          <w:szCs w:val="24"/>
        </w:rPr>
        <w:t>from</w:t>
      </w:r>
      <w:r w:rsidRPr="00B01B5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B.</w:t>
      </w:r>
      <w:r w:rsidRPr="00B01B53">
        <w:rPr>
          <w:rFonts w:ascii="Times New Roman" w:hAnsi="Times New Roman" w:cs="Times New Roman"/>
          <w:i/>
          <w:sz w:val="24"/>
          <w:szCs w:val="24"/>
        </w:rPr>
        <w:t xml:space="preserve"> bassiana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A04A7">
        <w:rPr>
          <w:rFonts w:ascii="Times New Roman" w:hAnsi="Times New Roman" w:cs="Times New Roman"/>
          <w:sz w:val="24"/>
          <w:szCs w:val="24"/>
        </w:rPr>
        <w:t>ARSEF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04A7">
        <w:rPr>
          <w:rFonts w:ascii="Times New Roman" w:hAnsi="Times New Roman" w:cs="Times New Roman"/>
          <w:sz w:val="24"/>
          <w:szCs w:val="24"/>
        </w:rPr>
        <w:t>2860</w:t>
      </w:r>
      <w:r w:rsidRPr="00B01B53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1) Agarose gel (0.8 w/v) of constructed plasmids with the target gene, </w:t>
      </w:r>
      <w:r w:rsidRPr="00916C18">
        <w:rPr>
          <w:rFonts w:ascii="Times New Roman" w:hAnsi="Times New Roman" w:cs="Times New Roman"/>
          <w:i/>
          <w:sz w:val="24"/>
          <w:szCs w:val="24"/>
        </w:rPr>
        <w:t>BbChit1</w:t>
      </w:r>
      <w:r>
        <w:rPr>
          <w:rFonts w:ascii="Times New Roman" w:hAnsi="Times New Roman" w:cs="Times New Roman"/>
          <w:sz w:val="24"/>
          <w:szCs w:val="24"/>
        </w:rPr>
        <w:t xml:space="preserve">. 2) Heat shock treatment at 42 °C for 45 sec of competent </w:t>
      </w:r>
      <w:r w:rsidRPr="00916C18">
        <w:rPr>
          <w:rFonts w:ascii="Times New Roman" w:hAnsi="Times New Roman" w:cs="Times New Roman"/>
          <w:i/>
          <w:sz w:val="24"/>
          <w:szCs w:val="24"/>
        </w:rPr>
        <w:t>E. coli</w:t>
      </w:r>
      <w:r>
        <w:rPr>
          <w:rFonts w:ascii="Times New Roman" w:hAnsi="Times New Roman" w:cs="Times New Roman"/>
          <w:sz w:val="24"/>
          <w:szCs w:val="24"/>
        </w:rPr>
        <w:t xml:space="preserve"> cells in the presence of plasmidial constructs. 3) Selection of white recombinant bacterial colonies grown on selective medium based on XGal/IPTG. 4) Screening recombinant bacterial colonies on LB medium + 100 mg/mL ampicillin for 24 h. 5) Plasmid extraction and further digestion with the restriction enzyme </w:t>
      </w:r>
      <w:r w:rsidRPr="009C236F">
        <w:rPr>
          <w:rFonts w:ascii="Times New Roman" w:hAnsi="Times New Roman" w:cs="Times New Roman"/>
          <w:i/>
          <w:sz w:val="24"/>
          <w:szCs w:val="24"/>
        </w:rPr>
        <w:t>EcoRI</w:t>
      </w:r>
      <w:r>
        <w:rPr>
          <w:rFonts w:ascii="Times New Roman" w:hAnsi="Times New Roman" w:cs="Times New Roman"/>
          <w:sz w:val="24"/>
          <w:szCs w:val="24"/>
        </w:rPr>
        <w:t xml:space="preserve">. 6) </w:t>
      </w:r>
      <w:r w:rsidRPr="009C236F">
        <w:rPr>
          <w:rFonts w:ascii="Times New Roman" w:hAnsi="Times New Roman" w:cs="Times New Roman"/>
          <w:sz w:val="24"/>
          <w:szCs w:val="24"/>
        </w:rPr>
        <w:t xml:space="preserve">PCR analysis of </w:t>
      </w:r>
      <w:r w:rsidRPr="009C236F">
        <w:rPr>
          <w:rFonts w:ascii="Times New Roman" w:hAnsi="Times New Roman" w:cs="Times New Roman"/>
          <w:i/>
          <w:iCs/>
          <w:sz w:val="24"/>
          <w:szCs w:val="24"/>
        </w:rPr>
        <w:t>E. coli</w:t>
      </w:r>
      <w:r w:rsidRPr="009C236F">
        <w:rPr>
          <w:rFonts w:ascii="Times New Roman" w:hAnsi="Times New Roman" w:cs="Times New Roman"/>
          <w:sz w:val="24"/>
          <w:szCs w:val="24"/>
        </w:rPr>
        <w:t xml:space="preserve"> colonies after transformation with plasmid constructs:</w:t>
      </w:r>
      <w:r>
        <w:rPr>
          <w:rFonts w:ascii="Times New Roman" w:hAnsi="Times New Roman" w:cs="Times New Roman"/>
          <w:sz w:val="24"/>
          <w:szCs w:val="24"/>
        </w:rPr>
        <w:t xml:space="preserve"> Lines 1 to 12 are digested plasmids from </w:t>
      </w:r>
      <w:r w:rsidRPr="00E538E7">
        <w:rPr>
          <w:rFonts w:ascii="Times New Roman" w:hAnsi="Times New Roman" w:cs="Times New Roman"/>
          <w:i/>
          <w:sz w:val="24"/>
          <w:szCs w:val="24"/>
        </w:rPr>
        <w:t>E. coli</w:t>
      </w:r>
      <w:r>
        <w:rPr>
          <w:rFonts w:ascii="Times New Roman" w:hAnsi="Times New Roman" w:cs="Times New Roman"/>
          <w:sz w:val="24"/>
          <w:szCs w:val="24"/>
        </w:rPr>
        <w:t xml:space="preserve"> transformed with the construct </w:t>
      </w:r>
      <w:r w:rsidRPr="00E538E7">
        <w:rPr>
          <w:rFonts w:ascii="Times New Roman" w:hAnsi="Times New Roman" w:cs="Times New Roman"/>
          <w:i/>
          <w:sz w:val="24"/>
          <w:szCs w:val="24"/>
        </w:rPr>
        <w:t>gpdA</w:t>
      </w:r>
      <w:r>
        <w:rPr>
          <w:rFonts w:ascii="Times New Roman" w:hAnsi="Times New Roman" w:cs="Times New Roman"/>
          <w:sz w:val="24"/>
          <w:szCs w:val="24"/>
        </w:rPr>
        <w:t>+</w:t>
      </w:r>
      <w:r w:rsidRPr="00E538E7">
        <w:rPr>
          <w:rFonts w:ascii="Times New Roman" w:hAnsi="Times New Roman" w:cs="Times New Roman"/>
          <w:i/>
          <w:sz w:val="24"/>
          <w:szCs w:val="24"/>
        </w:rPr>
        <w:t>BbChit1</w:t>
      </w:r>
      <w:r>
        <w:rPr>
          <w:rFonts w:ascii="Times New Roman" w:hAnsi="Times New Roman" w:cs="Times New Roman"/>
          <w:sz w:val="24"/>
          <w:szCs w:val="24"/>
        </w:rPr>
        <w:t>+geneticin</w:t>
      </w:r>
      <w:r w:rsidRPr="00B01B53">
        <w:rPr>
          <w:rFonts w:ascii="Times New Roman" w:hAnsi="Times New Roman" w:cs="Times New Roman"/>
          <w:bCs/>
          <w:sz w:val="24"/>
          <w:szCs w:val="24"/>
        </w:rPr>
        <w:t xml:space="preserve">. Positive mutants should appear with two bands on the 0.8% agarose gel after digestion only with </w:t>
      </w:r>
      <w:r w:rsidRPr="00D942DE">
        <w:rPr>
          <w:rFonts w:ascii="Times New Roman" w:hAnsi="Times New Roman" w:cs="Times New Roman"/>
          <w:bCs/>
          <w:i/>
          <w:sz w:val="24"/>
          <w:szCs w:val="24"/>
        </w:rPr>
        <w:t>EcoRI</w:t>
      </w:r>
      <w:r w:rsidRPr="00B01B53">
        <w:rPr>
          <w:rFonts w:ascii="Times New Roman" w:hAnsi="Times New Roman" w:cs="Times New Roman"/>
          <w:bCs/>
          <w:sz w:val="24"/>
          <w:szCs w:val="24"/>
        </w:rPr>
        <w:t xml:space="preserve">. More than 95% successful transformation in </w:t>
      </w:r>
      <w:r w:rsidRPr="00B01B53">
        <w:rPr>
          <w:rFonts w:ascii="Times New Roman" w:hAnsi="Times New Roman" w:cs="Times New Roman"/>
          <w:bCs/>
          <w:i/>
          <w:sz w:val="24"/>
          <w:szCs w:val="24"/>
        </w:rPr>
        <w:t>E. coli</w:t>
      </w:r>
      <w:r w:rsidRPr="00B01B5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achieved </w:t>
      </w:r>
      <w:r w:rsidRPr="00B01B53">
        <w:rPr>
          <w:rFonts w:ascii="Times New Roman" w:hAnsi="Times New Roman" w:cs="Times New Roman"/>
          <w:bCs/>
          <w:sz w:val="24"/>
          <w:szCs w:val="24"/>
        </w:rPr>
        <w:t xml:space="preserve">with </w:t>
      </w:r>
      <w:r w:rsidRPr="00B01B53">
        <w:rPr>
          <w:rFonts w:ascii="Times New Roman" w:hAnsi="Times New Roman" w:cs="Times New Roman"/>
          <w:bCs/>
          <w:i/>
          <w:sz w:val="24"/>
          <w:szCs w:val="24"/>
        </w:rPr>
        <w:t>BbChit1</w:t>
      </w:r>
      <w:r w:rsidRPr="00B01B53">
        <w:rPr>
          <w:rFonts w:ascii="Times New Roman" w:hAnsi="Times New Roman" w:cs="Times New Roman"/>
          <w:bCs/>
          <w:sz w:val="24"/>
          <w:szCs w:val="24"/>
        </w:rPr>
        <w:t>.</w:t>
      </w:r>
    </w:p>
    <w:p w:rsidR="00883B72" w:rsidRDefault="002457CB"/>
    <w:sectPr w:rsidR="00883B72"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57CB" w:rsidRDefault="002457CB" w:rsidP="002457CB">
      <w:pPr>
        <w:spacing w:after="0" w:line="240" w:lineRule="auto"/>
      </w:pPr>
      <w:r>
        <w:separator/>
      </w:r>
    </w:p>
  </w:endnote>
  <w:endnote w:type="continuationSeparator" w:id="0">
    <w:p w:rsidR="002457CB" w:rsidRDefault="002457CB" w:rsidP="002457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96679546"/>
      <w:docPartObj>
        <w:docPartGallery w:val="Page Numbers (Bottom of Page)"/>
        <w:docPartUnique/>
      </w:docPartObj>
    </w:sdtPr>
    <w:sdtContent>
      <w:p w:rsidR="002457CB" w:rsidRDefault="002457CB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2457CB">
          <w:rPr>
            <w:noProof/>
            <w:lang w:val="pt-BR"/>
          </w:rPr>
          <w:t>1</w:t>
        </w:r>
        <w:r>
          <w:fldChar w:fldCharType="end"/>
        </w:r>
      </w:p>
    </w:sdtContent>
  </w:sdt>
  <w:p w:rsidR="002457CB" w:rsidRDefault="002457CB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57CB" w:rsidRDefault="002457CB" w:rsidP="002457CB">
      <w:pPr>
        <w:spacing w:after="0" w:line="240" w:lineRule="auto"/>
      </w:pPr>
      <w:r>
        <w:separator/>
      </w:r>
    </w:p>
  </w:footnote>
  <w:footnote w:type="continuationSeparator" w:id="0">
    <w:p w:rsidR="002457CB" w:rsidRDefault="002457CB" w:rsidP="002457C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7CB"/>
    <w:rsid w:val="00190756"/>
    <w:rsid w:val="002457CB"/>
    <w:rsid w:val="00345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B77E95-E8DC-43F5-906F-CC7D88BE9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57C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457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57CB"/>
  </w:style>
  <w:style w:type="paragraph" w:styleId="Rodap">
    <w:name w:val="footer"/>
    <w:basedOn w:val="Normal"/>
    <w:link w:val="RodapChar"/>
    <w:uiPriority w:val="99"/>
    <w:unhideWhenUsed/>
    <w:rsid w:val="002457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57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300</Words>
  <Characters>1714</Characters>
  <Application>Microsoft Office Word</Application>
  <DocSecurity>0</DocSecurity>
  <Lines>14</Lines>
  <Paragraphs>4</Paragraphs>
  <ScaleCrop>false</ScaleCrop>
  <Company/>
  <LinksUpToDate>false</LinksUpToDate>
  <CharactersWithSpaces>2010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 Mascarin</dc:creator>
  <cp:keywords/>
  <dc:description/>
  <cp:lastModifiedBy>Gabriel Mascarin</cp:lastModifiedBy>
  <cp:revision>1</cp:revision>
  <dcterms:created xsi:type="dcterms:W3CDTF">2024-04-18T01:49:00Z</dcterms:created>
  <dcterms:modified xsi:type="dcterms:W3CDTF">2024-04-18T01:50:00Z</dcterms:modified>
</cp:coreProperties>
</file>