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6ADC7" w14:textId="77777777" w:rsidR="00221591" w:rsidRPr="00D300FF" w:rsidRDefault="00221591" w:rsidP="00221591">
      <w:pPr>
        <w:pStyle w:val="Caption"/>
        <w:keepNext/>
        <w:spacing w:line="480" w:lineRule="auto"/>
        <w:rPr>
          <w:rFonts w:ascii="Times New Roman" w:hAnsi="Times New Roman" w:cs="Times New Roman"/>
          <w:i w:val="0"/>
          <w:color w:val="0D0D0D" w:themeColor="text1" w:themeTint="F2"/>
          <w:sz w:val="24"/>
        </w:rPr>
      </w:pPr>
      <w:bookmarkStart w:id="0" w:name="_Ref163862690"/>
      <w:r w:rsidRPr="00D300FF">
        <w:rPr>
          <w:rFonts w:ascii="Times New Roman" w:hAnsi="Times New Roman" w:cs="Times New Roman"/>
          <w:b/>
          <w:i w:val="0"/>
          <w:color w:val="0D0D0D" w:themeColor="text1" w:themeTint="F2"/>
          <w:sz w:val="24"/>
        </w:rPr>
        <w:t xml:space="preserve">Table </w:t>
      </w:r>
      <w:r w:rsidRPr="00D300FF">
        <w:rPr>
          <w:rFonts w:ascii="Times New Roman" w:hAnsi="Times New Roman" w:cs="Times New Roman"/>
          <w:b/>
          <w:i w:val="0"/>
          <w:color w:val="0D0D0D" w:themeColor="text1" w:themeTint="F2"/>
          <w:sz w:val="24"/>
        </w:rPr>
        <w:fldChar w:fldCharType="begin"/>
      </w:r>
      <w:r w:rsidRPr="00D300FF">
        <w:rPr>
          <w:rFonts w:ascii="Times New Roman" w:hAnsi="Times New Roman" w:cs="Times New Roman"/>
          <w:b/>
          <w:i w:val="0"/>
          <w:color w:val="0D0D0D" w:themeColor="text1" w:themeTint="F2"/>
          <w:sz w:val="24"/>
        </w:rPr>
        <w:instrText xml:space="preserve"> SEQ Table \* ARABIC </w:instrText>
      </w:r>
      <w:r w:rsidRPr="00D300FF">
        <w:rPr>
          <w:rFonts w:ascii="Times New Roman" w:hAnsi="Times New Roman" w:cs="Times New Roman"/>
          <w:b/>
          <w:i w:val="0"/>
          <w:color w:val="0D0D0D" w:themeColor="text1" w:themeTint="F2"/>
          <w:sz w:val="24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0D0D0D" w:themeColor="text1" w:themeTint="F2"/>
          <w:sz w:val="24"/>
        </w:rPr>
        <w:t>5</w:t>
      </w:r>
      <w:r w:rsidRPr="00D300FF">
        <w:rPr>
          <w:rFonts w:ascii="Times New Roman" w:hAnsi="Times New Roman" w:cs="Times New Roman"/>
          <w:b/>
          <w:i w:val="0"/>
          <w:color w:val="0D0D0D" w:themeColor="text1" w:themeTint="F2"/>
          <w:sz w:val="24"/>
        </w:rPr>
        <w:fldChar w:fldCharType="end"/>
      </w:r>
      <w:bookmarkEnd w:id="0"/>
      <w:r w:rsidRPr="00D300FF">
        <w:rPr>
          <w:rFonts w:ascii="Times New Roman" w:hAnsi="Times New Roman" w:cs="Times New Roman"/>
          <w:b/>
          <w:i w:val="0"/>
          <w:color w:val="0D0D0D" w:themeColor="text1" w:themeTint="F2"/>
          <w:sz w:val="24"/>
        </w:rPr>
        <w:t>:</w:t>
      </w:r>
      <w:r w:rsidRPr="00D300FF">
        <w:rPr>
          <w:rFonts w:ascii="Times New Roman" w:hAnsi="Times New Roman" w:cs="Times New Roman"/>
          <w:i w:val="0"/>
          <w:color w:val="0D0D0D" w:themeColor="text1" w:themeTint="F2"/>
          <w:sz w:val="24"/>
        </w:rPr>
        <w:t xml:space="preserve"> Molecular docking results of five selected compounds in Auto</w:t>
      </w:r>
      <w:r>
        <w:rPr>
          <w:rFonts w:ascii="Times New Roman" w:hAnsi="Times New Roman" w:cs="Times New Roman"/>
          <w:i w:val="0"/>
          <w:color w:val="0D0D0D" w:themeColor="text1" w:themeTint="F2"/>
          <w:sz w:val="24"/>
        </w:rPr>
        <w:t xml:space="preserve">Dock Vina and </w:t>
      </w:r>
      <w:r w:rsidRPr="00D300FF">
        <w:rPr>
          <w:rFonts w:ascii="Times New Roman" w:hAnsi="Times New Roman" w:cs="Times New Roman"/>
          <w:i w:val="0"/>
          <w:color w:val="0D0D0D" w:themeColor="text1" w:themeTint="F2"/>
          <w:sz w:val="24"/>
        </w:rPr>
        <w:t>BIND</w:t>
      </w:r>
      <w:r>
        <w:rPr>
          <w:rFonts w:ascii="Times New Roman" w:hAnsi="Times New Roman" w:cs="Times New Roman"/>
          <w:i w:val="0"/>
          <w:color w:val="0D0D0D" w:themeColor="text1" w:themeTint="F2"/>
          <w:sz w:val="24"/>
        </w:rPr>
        <w:t xml:space="preserve">- </w:t>
      </w:r>
      <w:r w:rsidRPr="00D300FF">
        <w:rPr>
          <w:rFonts w:ascii="Times New Roman" w:hAnsi="Times New Roman" w:cs="Times New Roman"/>
          <w:i w:val="0"/>
          <w:color w:val="0D0D0D" w:themeColor="text1" w:themeTint="F2"/>
          <w:sz w:val="24"/>
        </w:rPr>
        <w:t>SURF with their 2D structures.</w:t>
      </w:r>
    </w:p>
    <w:tbl>
      <w:tblPr>
        <w:tblStyle w:val="TableGrid"/>
        <w:tblpPr w:leftFromText="180" w:rightFromText="180" w:vertAnchor="page" w:horzAnchor="margin" w:tblpXSpec="center" w:tblpY="3522"/>
        <w:tblW w:w="10165" w:type="dxa"/>
        <w:tblLayout w:type="fixed"/>
        <w:tblLook w:val="04A0" w:firstRow="1" w:lastRow="0" w:firstColumn="1" w:lastColumn="0" w:noHBand="0" w:noVBand="1"/>
      </w:tblPr>
      <w:tblGrid>
        <w:gridCol w:w="1440"/>
        <w:gridCol w:w="1885"/>
        <w:gridCol w:w="1260"/>
        <w:gridCol w:w="1260"/>
        <w:gridCol w:w="1530"/>
        <w:gridCol w:w="1260"/>
        <w:gridCol w:w="1530"/>
      </w:tblGrid>
      <w:tr w:rsidR="00221591" w:rsidRPr="007E2A4F" w14:paraId="6222CB9C" w14:textId="77777777" w:rsidTr="004C2FCE">
        <w:trPr>
          <w:trHeight w:val="780"/>
        </w:trPr>
        <w:tc>
          <w:tcPr>
            <w:tcW w:w="1440" w:type="dxa"/>
            <w:vMerge w:val="restart"/>
          </w:tcPr>
          <w:p w14:paraId="48B56417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2A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 CID</w:t>
            </w:r>
          </w:p>
        </w:tc>
        <w:tc>
          <w:tcPr>
            <w:tcW w:w="1885" w:type="dxa"/>
            <w:vMerge w:val="restart"/>
          </w:tcPr>
          <w:p w14:paraId="71CD940E" w14:textId="77777777" w:rsidR="00221591" w:rsidRPr="00461102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1102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Phytochemical Name</w:t>
            </w:r>
          </w:p>
        </w:tc>
        <w:tc>
          <w:tcPr>
            <w:tcW w:w="1260" w:type="dxa"/>
            <w:vMerge w:val="restart"/>
          </w:tcPr>
          <w:p w14:paraId="76B5C4C9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2D Structure</w:t>
            </w:r>
          </w:p>
        </w:tc>
        <w:tc>
          <w:tcPr>
            <w:tcW w:w="2790" w:type="dxa"/>
            <w:gridSpan w:val="2"/>
          </w:tcPr>
          <w:p w14:paraId="364B3BD8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2A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EFGR</w:t>
            </w:r>
          </w:p>
        </w:tc>
        <w:tc>
          <w:tcPr>
            <w:tcW w:w="2790" w:type="dxa"/>
            <w:gridSpan w:val="2"/>
          </w:tcPr>
          <w:p w14:paraId="7F43ABCD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2A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VEGFR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221591" w:rsidRPr="007E2A4F" w14:paraId="4E92BA6F" w14:textId="77777777" w:rsidTr="004C2FCE">
        <w:trPr>
          <w:trHeight w:val="737"/>
        </w:trPr>
        <w:tc>
          <w:tcPr>
            <w:tcW w:w="1440" w:type="dxa"/>
            <w:vMerge/>
          </w:tcPr>
          <w:p w14:paraId="6BEA0E7D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  <w:vMerge/>
          </w:tcPr>
          <w:p w14:paraId="0D3AC40E" w14:textId="77777777" w:rsidR="00221591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227FFD44" w14:textId="77777777" w:rsidR="00221591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14:paraId="2323EBAD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AutoDockVina</w:t>
            </w:r>
          </w:p>
        </w:tc>
        <w:tc>
          <w:tcPr>
            <w:tcW w:w="1530" w:type="dxa"/>
          </w:tcPr>
          <w:p w14:paraId="34151AC0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BINDSURF</w:t>
            </w:r>
          </w:p>
        </w:tc>
        <w:tc>
          <w:tcPr>
            <w:tcW w:w="1260" w:type="dxa"/>
          </w:tcPr>
          <w:p w14:paraId="28AFF57E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AutoDockVina</w:t>
            </w:r>
          </w:p>
        </w:tc>
        <w:tc>
          <w:tcPr>
            <w:tcW w:w="1530" w:type="dxa"/>
          </w:tcPr>
          <w:p w14:paraId="0169B007" w14:textId="77777777" w:rsidR="00221591" w:rsidRPr="007E2A4F" w:rsidRDefault="00221591" w:rsidP="004C2F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BINDSURF</w:t>
            </w:r>
          </w:p>
        </w:tc>
      </w:tr>
      <w:tr w:rsidR="00221591" w:rsidRPr="001A0F0A" w14:paraId="7BD04FBE" w14:textId="77777777" w:rsidTr="004C2FCE">
        <w:trPr>
          <w:trHeight w:val="780"/>
        </w:trPr>
        <w:tc>
          <w:tcPr>
            <w:tcW w:w="1440" w:type="dxa"/>
          </w:tcPr>
          <w:p w14:paraId="6E070F83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65084</w:t>
            </w:r>
          </w:p>
        </w:tc>
        <w:tc>
          <w:tcPr>
            <w:tcW w:w="1885" w:type="dxa"/>
          </w:tcPr>
          <w:p w14:paraId="1FEAFC11" w14:textId="77777777" w:rsidR="00221591" w:rsidRPr="00461102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102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Gallocatechin</w:t>
            </w:r>
          </w:p>
        </w:tc>
        <w:tc>
          <w:tcPr>
            <w:tcW w:w="1260" w:type="dxa"/>
          </w:tcPr>
          <w:p w14:paraId="14D4EC2C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AB0B92" wp14:editId="63E7D2FA">
                  <wp:extent cx="624840" cy="624840"/>
                  <wp:effectExtent l="0" t="0" r="3810" b="3810"/>
                  <wp:docPr id="5097857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84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</w:tcPr>
          <w:p w14:paraId="47751F36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530" w:type="dxa"/>
          </w:tcPr>
          <w:p w14:paraId="733B428A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260" w:type="dxa"/>
          </w:tcPr>
          <w:p w14:paraId="4374A5DD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</w:tc>
        <w:tc>
          <w:tcPr>
            <w:tcW w:w="1530" w:type="dxa"/>
          </w:tcPr>
          <w:p w14:paraId="6D0BE154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</w:tr>
      <w:tr w:rsidR="00221591" w:rsidRPr="001A0F0A" w14:paraId="36BA7D1A" w14:textId="77777777" w:rsidTr="004C2FCE">
        <w:trPr>
          <w:trHeight w:val="737"/>
        </w:trPr>
        <w:tc>
          <w:tcPr>
            <w:tcW w:w="1440" w:type="dxa"/>
          </w:tcPr>
          <w:p w14:paraId="01903286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72277</w:t>
            </w:r>
          </w:p>
        </w:tc>
        <w:tc>
          <w:tcPr>
            <w:tcW w:w="1885" w:type="dxa"/>
          </w:tcPr>
          <w:p w14:paraId="13EEF3F5" w14:textId="77777777" w:rsidR="00221591" w:rsidRPr="00461102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102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Epigallocatechin</w:t>
            </w:r>
          </w:p>
        </w:tc>
        <w:tc>
          <w:tcPr>
            <w:tcW w:w="1260" w:type="dxa"/>
          </w:tcPr>
          <w:p w14:paraId="5111B71A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F95B316" wp14:editId="3D042CE8">
                  <wp:extent cx="624840" cy="655320"/>
                  <wp:effectExtent l="0" t="0" r="3810" b="0"/>
                  <wp:docPr id="4030244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84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</w:tcPr>
          <w:p w14:paraId="2FAA2F29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-7.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0" w:type="dxa"/>
          </w:tcPr>
          <w:p w14:paraId="2EDFF76F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260" w:type="dxa"/>
          </w:tcPr>
          <w:p w14:paraId="6124385C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1530" w:type="dxa"/>
          </w:tcPr>
          <w:p w14:paraId="459315DC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</w:tr>
      <w:tr w:rsidR="00221591" w:rsidRPr="001A0F0A" w14:paraId="4F033908" w14:textId="77777777" w:rsidTr="004C2FCE">
        <w:trPr>
          <w:trHeight w:val="780"/>
        </w:trPr>
        <w:tc>
          <w:tcPr>
            <w:tcW w:w="1440" w:type="dxa"/>
          </w:tcPr>
          <w:p w14:paraId="2B5E22AB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72281</w:t>
            </w:r>
          </w:p>
        </w:tc>
        <w:tc>
          <w:tcPr>
            <w:tcW w:w="1885" w:type="dxa"/>
          </w:tcPr>
          <w:p w14:paraId="5564B3E4" w14:textId="77777777" w:rsidR="00221591" w:rsidRPr="00461102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102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Hesperetin</w:t>
            </w:r>
          </w:p>
        </w:tc>
        <w:tc>
          <w:tcPr>
            <w:tcW w:w="1260" w:type="dxa"/>
          </w:tcPr>
          <w:p w14:paraId="13560D65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43B98EB" wp14:editId="5D666B00">
                  <wp:extent cx="624840" cy="624840"/>
                  <wp:effectExtent l="0" t="0" r="3810" b="3810"/>
                  <wp:docPr id="122068217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84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</w:tcPr>
          <w:p w14:paraId="674C8DD1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  <w:tc>
          <w:tcPr>
            <w:tcW w:w="1530" w:type="dxa"/>
          </w:tcPr>
          <w:p w14:paraId="7EE9789E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-8.1</w:t>
            </w:r>
          </w:p>
        </w:tc>
        <w:tc>
          <w:tcPr>
            <w:tcW w:w="1260" w:type="dxa"/>
          </w:tcPr>
          <w:p w14:paraId="5DC5429A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  <w:tc>
          <w:tcPr>
            <w:tcW w:w="1530" w:type="dxa"/>
          </w:tcPr>
          <w:p w14:paraId="7398FBDD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</w:tc>
      </w:tr>
      <w:tr w:rsidR="00221591" w:rsidRPr="001A0F0A" w14:paraId="1DA41A73" w14:textId="77777777" w:rsidTr="004C2FCE">
        <w:trPr>
          <w:trHeight w:val="780"/>
        </w:trPr>
        <w:tc>
          <w:tcPr>
            <w:tcW w:w="1440" w:type="dxa"/>
          </w:tcPr>
          <w:p w14:paraId="49AFC98A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5280647</w:t>
            </w:r>
          </w:p>
        </w:tc>
        <w:tc>
          <w:tcPr>
            <w:tcW w:w="1885" w:type="dxa"/>
          </w:tcPr>
          <w:p w14:paraId="77D3809B" w14:textId="77777777" w:rsidR="00221591" w:rsidRPr="00461102" w:rsidRDefault="00221591" w:rsidP="004C2FCE">
            <w:pPr>
              <w:jc w:val="center"/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</w:pPr>
            <w:r w:rsidRPr="00461102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Gossypetin</w:t>
            </w:r>
          </w:p>
        </w:tc>
        <w:tc>
          <w:tcPr>
            <w:tcW w:w="1260" w:type="dxa"/>
          </w:tcPr>
          <w:p w14:paraId="07F9B379" w14:textId="77777777" w:rsidR="00221591" w:rsidRDefault="00221591" w:rsidP="004C2FC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D23D3F7" wp14:editId="228772F7">
                  <wp:extent cx="624840" cy="624840"/>
                  <wp:effectExtent l="0" t="0" r="3810" b="3810"/>
                  <wp:docPr id="95410742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84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</w:tcPr>
          <w:p w14:paraId="1166D17F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530" w:type="dxa"/>
          </w:tcPr>
          <w:p w14:paraId="307FB2E1" w14:textId="77777777" w:rsidR="00221591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260" w:type="dxa"/>
          </w:tcPr>
          <w:p w14:paraId="2DFE2EFE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-8.3</w:t>
            </w:r>
          </w:p>
        </w:tc>
        <w:tc>
          <w:tcPr>
            <w:tcW w:w="1530" w:type="dxa"/>
          </w:tcPr>
          <w:p w14:paraId="0B5D842B" w14:textId="77777777" w:rsidR="00221591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</w:tr>
      <w:tr w:rsidR="00221591" w:rsidRPr="001A0F0A" w14:paraId="7EA4CD82" w14:textId="77777777" w:rsidTr="004C2FCE">
        <w:trPr>
          <w:trHeight w:val="780"/>
        </w:trPr>
        <w:tc>
          <w:tcPr>
            <w:tcW w:w="1440" w:type="dxa"/>
          </w:tcPr>
          <w:p w14:paraId="3B97636D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5281680</w:t>
            </w:r>
          </w:p>
        </w:tc>
        <w:tc>
          <w:tcPr>
            <w:tcW w:w="1885" w:type="dxa"/>
          </w:tcPr>
          <w:p w14:paraId="39CE2889" w14:textId="77777777" w:rsidR="00221591" w:rsidRPr="00461102" w:rsidRDefault="00221591" w:rsidP="004C2FCE">
            <w:pPr>
              <w:jc w:val="center"/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</w:pPr>
            <w:r w:rsidRPr="00461102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Quercetagetin</w:t>
            </w:r>
          </w:p>
        </w:tc>
        <w:tc>
          <w:tcPr>
            <w:tcW w:w="1260" w:type="dxa"/>
          </w:tcPr>
          <w:p w14:paraId="34F5E4BD" w14:textId="77777777" w:rsidR="00221591" w:rsidRDefault="00221591" w:rsidP="004C2FC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152251A" wp14:editId="07663934">
                  <wp:extent cx="622541" cy="481263"/>
                  <wp:effectExtent l="0" t="0" r="6350" b="0"/>
                  <wp:docPr id="34445384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209" cy="507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</w:tcPr>
          <w:p w14:paraId="5854FFC0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  <w:tc>
          <w:tcPr>
            <w:tcW w:w="1530" w:type="dxa"/>
          </w:tcPr>
          <w:p w14:paraId="4FE44177" w14:textId="77777777" w:rsidR="00221591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  <w:tc>
          <w:tcPr>
            <w:tcW w:w="1260" w:type="dxa"/>
          </w:tcPr>
          <w:p w14:paraId="02B04E79" w14:textId="77777777" w:rsidR="00221591" w:rsidRPr="001A0F0A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F0A"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  <w:tc>
          <w:tcPr>
            <w:tcW w:w="1530" w:type="dxa"/>
          </w:tcPr>
          <w:p w14:paraId="40BF1C13" w14:textId="77777777" w:rsidR="00221591" w:rsidRDefault="00221591" w:rsidP="004C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</w:tr>
    </w:tbl>
    <w:p w14:paraId="2343107F" w14:textId="77AD42CC" w:rsidR="00110104" w:rsidRDefault="00110104" w:rsidP="00221591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91"/>
    <w:rsid w:val="00110104"/>
    <w:rsid w:val="0021090F"/>
    <w:rsid w:val="00220E4E"/>
    <w:rsid w:val="00221591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71C2D"/>
  <w15:chartTrackingRefBased/>
  <w15:docId w15:val="{7DC02D33-C370-4EC6-B9EC-61FDCA5D2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59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2159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59"/>
    <w:rsid w:val="00221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>Springer Nature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2024-04-23T16:37:00Z</dcterms:created>
  <dcterms:modified xsi:type="dcterms:W3CDTF">2024-04-23T16:38:00Z</dcterms:modified>
</cp:coreProperties>
</file>