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56AD" w:rsidRDefault="002256AD" w:rsidP="006F40B2">
      <w:pPr>
        <w:widowControl/>
        <w:snapToGrid w:val="0"/>
        <w:spacing w:line="36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val="en-GB"/>
        </w:rPr>
      </w:pPr>
      <w:r>
        <w:rPr>
          <w:rFonts w:ascii="Times New Roman" w:eastAsiaTheme="minorEastAsia" w:hAnsi="Times New Roman" w:cs="Times New Roman" w:hint="eastAsia"/>
          <w:b/>
          <w:sz w:val="24"/>
          <w:szCs w:val="24"/>
          <w:lang w:val="en-GB"/>
        </w:rPr>
        <w:t>S</w:t>
      </w:r>
      <w:r>
        <w:rPr>
          <w:rFonts w:ascii="Times New Roman" w:eastAsiaTheme="minorEastAsia" w:hAnsi="Times New Roman" w:cs="Times New Roman"/>
          <w:b/>
          <w:sz w:val="24"/>
          <w:szCs w:val="24"/>
          <w:lang w:val="en-GB"/>
        </w:rPr>
        <w:t>upporting information</w:t>
      </w:r>
    </w:p>
    <w:p w:rsidR="006F40B2" w:rsidRDefault="006F40B2" w:rsidP="006F40B2">
      <w:pPr>
        <w:widowControl/>
        <w:snapToGrid w:val="0"/>
        <w:spacing w:line="36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val="en-GB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val="en-GB"/>
        </w:rPr>
        <w:t>D-dimer-based prediction model for flap loss in iliac bone transplantation</w:t>
      </w:r>
    </w:p>
    <w:p w:rsidR="006F40B2" w:rsidRDefault="006F40B2" w:rsidP="006F40B2">
      <w:pPr>
        <w:widowControl/>
        <w:jc w:val="center"/>
        <w:rPr>
          <w:rFonts w:ascii="Times New Roman" w:eastAsiaTheme="minorEastAsia" w:hAnsi="Times New Roman" w:cs="Times New Roman"/>
          <w:sz w:val="28"/>
          <w:szCs w:val="28"/>
          <w:lang w:val="en-GB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GB"/>
        </w:rPr>
        <w:t>Zi-Li Yu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  <w:lang w:val="en-GB"/>
        </w:rPr>
        <w:t>1,2#</w:t>
      </w:r>
      <w:r>
        <w:rPr>
          <w:rFonts w:ascii="Times New Roman" w:eastAsiaTheme="minorEastAsia" w:hAnsi="Times New Roman" w:cs="Times New Roman"/>
          <w:sz w:val="28"/>
          <w:szCs w:val="28"/>
          <w:lang w:val="en-GB"/>
        </w:rPr>
        <w:t>, Zhou-Yang Wu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  <w:lang w:val="en-GB"/>
        </w:rPr>
        <w:t>1#</w:t>
      </w:r>
      <w:r>
        <w:rPr>
          <w:rFonts w:ascii="Times New Roman" w:eastAsiaTheme="minorEastAsia" w:hAnsi="Times New Roman" w:cs="Times New Roman"/>
          <w:sz w:val="28"/>
          <w:szCs w:val="28"/>
          <w:lang w:val="en-GB"/>
        </w:rPr>
        <w:t>, Ying Zhou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  <w:lang w:val="en-GB"/>
        </w:rPr>
        <w:t>2</w:t>
      </w:r>
      <w:r>
        <w:rPr>
          <w:rFonts w:ascii="Times New Roman" w:eastAsiaTheme="minorEastAsia" w:hAnsi="Times New Roman" w:cs="Times New Roman"/>
          <w:sz w:val="28"/>
          <w:szCs w:val="28"/>
          <w:lang w:val="en-GB"/>
        </w:rPr>
        <w:t>, Si-Rui Ma</w:t>
      </w:r>
      <w:r w:rsidRPr="00FB63F7">
        <w:rPr>
          <w:rFonts w:ascii="Times New Roman" w:eastAsiaTheme="minorEastAsia" w:hAnsi="Times New Roman" w:cs="Times New Roman"/>
          <w:sz w:val="28"/>
          <w:szCs w:val="28"/>
          <w:vertAlign w:val="superscript"/>
          <w:lang w:val="en-GB"/>
        </w:rPr>
        <w:t>1,2</w:t>
      </w:r>
      <w:r>
        <w:rPr>
          <w:rFonts w:ascii="Times New Roman" w:eastAsiaTheme="minorEastAsia" w:hAnsi="Times New Roman" w:cs="Times New Roman"/>
          <w:sz w:val="28"/>
          <w:szCs w:val="28"/>
          <w:lang w:val="en-GB"/>
        </w:rPr>
        <w:t>, Jun Jia</w:t>
      </w:r>
      <w:r w:rsidRPr="00FB63F7">
        <w:rPr>
          <w:rFonts w:ascii="Times New Roman" w:eastAsiaTheme="minorEastAsia" w:hAnsi="Times New Roman" w:cs="Times New Roman"/>
          <w:sz w:val="28"/>
          <w:szCs w:val="28"/>
          <w:vertAlign w:val="superscript"/>
          <w:lang w:val="en-GB"/>
        </w:rPr>
        <w:t>1,2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  <w:lang w:val="en-GB"/>
        </w:rPr>
        <w:t>*</w:t>
      </w:r>
    </w:p>
    <w:p w:rsidR="006F40B2" w:rsidRDefault="006F40B2" w:rsidP="006F40B2">
      <w:pPr>
        <w:widowControl/>
        <w:snapToGrid w:val="0"/>
        <w:spacing w:line="360" w:lineRule="auto"/>
        <w:rPr>
          <w:rFonts w:ascii="Times New Roman" w:eastAsiaTheme="minorEastAsia" w:hAnsi="Times New Roman" w:cs="Times New Roman"/>
          <w:sz w:val="24"/>
          <w:szCs w:val="28"/>
        </w:rPr>
      </w:pPr>
      <w:r>
        <w:rPr>
          <w:rFonts w:ascii="Times New Roman" w:eastAsiaTheme="minorEastAsia" w:hAnsi="Times New Roman" w:cs="Times New Roman"/>
          <w:sz w:val="24"/>
          <w:szCs w:val="28"/>
          <w:vertAlign w:val="superscript"/>
        </w:rPr>
        <w:t>1</w:t>
      </w:r>
      <w:r>
        <w:rPr>
          <w:rFonts w:ascii="Times New Roman" w:eastAsiaTheme="minorEastAsia" w:hAnsi="Times New Roman" w:cs="Times New Roman"/>
          <w:sz w:val="24"/>
          <w:szCs w:val="28"/>
        </w:rPr>
        <w:t xml:space="preserve"> State Key Laboratory of Oral &amp; Maxillofacial Reconstruction and Regeneration, </w:t>
      </w:r>
      <w:bookmarkStart w:id="0" w:name="_GoBack"/>
      <w:bookmarkEnd w:id="0"/>
      <w:r>
        <w:rPr>
          <w:rFonts w:ascii="Times New Roman" w:eastAsiaTheme="minorEastAsia" w:hAnsi="Times New Roman" w:cs="Times New Roman"/>
          <w:sz w:val="24"/>
          <w:szCs w:val="28"/>
        </w:rPr>
        <w:t>Key Laboratory of Oral Biomedicine Ministry of Education, Hubei Key Laboratory of Stomatology, School &amp; Hospital of Stomatology, Wuhan University</w:t>
      </w:r>
    </w:p>
    <w:p w:rsidR="006F40B2" w:rsidRDefault="006F40B2" w:rsidP="006F40B2">
      <w:pPr>
        <w:widowControl/>
        <w:snapToGrid w:val="0"/>
        <w:spacing w:line="360" w:lineRule="auto"/>
        <w:rPr>
          <w:rFonts w:ascii="Times New Roman" w:eastAsiaTheme="minorEastAsia" w:hAnsi="Times New Roman" w:cs="Times New Roman"/>
          <w:sz w:val="24"/>
          <w:szCs w:val="28"/>
        </w:rPr>
      </w:pPr>
      <w:r>
        <w:rPr>
          <w:rFonts w:ascii="Times New Roman" w:eastAsiaTheme="minorEastAsia" w:hAnsi="Times New Roman" w:cs="Times New Roman"/>
          <w:sz w:val="24"/>
          <w:szCs w:val="28"/>
          <w:vertAlign w:val="superscript"/>
        </w:rPr>
        <w:t>2</w:t>
      </w:r>
      <w:r>
        <w:rPr>
          <w:rFonts w:ascii="Times New Roman" w:eastAsiaTheme="minorEastAsia" w:hAnsi="Times New Roman" w:cs="Times New Roman"/>
          <w:sz w:val="24"/>
          <w:szCs w:val="28"/>
        </w:rPr>
        <w:t xml:space="preserve"> Department of Oral and Maxillofacial Surgery, School and Hospital of Stomatology, Wuhan University, 430079 Wuhan, China</w:t>
      </w:r>
    </w:p>
    <w:p w:rsidR="006F40B2" w:rsidRDefault="006F40B2" w:rsidP="006F40B2">
      <w:pPr>
        <w:widowControl/>
        <w:snapToGrid w:val="0"/>
        <w:spacing w:line="360" w:lineRule="auto"/>
        <w:rPr>
          <w:rFonts w:ascii="Times New Roman" w:eastAsiaTheme="minorEastAsia" w:hAnsi="Times New Roman" w:cs="Times New Roman"/>
          <w:sz w:val="24"/>
          <w:szCs w:val="28"/>
        </w:rPr>
      </w:pPr>
    </w:p>
    <w:p w:rsidR="006F40B2" w:rsidRDefault="006F40B2" w:rsidP="006F40B2">
      <w:pPr>
        <w:widowControl/>
        <w:snapToGrid w:val="0"/>
        <w:spacing w:line="360" w:lineRule="auto"/>
        <w:rPr>
          <w:rFonts w:ascii="Times New Roman" w:eastAsiaTheme="minorEastAsia" w:hAnsi="Times New Roman" w:cs="Times New Roman"/>
          <w:sz w:val="24"/>
          <w:szCs w:val="28"/>
        </w:rPr>
      </w:pPr>
      <w:r>
        <w:rPr>
          <w:rFonts w:ascii="Times New Roman" w:eastAsiaTheme="minorEastAsia" w:hAnsi="Times New Roman" w:cs="Times New Roman"/>
          <w:sz w:val="24"/>
          <w:szCs w:val="28"/>
          <w:vertAlign w:val="superscript"/>
        </w:rPr>
        <w:t>#</w:t>
      </w:r>
      <w:r>
        <w:rPr>
          <w:rFonts w:ascii="Times New Roman" w:eastAsiaTheme="minorEastAsia" w:hAnsi="Times New Roman" w:cs="Times New Roman"/>
          <w:sz w:val="24"/>
          <w:szCs w:val="28"/>
        </w:rPr>
        <w:t xml:space="preserve"> These authors contributed equally to this work as co-first authors.</w:t>
      </w:r>
    </w:p>
    <w:p w:rsidR="006F40B2" w:rsidRDefault="006F40B2" w:rsidP="006F40B2">
      <w:pPr>
        <w:widowControl/>
        <w:snapToGrid w:val="0"/>
        <w:spacing w:line="360" w:lineRule="auto"/>
        <w:rPr>
          <w:rFonts w:ascii="Times New Roman" w:hAnsi="Times New Roman" w:cs="Times New Roman"/>
          <w:b/>
          <w:bCs/>
          <w:kern w:val="28"/>
          <w:sz w:val="28"/>
          <w:szCs w:val="28"/>
          <w:lang w:val="en-GB"/>
        </w:rPr>
      </w:pPr>
      <w:r>
        <w:rPr>
          <w:rFonts w:ascii="Times New Roman" w:eastAsiaTheme="minorEastAsia" w:hAnsi="Times New Roman" w:cs="Times New Roman"/>
          <w:sz w:val="24"/>
          <w:szCs w:val="28"/>
          <w:vertAlign w:val="superscript"/>
        </w:rPr>
        <w:t>*</w:t>
      </w:r>
      <w:r>
        <w:rPr>
          <w:rFonts w:ascii="Times New Roman" w:eastAsiaTheme="minorEastAsia" w:hAnsi="Times New Roman" w:cs="Times New Roman"/>
          <w:sz w:val="24"/>
          <w:szCs w:val="28"/>
        </w:rPr>
        <w:t xml:space="preserve"> Correspondence: Jun Jia (junjia@whu.edu.cn)</w:t>
      </w:r>
    </w:p>
    <w:p w:rsidR="00722B05" w:rsidRPr="006F40B2" w:rsidRDefault="00722B05" w:rsidP="00722B05">
      <w:pPr>
        <w:snapToGrid w:val="0"/>
        <w:spacing w:line="360" w:lineRule="auto"/>
        <w:rPr>
          <w:rFonts w:ascii="Times New Roman" w:hAnsi="Times New Roman" w:cs="Times New Roman"/>
          <w:sz w:val="24"/>
          <w:szCs w:val="24"/>
          <w:lang w:val="en-GB" w:eastAsia="ja-JP"/>
        </w:rPr>
      </w:pPr>
    </w:p>
    <w:p w:rsidR="00722B05" w:rsidRDefault="00722B05" w:rsidP="00722B05">
      <w:pPr>
        <w:snapToGrid w:val="0"/>
        <w:spacing w:line="360" w:lineRule="auto"/>
        <w:rPr>
          <w:rFonts w:ascii="Times New Roman" w:hAnsi="Times New Roman" w:cs="Times New Roman"/>
          <w:sz w:val="24"/>
          <w:szCs w:val="24"/>
          <w:lang w:eastAsia="ja-JP"/>
        </w:rPr>
      </w:pPr>
    </w:p>
    <w:p w:rsidR="00AD465D" w:rsidRDefault="00AD465D">
      <w:pPr>
        <w:widowControl/>
        <w:jc w:val="left"/>
        <w:rPr>
          <w:rFonts w:ascii="Times New Roman" w:hAnsi="Times New Roman" w:cs="Times New Roman"/>
          <w:sz w:val="24"/>
          <w:szCs w:val="24"/>
          <w:lang w:eastAsia="ja-JP"/>
        </w:rPr>
      </w:pPr>
      <w:r>
        <w:rPr>
          <w:rFonts w:ascii="Times New Roman" w:hAnsi="Times New Roman" w:cs="Times New Roman"/>
          <w:sz w:val="24"/>
          <w:szCs w:val="24"/>
          <w:lang w:eastAsia="ja-JP"/>
        </w:rPr>
        <w:br w:type="page"/>
      </w:r>
    </w:p>
    <w:p w:rsidR="00E54738" w:rsidRDefault="00E54738" w:rsidP="00AD465D">
      <w:pPr>
        <w:snapToGrid w:val="0"/>
        <w:spacing w:line="360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E54738">
        <w:rPr>
          <w:rFonts w:ascii="Times New Roman" w:eastAsiaTheme="minorEastAsia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274310" cy="3456189"/>
            <wp:effectExtent l="0" t="0" r="2540" b="0"/>
            <wp:docPr id="1" name="图片 1" descr="C:\Users\Zi-Li Yu\Documents\WeChat Files\yu77413011\FileStorage\Temp\1e5012dac71e7d1f252e158eec545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i-Li Yu\Documents\WeChat Files\yu77413011\FileStorage\Temp\1e5012dac71e7d1f252e158eec5457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56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4738" w:rsidRDefault="003A35C5" w:rsidP="00AD465D">
      <w:pPr>
        <w:snapToGrid w:val="0"/>
        <w:spacing w:line="360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b/>
          <w:sz w:val="24"/>
          <w:szCs w:val="24"/>
        </w:rPr>
        <w:t>F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igure S1. </w:t>
      </w:r>
      <w:r w:rsidR="00F02C58" w:rsidRPr="0000459A">
        <w:rPr>
          <w:rFonts w:ascii="Times New Roman" w:eastAsia="方正书宋简体" w:hAnsi="Times New Roman"/>
          <w:color w:val="231F20"/>
          <w:kern w:val="0"/>
          <w:sz w:val="24"/>
        </w:rPr>
        <w:t>The flow diagram illustrating the case search and selection criteria</w:t>
      </w:r>
      <w:r w:rsidR="00F02C58">
        <w:rPr>
          <w:rFonts w:ascii="Times New Roman" w:eastAsia="方正书宋简体" w:hAnsi="Times New Roman"/>
          <w:color w:val="231F20"/>
          <w:kern w:val="0"/>
          <w:sz w:val="24"/>
        </w:rPr>
        <w:t>.</w:t>
      </w:r>
    </w:p>
    <w:p w:rsidR="00E54738" w:rsidRDefault="00E54738" w:rsidP="00AD465D">
      <w:pPr>
        <w:snapToGrid w:val="0"/>
        <w:spacing w:line="360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AD465D" w:rsidRDefault="00AD465D" w:rsidP="00AD465D">
      <w:pPr>
        <w:snapToGrid w:val="0"/>
        <w:spacing w:line="360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FF3CBD">
        <w:rPr>
          <w:rFonts w:ascii="Times New Roman" w:eastAsiaTheme="minorEastAsia" w:hAnsi="Times New Roman" w:cs="Times New Roman"/>
          <w:b/>
          <w:sz w:val="24"/>
          <w:szCs w:val="24"/>
        </w:rPr>
        <w:t>Patient summary</w:t>
      </w:r>
      <w:r w:rsidRPr="00FF3CBD" w:rsidDel="00FF3CBD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</w:p>
    <w:p w:rsidR="00722B05" w:rsidRDefault="00722B05" w:rsidP="00722B05">
      <w:pPr>
        <w:snapToGri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ja-JP"/>
        </w:rPr>
        <w:t xml:space="preserve">The median age of the patients was 46 years, with an average age of 45.4 years (range 11-76 years); 105 were males (65.63%) and 55 were females (34.38%). The flaps were used to repair defects </w:t>
      </w:r>
      <w:r w:rsidRPr="00680747">
        <w:rPr>
          <w:rFonts w:ascii="Times New Roman" w:hAnsi="Times New Roman" w:cs="Times New Roman"/>
          <w:sz w:val="24"/>
          <w:szCs w:val="24"/>
          <w:lang w:eastAsia="ja-JP"/>
        </w:rPr>
        <w:t>in mandible</w:t>
      </w:r>
      <w:r>
        <w:rPr>
          <w:rFonts w:ascii="Times New Roman" w:hAnsi="Times New Roman" w:cs="Times New Roman"/>
          <w:sz w:val="24"/>
          <w:szCs w:val="24"/>
          <w:lang w:eastAsia="ja-JP"/>
        </w:rPr>
        <w:t xml:space="preserve"> </w:t>
      </w:r>
      <w:r w:rsidRPr="00680747">
        <w:rPr>
          <w:rFonts w:ascii="Times New Roman" w:hAnsi="Times New Roman" w:cs="Times New Roman"/>
          <w:sz w:val="24"/>
          <w:szCs w:val="24"/>
          <w:lang w:eastAsia="ja-JP"/>
        </w:rPr>
        <w:t>and maxilla</w:t>
      </w:r>
      <w:r>
        <w:rPr>
          <w:rFonts w:ascii="Times New Roman" w:hAnsi="Times New Roman" w:cs="Times New Roman"/>
          <w:sz w:val="24"/>
          <w:szCs w:val="24"/>
          <w:lang w:eastAsia="ja-JP"/>
        </w:rPr>
        <w:t xml:space="preserve">. Among them, 103 patients were pathologically diagnosed with </w:t>
      </w:r>
      <w:r>
        <w:rPr>
          <w:rFonts w:ascii="Times New Roman" w:hAnsi="Times New Roman" w:cs="Times New Roman"/>
          <w:sz w:val="24"/>
          <w:szCs w:val="24"/>
          <w:lang w:val="en-GB"/>
        </w:rPr>
        <w:t>benign jaw lesions, including 58 cases of ameloblastoma,10 cases of ossifying fibroma and fibrous dysplasia, 18 cases of odontogenic cyst and tumour, and 4 cases of vascular anomalies. Additionally, 47 had malignant tumours, with 35 cases of squamous cell carcinoma (SCC), 2 cases of osteosarcoma, 3 cases of adenoid cystic carcinoma, and 2 cases of mucoepidermoid carcinoma. Furthermore, 4 patients had chronic osteomyelitis</w:t>
      </w:r>
      <w:r>
        <w:rPr>
          <w:rFonts w:ascii="Times New Roman" w:hAnsi="Times New Roman" w:cs="Times New Roman"/>
          <w:sz w:val="24"/>
          <w:szCs w:val="24"/>
          <w:lang w:eastAsia="ja-JP"/>
        </w:rPr>
        <w:t xml:space="preserve">. </w:t>
      </w:r>
    </w:p>
    <w:p w:rsidR="00722B05" w:rsidRDefault="00722B05" w:rsidP="00722B05">
      <w:pPr>
        <w:snapToGrid w:val="0"/>
        <w:spacing w:line="360" w:lineRule="auto"/>
        <w:rPr>
          <w:rFonts w:ascii="Times New Roman" w:hAnsi="Times New Roman" w:cs="Times New Roman"/>
          <w:sz w:val="24"/>
          <w:szCs w:val="24"/>
          <w:lang w:eastAsia="ja-JP"/>
        </w:rPr>
      </w:pPr>
    </w:p>
    <w:p w:rsidR="006F40B2" w:rsidRDefault="006F40B2">
      <w:pPr>
        <w:widowControl/>
        <w:jc w:val="left"/>
        <w:rPr>
          <w:rFonts w:ascii="Times New Roman" w:hAnsi="Times New Roman" w:cs="Times New Roman"/>
          <w:b/>
          <w:sz w:val="24"/>
          <w:szCs w:val="24"/>
          <w:lang w:eastAsia="ja-JP"/>
        </w:rPr>
      </w:pPr>
      <w:r>
        <w:rPr>
          <w:rFonts w:ascii="Times New Roman" w:hAnsi="Times New Roman" w:cs="Times New Roman"/>
          <w:b/>
          <w:sz w:val="24"/>
          <w:szCs w:val="24"/>
          <w:lang w:eastAsia="ja-JP"/>
        </w:rPr>
        <w:br w:type="page"/>
      </w:r>
    </w:p>
    <w:p w:rsidR="00722B05" w:rsidRDefault="00722B05" w:rsidP="00722B05">
      <w:pPr>
        <w:snapToGrid w:val="0"/>
        <w:spacing w:line="360" w:lineRule="auto"/>
        <w:rPr>
          <w:rFonts w:ascii="Times New Roman" w:hAnsi="Times New Roman" w:cs="Times New Roman"/>
          <w:sz w:val="24"/>
          <w:szCs w:val="24"/>
          <w:lang w:eastAsia="ja-JP"/>
        </w:rPr>
      </w:pPr>
      <w:r>
        <w:rPr>
          <w:rFonts w:ascii="Times New Roman" w:hAnsi="Times New Roman" w:cs="Times New Roman"/>
          <w:b/>
          <w:sz w:val="24"/>
          <w:szCs w:val="24"/>
          <w:lang w:eastAsia="ja-JP"/>
        </w:rPr>
        <w:lastRenderedPageBreak/>
        <w:t xml:space="preserve">Table </w:t>
      </w:r>
      <w:r w:rsidR="00D528CE">
        <w:rPr>
          <w:rFonts w:ascii="Times New Roman" w:hAnsi="Times New Roman" w:cs="Times New Roman"/>
          <w:b/>
          <w:sz w:val="24"/>
          <w:szCs w:val="24"/>
          <w:lang w:eastAsia="ja-JP"/>
        </w:rPr>
        <w:t>S</w:t>
      </w:r>
      <w:r>
        <w:rPr>
          <w:rFonts w:ascii="Times New Roman" w:hAnsi="Times New Roman" w:cs="Times New Roman"/>
          <w:b/>
          <w:sz w:val="24"/>
          <w:szCs w:val="24"/>
          <w:lang w:eastAsia="ja-JP"/>
        </w:rPr>
        <w:t>1</w:t>
      </w:r>
      <w:r>
        <w:rPr>
          <w:rFonts w:ascii="Times New Roman" w:hAnsi="Times New Roman" w:cs="Times New Roman"/>
          <w:sz w:val="24"/>
          <w:szCs w:val="24"/>
          <w:lang w:eastAsia="ja-JP"/>
        </w:rPr>
        <w:t xml:space="preserve"> </w:t>
      </w:r>
      <w:r w:rsidRPr="003D4A09">
        <w:rPr>
          <w:rFonts w:ascii="Times New Roman" w:hAnsi="Times New Roman" w:cs="Times New Roman"/>
          <w:sz w:val="24"/>
          <w:szCs w:val="24"/>
          <w:lang w:eastAsia="ja-JP"/>
        </w:rPr>
        <w:t xml:space="preserve">Patient </w:t>
      </w:r>
      <w:r>
        <w:rPr>
          <w:rFonts w:ascii="Times New Roman" w:hAnsi="Times New Roman" w:cs="Times New Roman"/>
          <w:sz w:val="24"/>
          <w:szCs w:val="24"/>
          <w:lang w:eastAsia="ja-JP"/>
        </w:rPr>
        <w:t>s</w:t>
      </w:r>
      <w:r w:rsidRPr="003D4A09">
        <w:rPr>
          <w:rFonts w:ascii="Times New Roman" w:hAnsi="Times New Roman" w:cs="Times New Roman"/>
          <w:sz w:val="24"/>
          <w:szCs w:val="24"/>
          <w:lang w:eastAsia="ja-JP"/>
        </w:rPr>
        <w:t>ummary</w:t>
      </w:r>
      <w:r>
        <w:rPr>
          <w:rFonts w:ascii="Times New Roman" w:hAnsi="Times New Roman" w:cs="Times New Roman"/>
          <w:sz w:val="24"/>
          <w:szCs w:val="24"/>
          <w:lang w:eastAsia="ja-JP"/>
        </w:rPr>
        <w:t>.</w:t>
      </w:r>
    </w:p>
    <w:tbl>
      <w:tblPr>
        <w:tblStyle w:val="a7"/>
        <w:tblW w:w="878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2552"/>
        <w:gridCol w:w="1559"/>
      </w:tblGrid>
      <w:tr w:rsidR="00722B05" w:rsidTr="00552DD0">
        <w:tc>
          <w:tcPr>
            <w:tcW w:w="4673" w:type="dxa"/>
            <w:tcBorders>
              <w:bottom w:val="single" w:sz="4" w:space="0" w:color="auto"/>
            </w:tcBorders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  <w:t>Characteristics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  <w:t>Total No. of patients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Rate (</w:t>
            </w:r>
            <w:r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%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722B05" w:rsidTr="00552DD0">
        <w:tc>
          <w:tcPr>
            <w:tcW w:w="4673" w:type="dxa"/>
            <w:tcBorders>
              <w:top w:val="single" w:sz="4" w:space="0" w:color="auto"/>
            </w:tcBorders>
            <w:vAlign w:val="center"/>
          </w:tcPr>
          <w:p w:rsidR="00722B05" w:rsidRDefault="00722B05" w:rsidP="00552DD0">
            <w:pPr>
              <w:snapToGri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  <w:t>Age (median age 46 years)</w:t>
            </w:r>
          </w:p>
        </w:tc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</w:p>
        </w:tc>
      </w:tr>
      <w:tr w:rsidR="00722B05" w:rsidTr="00552DD0">
        <w:trPr>
          <w:trHeight w:val="180"/>
        </w:trPr>
        <w:tc>
          <w:tcPr>
            <w:tcW w:w="4673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&lt;46</w:t>
            </w:r>
          </w:p>
        </w:tc>
        <w:tc>
          <w:tcPr>
            <w:tcW w:w="2552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559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50.63</w:t>
            </w:r>
          </w:p>
        </w:tc>
      </w:tr>
      <w:tr w:rsidR="00722B05" w:rsidTr="00552DD0">
        <w:trPr>
          <w:trHeight w:val="115"/>
        </w:trPr>
        <w:tc>
          <w:tcPr>
            <w:tcW w:w="4673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≥46</w:t>
            </w:r>
          </w:p>
        </w:tc>
        <w:tc>
          <w:tcPr>
            <w:tcW w:w="2552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559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49.38</w:t>
            </w:r>
          </w:p>
        </w:tc>
      </w:tr>
      <w:tr w:rsidR="00722B05" w:rsidTr="00552DD0">
        <w:tc>
          <w:tcPr>
            <w:tcW w:w="4673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  <w:t>Gender</w:t>
            </w:r>
          </w:p>
        </w:tc>
        <w:tc>
          <w:tcPr>
            <w:tcW w:w="2552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559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</w:p>
        </w:tc>
      </w:tr>
      <w:tr w:rsidR="00722B05" w:rsidTr="00552DD0">
        <w:tc>
          <w:tcPr>
            <w:tcW w:w="4673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Males</w:t>
            </w:r>
          </w:p>
        </w:tc>
        <w:tc>
          <w:tcPr>
            <w:tcW w:w="2552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559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65.63</w:t>
            </w:r>
          </w:p>
        </w:tc>
      </w:tr>
      <w:tr w:rsidR="00722B05" w:rsidTr="00552DD0">
        <w:tc>
          <w:tcPr>
            <w:tcW w:w="4673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Females</w:t>
            </w:r>
          </w:p>
        </w:tc>
        <w:tc>
          <w:tcPr>
            <w:tcW w:w="2552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34.38</w:t>
            </w:r>
          </w:p>
        </w:tc>
      </w:tr>
      <w:tr w:rsidR="00722B05" w:rsidTr="00552DD0">
        <w:tc>
          <w:tcPr>
            <w:tcW w:w="4673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  <w:t>Pathological diagnosis</w:t>
            </w:r>
          </w:p>
        </w:tc>
        <w:tc>
          <w:tcPr>
            <w:tcW w:w="2552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559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</w:p>
        </w:tc>
      </w:tr>
      <w:tr w:rsidR="00722B05" w:rsidTr="00552DD0">
        <w:tc>
          <w:tcPr>
            <w:tcW w:w="4673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Ameloblastoma</w:t>
            </w:r>
          </w:p>
        </w:tc>
        <w:tc>
          <w:tcPr>
            <w:tcW w:w="2552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6.25</w:t>
            </w:r>
          </w:p>
        </w:tc>
      </w:tr>
      <w:tr w:rsidR="00722B05" w:rsidTr="00552DD0">
        <w:tc>
          <w:tcPr>
            <w:tcW w:w="4673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Ossifying fibroma and fibrous dysplasia</w:t>
            </w:r>
          </w:p>
        </w:tc>
        <w:tc>
          <w:tcPr>
            <w:tcW w:w="2552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.25</w:t>
            </w:r>
          </w:p>
        </w:tc>
      </w:tr>
      <w:tr w:rsidR="00722B05" w:rsidTr="00552DD0">
        <w:tc>
          <w:tcPr>
            <w:tcW w:w="4673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Odontogenic keratocyst</w:t>
            </w:r>
          </w:p>
        </w:tc>
        <w:tc>
          <w:tcPr>
            <w:tcW w:w="2552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1559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.63</w:t>
            </w:r>
          </w:p>
        </w:tc>
      </w:tr>
      <w:tr w:rsidR="00722B05" w:rsidTr="00552DD0">
        <w:tc>
          <w:tcPr>
            <w:tcW w:w="4673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Vascular anomalies</w:t>
            </w:r>
          </w:p>
        </w:tc>
        <w:tc>
          <w:tcPr>
            <w:tcW w:w="2552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559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.50</w:t>
            </w:r>
          </w:p>
        </w:tc>
      </w:tr>
      <w:tr w:rsidR="00722B05" w:rsidTr="00552DD0">
        <w:tc>
          <w:tcPr>
            <w:tcW w:w="4673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Squamous cell carcinoma</w:t>
            </w:r>
          </w:p>
        </w:tc>
        <w:tc>
          <w:tcPr>
            <w:tcW w:w="2552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1.88</w:t>
            </w:r>
          </w:p>
        </w:tc>
      </w:tr>
      <w:tr w:rsidR="00722B05" w:rsidTr="00552DD0">
        <w:tc>
          <w:tcPr>
            <w:tcW w:w="4673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Osteosarcoma</w:t>
            </w:r>
          </w:p>
        </w:tc>
        <w:tc>
          <w:tcPr>
            <w:tcW w:w="2552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559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.25</w:t>
            </w:r>
          </w:p>
        </w:tc>
      </w:tr>
      <w:tr w:rsidR="00722B05" w:rsidTr="00552DD0">
        <w:tc>
          <w:tcPr>
            <w:tcW w:w="4673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Adenoid cystic carcinoma</w:t>
            </w:r>
          </w:p>
        </w:tc>
        <w:tc>
          <w:tcPr>
            <w:tcW w:w="2552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559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.88</w:t>
            </w:r>
          </w:p>
        </w:tc>
      </w:tr>
      <w:tr w:rsidR="00722B05" w:rsidTr="00552DD0">
        <w:tc>
          <w:tcPr>
            <w:tcW w:w="4673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Mucoepidermoid carcinoma</w:t>
            </w:r>
          </w:p>
        </w:tc>
        <w:tc>
          <w:tcPr>
            <w:tcW w:w="2552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559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.25</w:t>
            </w:r>
          </w:p>
        </w:tc>
      </w:tr>
      <w:tr w:rsidR="00722B05" w:rsidTr="00552DD0">
        <w:tc>
          <w:tcPr>
            <w:tcW w:w="4673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Chronic osteomyelitis</w:t>
            </w:r>
          </w:p>
        </w:tc>
        <w:tc>
          <w:tcPr>
            <w:tcW w:w="2552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559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.50</w:t>
            </w:r>
          </w:p>
        </w:tc>
      </w:tr>
      <w:tr w:rsidR="00722B05" w:rsidTr="00552DD0">
        <w:tc>
          <w:tcPr>
            <w:tcW w:w="4673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Others</w:t>
            </w:r>
          </w:p>
        </w:tc>
        <w:tc>
          <w:tcPr>
            <w:tcW w:w="2552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20.63</w:t>
            </w:r>
          </w:p>
        </w:tc>
      </w:tr>
      <w:tr w:rsidR="00722B05" w:rsidTr="00552DD0">
        <w:tc>
          <w:tcPr>
            <w:tcW w:w="4673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  <w:lang w:val="en-GB"/>
              </w:rPr>
              <w:t>P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GB"/>
              </w:rPr>
              <w:t>rognosis</w:t>
            </w:r>
          </w:p>
        </w:tc>
        <w:tc>
          <w:tcPr>
            <w:tcW w:w="2552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722B05" w:rsidTr="00552DD0">
        <w:tc>
          <w:tcPr>
            <w:tcW w:w="4673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GB"/>
              </w:rPr>
              <w:t>Normal</w:t>
            </w:r>
          </w:p>
        </w:tc>
        <w:tc>
          <w:tcPr>
            <w:tcW w:w="2552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559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89.38</w:t>
            </w:r>
          </w:p>
        </w:tc>
      </w:tr>
      <w:tr w:rsidR="00722B05" w:rsidTr="00552DD0">
        <w:tc>
          <w:tcPr>
            <w:tcW w:w="4673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Flap loss</w:t>
            </w:r>
          </w:p>
        </w:tc>
        <w:tc>
          <w:tcPr>
            <w:tcW w:w="2552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559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.38</w:t>
            </w:r>
          </w:p>
        </w:tc>
      </w:tr>
      <w:tr w:rsidR="00722B05" w:rsidTr="00552DD0">
        <w:tc>
          <w:tcPr>
            <w:tcW w:w="4673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eastAsia="等线" w:hAnsi="Times New Roman" w:cs="Times New Roman" w:hint="eastAsia"/>
                <w:sz w:val="24"/>
                <w:szCs w:val="24"/>
              </w:rPr>
              <w:t>itanium plate rejection</w:t>
            </w:r>
          </w:p>
        </w:tc>
        <w:tc>
          <w:tcPr>
            <w:tcW w:w="2552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.63</w:t>
            </w:r>
          </w:p>
        </w:tc>
      </w:tr>
      <w:tr w:rsidR="00722B05" w:rsidTr="00552DD0">
        <w:tc>
          <w:tcPr>
            <w:tcW w:w="4673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Postoperative bleeding</w:t>
            </w:r>
          </w:p>
        </w:tc>
        <w:tc>
          <w:tcPr>
            <w:tcW w:w="2552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559" w:type="dxa"/>
            <w:vAlign w:val="center"/>
          </w:tcPr>
          <w:p w:rsidR="00722B05" w:rsidRDefault="00722B05" w:rsidP="00552DD0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.62</w:t>
            </w:r>
          </w:p>
        </w:tc>
      </w:tr>
    </w:tbl>
    <w:p w:rsidR="00722B05" w:rsidRDefault="00722B05" w:rsidP="00722B05">
      <w:pPr>
        <w:spacing w:line="36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:rsidR="006F5E41" w:rsidRDefault="006F5E41"/>
    <w:sectPr w:rsidR="006F5E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7426" w:rsidRDefault="00547426" w:rsidP="00722B05">
      <w:r>
        <w:separator/>
      </w:r>
    </w:p>
  </w:endnote>
  <w:endnote w:type="continuationSeparator" w:id="0">
    <w:p w:rsidR="00547426" w:rsidRDefault="00547426" w:rsidP="00722B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Gothic">
    <w:altName w:val="Malgun Gothic Semilight"/>
    <w:panose1 w:val="020B0400000000000000"/>
    <w:charset w:val="80"/>
    <w:family w:val="swiss"/>
    <w:pitch w:val="variable"/>
    <w:sig w:usb0="E00002F7" w:usb1="2AC7EDF8" w:usb2="00000012" w:usb3="00000000" w:csb0="0002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书宋简体">
    <w:altName w:val="宋体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7426" w:rsidRDefault="00547426" w:rsidP="00722B05">
      <w:r>
        <w:separator/>
      </w:r>
    </w:p>
  </w:footnote>
  <w:footnote w:type="continuationSeparator" w:id="0">
    <w:p w:rsidR="00547426" w:rsidRDefault="00547426" w:rsidP="00722B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C13"/>
    <w:rsid w:val="000B2875"/>
    <w:rsid w:val="002256AD"/>
    <w:rsid w:val="003A35C5"/>
    <w:rsid w:val="00547426"/>
    <w:rsid w:val="006E0087"/>
    <w:rsid w:val="006F40B2"/>
    <w:rsid w:val="006F5E41"/>
    <w:rsid w:val="00722B05"/>
    <w:rsid w:val="007A0297"/>
    <w:rsid w:val="0080564C"/>
    <w:rsid w:val="008A1638"/>
    <w:rsid w:val="008D3FF8"/>
    <w:rsid w:val="009A2838"/>
    <w:rsid w:val="00A67286"/>
    <w:rsid w:val="00A74C13"/>
    <w:rsid w:val="00AD465D"/>
    <w:rsid w:val="00B24002"/>
    <w:rsid w:val="00D528CE"/>
    <w:rsid w:val="00E54738"/>
    <w:rsid w:val="00F02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1DA51F"/>
  <w15:chartTrackingRefBased/>
  <w15:docId w15:val="{167F9DCE-3B56-4446-A7F9-B4BB7003E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2B05"/>
    <w:pPr>
      <w:widowControl w:val="0"/>
      <w:jc w:val="both"/>
    </w:pPr>
    <w:rPr>
      <w:rFonts w:ascii="BIZ UDPGothic" w:eastAsia="BIZ UDPGothic" w:hAnsi="BIZ UDPGothic" w:cs="BIZ UDPGothic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2B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2B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2B0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2B05"/>
    <w:rPr>
      <w:sz w:val="18"/>
      <w:szCs w:val="18"/>
    </w:rPr>
  </w:style>
  <w:style w:type="table" w:styleId="a7">
    <w:name w:val="Table Grid"/>
    <w:basedOn w:val="a1"/>
    <w:uiPriority w:val="39"/>
    <w:qFormat/>
    <w:rsid w:val="00722B05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308</Words>
  <Characters>1760</Characters>
  <Application>Microsoft Office Word</Application>
  <DocSecurity>0</DocSecurity>
  <Lines>14</Lines>
  <Paragraphs>4</Paragraphs>
  <ScaleCrop>false</ScaleCrop>
  <Company/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Zi-Li Yu</dc:creator>
  <cp:keywords/>
  <dc:description/>
  <cp:lastModifiedBy>一页 作文</cp:lastModifiedBy>
  <cp:revision>15</cp:revision>
  <dcterms:created xsi:type="dcterms:W3CDTF">2023-08-21T14:20:00Z</dcterms:created>
  <dcterms:modified xsi:type="dcterms:W3CDTF">2023-09-23T13:33:00Z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a9f330ac678beb13974c3db8de6eda438d1ecc11e8c53e9142ef931b6a39a736</vt:lpwstr>
  </property>
</Properties>
</file>