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BC8523" w14:textId="75C1AEF7" w:rsidR="007A6B4E" w:rsidRPr="000A17E4" w:rsidRDefault="000A17E4" w:rsidP="000A17E4">
      <w:pPr>
        <w:pStyle w:val="Opstilling-talellerbogst"/>
        <w:numPr>
          <w:ilvl w:val="0"/>
          <w:numId w:val="0"/>
        </w:numPr>
        <w:spacing w:line="480" w:lineRule="auto"/>
        <w:ind w:left="360" w:hanging="360"/>
        <w:rPr>
          <w:rFonts w:ascii="Cambria" w:hAnsi="Cambria"/>
          <w:b/>
          <w:sz w:val="28"/>
          <w:szCs w:val="28"/>
          <w:lang w:val="en-US"/>
        </w:rPr>
      </w:pPr>
      <w:r w:rsidRPr="000A17E4">
        <w:rPr>
          <w:rFonts w:ascii="Cambria" w:hAnsi="Cambria"/>
          <w:b/>
          <w:sz w:val="28"/>
          <w:szCs w:val="28"/>
          <w:lang w:val="en-US"/>
        </w:rPr>
        <w:t xml:space="preserve">Additional file </w:t>
      </w:r>
      <w:r w:rsidR="00FD696F">
        <w:rPr>
          <w:rFonts w:ascii="Cambria" w:hAnsi="Cambria"/>
          <w:b/>
          <w:sz w:val="28"/>
          <w:szCs w:val="28"/>
          <w:lang w:val="en-US"/>
        </w:rPr>
        <w:t>4</w:t>
      </w:r>
      <w:r w:rsidRPr="000A17E4">
        <w:rPr>
          <w:rFonts w:ascii="Cambria" w:hAnsi="Cambria"/>
          <w:b/>
          <w:sz w:val="28"/>
          <w:szCs w:val="28"/>
          <w:lang w:val="en-US"/>
        </w:rPr>
        <w:t xml:space="preserve">: Formulae </w:t>
      </w:r>
      <w:r w:rsidR="00632C81">
        <w:rPr>
          <w:rFonts w:ascii="Cambria" w:hAnsi="Cambria"/>
          <w:b/>
          <w:sz w:val="28"/>
          <w:szCs w:val="28"/>
          <w:lang w:val="en-US"/>
        </w:rPr>
        <w:t xml:space="preserve">after </w:t>
      </w:r>
      <w:r w:rsidRPr="000A17E4">
        <w:rPr>
          <w:rFonts w:ascii="Cambria" w:hAnsi="Cambria"/>
          <w:b/>
          <w:sz w:val="28"/>
          <w:szCs w:val="28"/>
          <w:lang w:val="en-US"/>
        </w:rPr>
        <w:t>r</w:t>
      </w:r>
      <w:r w:rsidR="00B6144E" w:rsidRPr="000A17E4">
        <w:rPr>
          <w:rFonts w:ascii="Cambria" w:hAnsi="Cambria"/>
          <w:b/>
          <w:sz w:val="28"/>
          <w:szCs w:val="28"/>
          <w:lang w:val="en-US"/>
        </w:rPr>
        <w:t>emoving</w:t>
      </w:r>
      <w:r w:rsidR="007A6B4E" w:rsidRPr="000A17E4">
        <w:rPr>
          <w:rFonts w:ascii="Cambria" w:hAnsi="Cambria"/>
          <w:b/>
          <w:sz w:val="28"/>
          <w:szCs w:val="28"/>
          <w:lang w:val="en-US"/>
        </w:rPr>
        <w:t xml:space="preserve"> the observer effect</w:t>
      </w:r>
    </w:p>
    <w:p w14:paraId="714C40A4" w14:textId="657078FF" w:rsidR="00AD6AF7" w:rsidRPr="00DF495C" w:rsidRDefault="00A36465" w:rsidP="000A17E4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DF495C">
        <w:rPr>
          <w:rFonts w:ascii="Cambria" w:hAnsi="Cambria"/>
          <w:sz w:val="20"/>
          <w:szCs w:val="20"/>
          <w:lang w:val="en-GB"/>
        </w:rPr>
        <w:t>If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 an agreement analysis has been performed </w:t>
      </w:r>
      <w:r w:rsidRPr="00DF495C">
        <w:rPr>
          <w:rFonts w:ascii="Cambria" w:hAnsi="Cambria"/>
          <w:sz w:val="20"/>
          <w:szCs w:val="20"/>
          <w:lang w:val="en-GB"/>
        </w:rPr>
        <w:t>(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following the cookbook of Section </w:t>
      </w:r>
      <w:r w:rsidR="00D35689" w:rsidRPr="00DF495C">
        <w:rPr>
          <w:rFonts w:ascii="Cambria" w:hAnsi="Cambria"/>
          <w:sz w:val="20"/>
          <w:szCs w:val="20"/>
          <w:lang w:val="en-GB"/>
        </w:rPr>
        <w:t>2.1.6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 in the main paper</w:t>
      </w:r>
      <w:r w:rsidRPr="00DF495C">
        <w:rPr>
          <w:rFonts w:ascii="Cambria" w:hAnsi="Cambria"/>
          <w:sz w:val="20"/>
          <w:szCs w:val="20"/>
          <w:lang w:val="en-GB"/>
        </w:rPr>
        <w:t>)</w:t>
      </w:r>
      <w:r w:rsidR="00AD6AF7" w:rsidRPr="00DF495C">
        <w:rPr>
          <w:rFonts w:ascii="Cambria" w:hAnsi="Cambria"/>
          <w:sz w:val="20"/>
          <w:szCs w:val="20"/>
          <w:lang w:val="en-GB"/>
        </w:rPr>
        <w:t>, and the observer variation has been deemed negligible</w:t>
      </w:r>
      <w:r w:rsidRPr="00DF495C">
        <w:rPr>
          <w:rFonts w:ascii="Cambria" w:hAnsi="Cambria"/>
          <w:sz w:val="20"/>
          <w:szCs w:val="20"/>
          <w:lang w:val="en-GB"/>
        </w:rPr>
        <w:t>,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 </w:t>
      </w:r>
      <w:r w:rsidRPr="00DF495C">
        <w:rPr>
          <w:rFonts w:ascii="Cambria" w:hAnsi="Cambria"/>
          <w:sz w:val="20"/>
          <w:szCs w:val="20"/>
          <w:lang w:val="en-GB"/>
        </w:rPr>
        <w:t>t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hen the observer effect should be removed from the random model for the measurements, and </w:t>
      </w:r>
      <w:r w:rsidR="0016003C" w:rsidRPr="00DF495C">
        <w:rPr>
          <w:rFonts w:ascii="Cambria" w:hAnsi="Cambria"/>
          <w:sz w:val="20"/>
          <w:szCs w:val="20"/>
          <w:lang w:val="en-GB"/>
        </w:rPr>
        <w:t>formulae for the</w:t>
      </w:r>
      <w:r w:rsidR="00AD6AF7" w:rsidRPr="00DF495C">
        <w:rPr>
          <w:rFonts w:ascii="Cambria" w:hAnsi="Cambria"/>
          <w:sz w:val="20"/>
          <w:szCs w:val="20"/>
          <w:lang w:val="en-GB"/>
        </w:rPr>
        <w:t xml:space="preserve"> LOAM</w:t>
      </w:r>
      <w:r w:rsidR="0016003C" w:rsidRPr="00DF495C">
        <w:rPr>
          <w:rFonts w:ascii="Cambria" w:hAnsi="Cambria"/>
          <w:sz w:val="20"/>
          <w:szCs w:val="20"/>
          <w:lang w:val="en-GB"/>
        </w:rPr>
        <w:t>, confidence intervals</w:t>
      </w:r>
      <w:r w:rsidR="009231FC" w:rsidRPr="00DF495C">
        <w:rPr>
          <w:rFonts w:ascii="Cambria" w:hAnsi="Cambria"/>
          <w:sz w:val="20"/>
          <w:szCs w:val="20"/>
          <w:lang w:val="en-GB"/>
        </w:rPr>
        <w:t>,</w:t>
      </w:r>
      <w:r w:rsidR="0016003C" w:rsidRPr="00DF495C">
        <w:rPr>
          <w:rFonts w:ascii="Cambria" w:hAnsi="Cambria"/>
          <w:sz w:val="20"/>
          <w:szCs w:val="20"/>
          <w:lang w:val="en-GB"/>
        </w:rPr>
        <w:t xml:space="preserve"> and estimates should be adjusted accordingly. In the following, we restate the relevant formulae under the one-way random model with subject effect only. That is, we assume the measurements</w:t>
      </w:r>
      <w:r w:rsidR="00A379EE" w:rsidRPr="00DF495C">
        <w:rPr>
          <w:rFonts w:ascii="Cambria" w:hAnsi="Cambria"/>
          <w:sz w:val="20"/>
          <w:szCs w:val="20"/>
          <w:lang w:val="en-GB"/>
        </w:rPr>
        <w:t xml:space="preserve"> now</w:t>
      </w:r>
      <w:r w:rsidR="0016003C" w:rsidRPr="00DF495C">
        <w:rPr>
          <w:rFonts w:ascii="Cambria" w:hAnsi="Cambria"/>
          <w:sz w:val="20"/>
          <w:szCs w:val="20"/>
          <w:lang w:val="en-GB"/>
        </w:rPr>
        <w:t xml:space="preserve"> follow the model</w:t>
      </w:r>
    </w:p>
    <w:p w14:paraId="1558C4DF" w14:textId="22622A33" w:rsidR="007A6B4E" w:rsidRPr="00DF495C" w:rsidRDefault="00132AFB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Y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ijk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=μ+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i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</w:rPr>
                <m:t>W</m:t>
              </m:r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ijk</m:t>
              </m:r>
            </m:sub>
          </m:sSub>
          <m:r>
            <w:rPr>
              <w:rFonts w:ascii="Cambria Math" w:hAnsi="Cambria Math"/>
              <w:sz w:val="20"/>
              <w:szCs w:val="20"/>
            </w:rPr>
            <m:t>,</m:t>
          </m:r>
        </m:oMath>
      </m:oMathPara>
    </w:p>
    <w:p w14:paraId="09856B11" w14:textId="6D04B493" w:rsidR="00CA1948" w:rsidRPr="00DF495C" w:rsidRDefault="007A6B4E" w:rsidP="000A17E4">
      <w:pPr>
        <w:spacing w:after="0"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where </w:t>
      </w:r>
      <m:oMath>
        <m:r>
          <w:rPr>
            <w:rFonts w:ascii="Cambria Math" w:eastAsiaTheme="minorEastAsia" w:hAnsi="Cambria Math"/>
            <w:sz w:val="20"/>
            <w:szCs w:val="20"/>
          </w:rPr>
          <m:t>μ</m:t>
        </m:r>
      </m:oMath>
      <w:r w:rsidR="0063290C" w:rsidRPr="00DF495C">
        <w:rPr>
          <w:rFonts w:ascii="Cambria" w:eastAsiaTheme="minorEastAsia" w:hAnsi="Cambria"/>
          <w:sz w:val="20"/>
          <w:szCs w:val="20"/>
          <w:lang w:val="en-GB"/>
        </w:rPr>
        <w:t xml:space="preserve"> is the overall mean,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i</m:t>
            </m:r>
          </m:sub>
        </m:sSub>
      </m:oMath>
      <w:r w:rsidR="0063290C" w:rsidRPr="00DF495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W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ijk</m:t>
            </m:r>
          </m:sub>
        </m:sSub>
      </m:oMath>
      <w:r w:rsidR="0063290C" w:rsidRPr="00DF495C">
        <w:rPr>
          <w:rFonts w:ascii="Cambria" w:eastAsiaTheme="minorEastAsia" w:hAnsi="Cambria"/>
          <w:sz w:val="20"/>
          <w:szCs w:val="20"/>
          <w:lang w:val="en-GB"/>
        </w:rPr>
        <w:t xml:space="preserve"> are random variables followi</w:t>
      </w:r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>ng</w:t>
      </w:r>
      <w:r w:rsidR="0063290C" w:rsidRPr="00DF495C">
        <w:rPr>
          <w:rFonts w:ascii="Cambria" w:eastAsiaTheme="minorEastAsia" w:hAnsi="Cambria"/>
          <w:sz w:val="20"/>
          <w:szCs w:val="20"/>
          <w:lang w:val="en-GB"/>
        </w:rPr>
        <w:t xml:space="preserve"> zero-mean normal distribution</w:t>
      </w:r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>s</w:t>
      </w:r>
      <w:r w:rsidR="0063290C" w:rsidRPr="00DF495C">
        <w:rPr>
          <w:rFonts w:ascii="Cambria" w:eastAsiaTheme="minorEastAsia" w:hAnsi="Cambria"/>
          <w:sz w:val="20"/>
          <w:szCs w:val="20"/>
          <w:lang w:val="en-GB"/>
        </w:rPr>
        <w:t xml:space="preserve"> with</w:t>
      </w:r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 variances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, respectively, for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i=1, …, a</m:t>
        </m:r>
      </m:oMath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,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j=1,…, b</m:t>
        </m:r>
      </m:oMath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,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k=1,…, c</m:t>
        </m:r>
      </m:oMath>
      <w:r w:rsidR="008A6A5A" w:rsidRPr="00DF495C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 xml:space="preserve">Note that we </w:t>
      </w:r>
      <w:r w:rsidR="00E24236" w:rsidRPr="00DF495C">
        <w:rPr>
          <w:rFonts w:ascii="Cambria" w:eastAsiaTheme="minorEastAsia" w:hAnsi="Cambria"/>
          <w:sz w:val="20"/>
          <w:szCs w:val="20"/>
          <w:lang w:val="en-GB"/>
        </w:rPr>
        <w:t>(as opposed to the main paper) immediately</w:t>
      </w:r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 xml:space="preserve"> consider the model for the case with multiple measurements per observer. </w:t>
      </w:r>
      <w:r w:rsidR="00E24236" w:rsidRPr="00DF495C">
        <w:rPr>
          <w:rFonts w:ascii="Cambria" w:eastAsiaTheme="minorEastAsia" w:hAnsi="Cambria"/>
          <w:sz w:val="20"/>
          <w:szCs w:val="20"/>
          <w:lang w:val="en-GB"/>
        </w:rPr>
        <w:t>In the case of</w:t>
      </w:r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="00E67434" w:rsidRPr="00DF495C">
        <w:rPr>
          <w:rFonts w:ascii="Cambria" w:eastAsiaTheme="minorEastAsia" w:hAnsi="Cambria"/>
          <w:sz w:val="20"/>
          <w:szCs w:val="20"/>
          <w:lang w:val="en-GB"/>
        </w:rPr>
        <w:t>only one observation per observer per subject</w:t>
      </w:r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 xml:space="preserve">, </w:t>
      </w:r>
      <w:r w:rsidR="00E24236" w:rsidRPr="00DF495C">
        <w:rPr>
          <w:rFonts w:ascii="Cambria" w:eastAsiaTheme="minorEastAsia" w:hAnsi="Cambria"/>
          <w:sz w:val="20"/>
          <w:szCs w:val="20"/>
          <w:lang w:val="en-GB"/>
        </w:rPr>
        <w:t>this is the special case with</w:t>
      </w:r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c=1</m:t>
        </m:r>
      </m:oMath>
      <w:r w:rsidR="00AD6AF7" w:rsidRPr="00DF495C">
        <w:rPr>
          <w:rFonts w:ascii="Cambria" w:eastAsiaTheme="minorEastAsia" w:hAnsi="Cambria"/>
          <w:sz w:val="20"/>
          <w:szCs w:val="20"/>
          <w:lang w:val="en-GB"/>
        </w:rPr>
        <w:t>.</w:t>
      </w:r>
    </w:p>
    <w:p w14:paraId="5E692CA9" w14:textId="77777777" w:rsidR="007A6B4E" w:rsidRPr="00DF495C" w:rsidRDefault="00962C10" w:rsidP="000A17E4">
      <w:pPr>
        <w:spacing w:line="480" w:lineRule="auto"/>
        <w:ind w:firstLine="284"/>
        <w:rPr>
          <w:rFonts w:ascii="Cambria" w:eastAsiaTheme="minorEastAsia" w:hAnsi="Cambria"/>
          <w:sz w:val="20"/>
          <w:szCs w:val="20"/>
          <w:lang w:val="en-GB"/>
        </w:rPr>
      </w:pPr>
      <w:r w:rsidRPr="00DF495C">
        <w:rPr>
          <w:rFonts w:ascii="Cambria" w:eastAsiaTheme="minorEastAsia" w:hAnsi="Cambria"/>
          <w:sz w:val="20"/>
          <w:szCs w:val="20"/>
          <w:lang w:val="en-GB"/>
        </w:rPr>
        <w:t>Assuming the above model, the</w:t>
      </w:r>
      <w:r w:rsidR="007A6B4E" w:rsidRPr="00DF495C">
        <w:rPr>
          <w:rFonts w:ascii="Cambria" w:eastAsiaTheme="minorEastAsia" w:hAnsi="Cambria"/>
          <w:sz w:val="20"/>
          <w:szCs w:val="20"/>
          <w:lang w:val="en-GB"/>
        </w:rPr>
        <w:t xml:space="preserve"> difference,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D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ijk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Y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ijk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Y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i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⋅⋅</m:t>
            </m:r>
          </m:sub>
        </m:sSub>
      </m:oMath>
      <w:r w:rsidR="007A6B4E" w:rsidRPr="00DF495C">
        <w:rPr>
          <w:rFonts w:ascii="Cambria" w:eastAsiaTheme="minorEastAsia" w:hAnsi="Cambria"/>
          <w:sz w:val="20"/>
          <w:szCs w:val="20"/>
          <w:lang w:val="en-GB"/>
        </w:rPr>
        <w:t>, has variance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="007A6B4E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</w:rPr>
              <m:t>bc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</w:rPr>
              <m:t>bc</m:t>
            </m:r>
          </m:den>
        </m:f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7A6B4E" w:rsidRPr="00DF495C">
        <w:rPr>
          <w:rFonts w:ascii="Cambria" w:eastAsiaTheme="minorEastAsia" w:hAnsi="Cambria"/>
          <w:sz w:val="20"/>
          <w:szCs w:val="20"/>
          <w:lang w:val="en-GB"/>
        </w:rPr>
        <w:t xml:space="preserve">, and the </w:t>
      </w:r>
      <w:r w:rsidR="00D7668B" w:rsidRPr="00DF495C">
        <w:rPr>
          <w:rFonts w:ascii="Cambria" w:eastAsiaTheme="minorEastAsia" w:hAnsi="Cambria"/>
          <w:sz w:val="20"/>
          <w:szCs w:val="20"/>
          <w:lang w:val="en-GB"/>
        </w:rPr>
        <w:t>LOAM</w:t>
      </w:r>
      <w:r w:rsidR="007A6B4E" w:rsidRPr="00DF495C">
        <w:rPr>
          <w:rFonts w:ascii="Cambria" w:eastAsiaTheme="minorEastAsia" w:hAnsi="Cambria"/>
          <w:sz w:val="20"/>
          <w:szCs w:val="20"/>
          <w:lang w:val="en-GB"/>
        </w:rPr>
        <w:t xml:space="preserve"> becomes</w:t>
      </w:r>
    </w:p>
    <w:p w14:paraId="03E34629" w14:textId="77777777" w:rsidR="007A6B4E" w:rsidRPr="00DF495C" w:rsidRDefault="007A6B4E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</w:rPr>
            <m:t>±1.96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bc-1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bc</m:t>
                  </m:r>
                </m:den>
              </m:f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W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2</m:t>
                  </m:r>
                </m:sup>
              </m:sSubSup>
            </m:e>
          </m:rad>
          <m:r>
            <w:rPr>
              <w:rFonts w:ascii="Cambria Math" w:eastAsiaTheme="minorEastAsia" w:hAnsi="Cambria Math"/>
              <w:sz w:val="20"/>
              <w:szCs w:val="20"/>
            </w:rPr>
            <m:t>.</m:t>
          </m:r>
        </m:oMath>
      </m:oMathPara>
    </w:p>
    <w:p w14:paraId="4107428D" w14:textId="700E1255" w:rsidR="00F11898" w:rsidRPr="00DF495C" w:rsidRDefault="00F11898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The </w:t>
      </w:r>
      <w:r w:rsidR="00EE111E" w:rsidRPr="00DF495C">
        <w:rPr>
          <w:rFonts w:ascii="Cambria" w:eastAsiaTheme="minorEastAsia" w:hAnsi="Cambria"/>
          <w:sz w:val="20"/>
          <w:szCs w:val="20"/>
          <w:lang w:val="en-GB"/>
        </w:rPr>
        <w:t>maximum likelihood/</w:t>
      </w:r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ANOVA estimate of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EE111E" w:rsidRPr="00DF495C">
        <w:rPr>
          <w:rFonts w:ascii="Cambria" w:eastAsiaTheme="minorEastAsia" w:hAnsi="Cambria"/>
          <w:sz w:val="20"/>
          <w:szCs w:val="20"/>
          <w:lang w:val="en-GB"/>
        </w:rPr>
        <w:t xml:space="preserve"> is given by (see e.g. Chapter 4 of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 Searle et al.</w:t>
      </w:r>
      <w:r w:rsidR="00EE111E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begin" w:fldLock="1"/>
      </w:r>
      <w:r w:rsidR="00132AFB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separate"/>
      </w:r>
      <w:r w:rsidR="00F825DF" w:rsidRPr="00F825DF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end"/>
      </w:r>
      <w:r w:rsidR="00EE111E" w:rsidRPr="00DF495C">
        <w:rPr>
          <w:rFonts w:ascii="Cambria" w:eastAsiaTheme="minorEastAsia" w:hAnsi="Cambria"/>
          <w:sz w:val="20"/>
          <w:szCs w:val="20"/>
          <w:lang w:val="en-GB"/>
        </w:rPr>
        <w:t>)</w:t>
      </w:r>
    </w:p>
    <w:p w14:paraId="4E90E2C7" w14:textId="68906888" w:rsidR="00F11898" w:rsidRPr="00DF495C" w:rsidRDefault="00132AFB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Sup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σ</m:t>
                  </m:r>
                </m:e>
              </m:acc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W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</w:rPr>
            <m:t>=MSW,</m:t>
          </m:r>
        </m:oMath>
      </m:oMathPara>
    </w:p>
    <w:p w14:paraId="2758D80B" w14:textId="77777777" w:rsidR="00F11898" w:rsidRPr="00DF495C" w:rsidRDefault="00F11898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where </w:t>
      </w:r>
      <m:oMath>
        <m:r>
          <w:rPr>
            <w:rFonts w:ascii="Cambria Math" w:eastAsiaTheme="minorEastAsia" w:hAnsi="Cambria Math"/>
            <w:sz w:val="20"/>
            <w:szCs w:val="20"/>
          </w:rPr>
          <m:t>MSW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= </m:t>
        </m:r>
        <m:r>
          <w:rPr>
            <w:rFonts w:ascii="Cambria Math" w:eastAsiaTheme="minorEastAsia" w:hAnsi="Cambria Math"/>
            <w:sz w:val="20"/>
            <w:szCs w:val="20"/>
          </w:rPr>
          <m:t>SSW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/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</m:sSub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 for </w:t>
      </w:r>
      <m:oMath>
        <m:r>
          <w:rPr>
            <w:rFonts w:ascii="Cambria Math" w:eastAsiaTheme="minorEastAsia" w:hAnsi="Cambria Math"/>
            <w:sz w:val="20"/>
            <w:szCs w:val="20"/>
          </w:rPr>
          <m:t>SSW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= </m:t>
        </m:r>
        <m:nary>
          <m:naryPr>
            <m:chr m:val="∑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i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=1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a</m:t>
            </m:r>
          </m:sup>
          <m:e>
            <m:nary>
              <m:naryPr>
                <m:chr m:val="∑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j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b</m:t>
                </m:r>
              </m:sup>
              <m:e>
                <m:nary>
                  <m:naryPr>
                    <m:chr m:val="∑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k</m:t>
                    </m:r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=1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</w:rPr>
                      <m:t>c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</w:rPr>
                                  <m:t>ijk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</w:rPr>
                              <m:t xml:space="preserve">- 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20"/>
                                        <w:szCs w:val="20"/>
                                      </w:rPr>
                                      <m:t>y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</w:rPr>
                                  <m:t>⋅⋅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 xml:space="preserve"> </m:t>
                    </m:r>
                  </m:e>
                </m:nary>
              </m:e>
            </m:nary>
          </m:e>
        </m:nary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>
          <w:rPr>
            <w:rFonts w:ascii="Cambria Math" w:eastAsiaTheme="minorEastAsia" w:hAnsi="Cambria Math"/>
            <w:sz w:val="20"/>
            <w:szCs w:val="20"/>
          </w:rPr>
          <m:t>a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(</m:t>
        </m:r>
        <m:r>
          <w:rPr>
            <w:rFonts w:ascii="Cambria Math" w:eastAsiaTheme="minorEastAsia" w:hAnsi="Cambria Math"/>
            <w:sz w:val="20"/>
            <w:szCs w:val="20"/>
          </w:rPr>
          <m:t>bc</m:t>
        </m:r>
        <m:r>
          <w:rPr>
            <w:rFonts w:ascii="Cambria Math" w:eastAsiaTheme="minorEastAsia" w:hAnsi="Cambria Math"/>
            <w:sz w:val="20"/>
            <w:szCs w:val="20"/>
            <w:lang w:val="en-GB"/>
          </w:rPr>
          <m:t>-1)</m:t>
        </m:r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>The</w:t>
      </w:r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 LOAM can 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then </w:t>
      </w:r>
      <w:r w:rsidRPr="00DF495C">
        <w:rPr>
          <w:rFonts w:ascii="Cambria" w:eastAsiaTheme="minorEastAsia" w:hAnsi="Cambria"/>
          <w:sz w:val="20"/>
          <w:szCs w:val="20"/>
          <w:lang w:val="en-GB"/>
        </w:rPr>
        <w:t>be estimated by</w:t>
      </w:r>
    </w:p>
    <w:p w14:paraId="1664D91E" w14:textId="77777777" w:rsidR="00CA1948" w:rsidRPr="00DF495C" w:rsidRDefault="004C0F65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±1.96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SSW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>abc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.</m:t>
              </m:r>
            </m:e>
          </m:rad>
        </m:oMath>
      </m:oMathPara>
    </w:p>
    <w:p w14:paraId="2153A76A" w14:textId="496F85FA" w:rsidR="00735160" w:rsidRPr="00DF495C" w:rsidRDefault="00735160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US"/>
        </w:rPr>
      </w:pPr>
      <w:r w:rsidRPr="00DF495C">
        <w:rPr>
          <w:rFonts w:ascii="Cambria" w:eastAsiaTheme="minorEastAsia" w:hAnsi="Cambria"/>
          <w:sz w:val="20"/>
          <w:szCs w:val="20"/>
          <w:lang w:val="en-US"/>
        </w:rPr>
        <w:t xml:space="preserve">Note that this estimate is identical to the one in the main paper as </w:t>
      </w:r>
      <m:oMath>
        <m:r>
          <w:rPr>
            <w:rFonts w:ascii="Cambria Math" w:eastAsiaTheme="minorEastAsia" w:hAnsi="Cambria Math"/>
            <w:sz w:val="20"/>
            <w:szCs w:val="20"/>
            <w:lang w:val="en-US"/>
          </w:rPr>
          <m:t>SSW=SSB+SSE</m:t>
        </m:r>
      </m:oMath>
      <w:r w:rsidRPr="00DF495C">
        <w:rPr>
          <w:rFonts w:ascii="Cambria" w:eastAsiaTheme="minorEastAsia" w:hAnsi="Cambria"/>
          <w:sz w:val="20"/>
          <w:szCs w:val="20"/>
          <w:lang w:val="en-US"/>
        </w:rPr>
        <w:t>, while the following confidence intervals are not.</w:t>
      </w:r>
    </w:p>
    <w:p w14:paraId="35EA1370" w14:textId="1472F46B" w:rsidR="004C0F65" w:rsidRPr="00DF495C" w:rsidRDefault="007E6EE4" w:rsidP="000A17E4">
      <w:pPr>
        <w:spacing w:line="480" w:lineRule="auto"/>
        <w:ind w:firstLine="284"/>
        <w:rPr>
          <w:rFonts w:ascii="Cambria" w:eastAsiaTheme="minorEastAsia" w:hAnsi="Cambria"/>
          <w:sz w:val="20"/>
          <w:szCs w:val="20"/>
          <w:lang w:val="en-GB"/>
        </w:rPr>
      </w:pPr>
      <w:r w:rsidRPr="00DF495C">
        <w:rPr>
          <w:rFonts w:ascii="Cambria" w:eastAsiaTheme="minorEastAsia" w:hAnsi="Cambria"/>
          <w:sz w:val="20"/>
          <w:szCs w:val="20"/>
          <w:lang w:val="en-GB"/>
        </w:rPr>
        <w:lastRenderedPageBreak/>
        <w:t>A</w:t>
      </w:r>
      <w:r w:rsidR="00DD054C" w:rsidRPr="00DF495C">
        <w:rPr>
          <w:rFonts w:ascii="Cambria" w:eastAsiaTheme="minorEastAsia" w:hAnsi="Cambria"/>
          <w:sz w:val="20"/>
          <w:szCs w:val="20"/>
          <w:lang w:val="en-GB"/>
        </w:rPr>
        <w:t>n</w:t>
      </w:r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 xml:space="preserve"> exact asymmetric confidence interval is easily found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</m:sSub>
      </m:oMath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 xml:space="preserve"> by utilizing that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σ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 xml:space="preserve"> follows a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 scaled</w:t>
      </w:r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 xml:space="preserve">-distribution </w:t>
      </w:r>
      <w:r w:rsidR="00DD054C" w:rsidRPr="00DF495C">
        <w:rPr>
          <w:rFonts w:ascii="Cambria" w:eastAsiaTheme="minorEastAsia" w:hAnsi="Cambria"/>
          <w:sz w:val="20"/>
          <w:szCs w:val="20"/>
          <w:lang w:val="en-GB"/>
        </w:rPr>
        <w:t xml:space="preserve">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</m:sSub>
      </m:oMath>
      <w:r w:rsidR="00DD054C" w:rsidRPr="00DF495C">
        <w:rPr>
          <w:rFonts w:ascii="Cambria" w:eastAsiaTheme="minorEastAsia" w:hAnsi="Cambria"/>
          <w:sz w:val="20"/>
          <w:szCs w:val="20"/>
          <w:lang w:val="en-GB"/>
        </w:rPr>
        <w:t xml:space="preserve"> degrees of freedom </w:t>
      </w:r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>(see e.g. Chapter 4 of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 Searle et al. </w: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begin" w:fldLock="1"/>
      </w:r>
      <w:r w:rsidR="00132AFB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separate"/>
      </w:r>
      <w:r w:rsidR="00F825DF" w:rsidRPr="00F825DF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EE111E" w:rsidRPr="00DF495C">
        <w:rPr>
          <w:rFonts w:ascii="Cambria" w:eastAsiaTheme="minorEastAsia" w:hAnsi="Cambria"/>
          <w:sz w:val="20"/>
          <w:szCs w:val="20"/>
        </w:rPr>
        <w:fldChar w:fldCharType="end"/>
      </w:r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>)</w:t>
      </w:r>
      <w:r w:rsidR="00DD054C" w:rsidRPr="00DF495C">
        <w:rPr>
          <w:rFonts w:ascii="Cambria" w:eastAsiaTheme="minorEastAsia" w:hAnsi="Cambria"/>
          <w:sz w:val="20"/>
          <w:szCs w:val="20"/>
          <w:lang w:val="en-GB"/>
        </w:rPr>
        <w:t xml:space="preserve">. This can then be transformed into the following </w:t>
      </w:r>
      <w:r w:rsidR="00AC3B00" w:rsidRPr="00DF495C">
        <w:rPr>
          <w:rFonts w:ascii="Cambria" w:eastAsiaTheme="minorEastAsia" w:hAnsi="Cambria"/>
          <w:sz w:val="20"/>
          <w:szCs w:val="20"/>
          <w:lang w:val="en-GB"/>
        </w:rPr>
        <w:t xml:space="preserve">exact </w:t>
      </w:r>
      <w:r w:rsidR="00DD054C" w:rsidRPr="00DF495C">
        <w:rPr>
          <w:rFonts w:ascii="Cambria" w:eastAsiaTheme="minorEastAsia" w:hAnsi="Cambria"/>
          <w:sz w:val="20"/>
          <w:szCs w:val="20"/>
          <w:lang w:val="en-GB"/>
        </w:rPr>
        <w:t>95% confidence interval for the LOAM</w:t>
      </w:r>
      <w:r w:rsidR="004C0F65" w:rsidRPr="00DF495C">
        <w:rPr>
          <w:rFonts w:ascii="Cambria" w:eastAsiaTheme="minorEastAsia" w:hAnsi="Cambria"/>
          <w:sz w:val="20"/>
          <w:szCs w:val="20"/>
          <w:lang w:val="en-GB"/>
        </w:rPr>
        <w:t>:</w:t>
      </w:r>
    </w:p>
    <w:p w14:paraId="6FF88AB9" w14:textId="77777777" w:rsidR="004C0F65" w:rsidRPr="00DF495C" w:rsidRDefault="00132AFB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1.96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bc</m:t>
                          </m:r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-1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SSW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bc</m:t>
                      </m:r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 xml:space="preserve"> 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0.975;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</m:den>
                  </m:f>
                </m:e>
              </m:rad>
              <m:r>
                <w:rPr>
                  <w:rFonts w:ascii="Cambria Math" w:eastAsiaTheme="minorEastAsia" w:hAnsi="Cambria Math"/>
                  <w:sz w:val="20"/>
                  <w:szCs w:val="20"/>
                </w:rPr>
                <m:t>, 1.96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bc-1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>SSW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</w:rPr>
                        <m:t xml:space="preserve">bc 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0.025;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</w:rPr>
                                <m:t>W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2</m:t>
                          </m:r>
                        </m:sup>
                      </m:sSubSup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</w:rPr>
                    <m:t xml:space="preserve"> </m:t>
                  </m:r>
                </m:e>
              </m:rad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,</m:t>
          </m:r>
        </m:oMath>
      </m:oMathPara>
    </w:p>
    <w:p w14:paraId="40A796D6" w14:textId="2514C671" w:rsidR="002D160D" w:rsidRPr="00DF495C" w:rsidRDefault="004C0F65">
      <w:pPr>
        <w:spacing w:line="480" w:lineRule="auto"/>
        <w:rPr>
          <w:rFonts w:ascii="Cambria" w:hAnsi="Cambria"/>
          <w:sz w:val="20"/>
          <w:szCs w:val="20"/>
          <w:lang w:val="en-GB"/>
        </w:rPr>
      </w:pPr>
      <w:proofErr w:type="gramStart"/>
      <w:r w:rsidRPr="00DF495C">
        <w:rPr>
          <w:rFonts w:ascii="Cambria" w:eastAsiaTheme="minorEastAsia" w:hAnsi="Cambria"/>
          <w:sz w:val="20"/>
          <w:szCs w:val="20"/>
          <w:lang w:val="en-GB"/>
        </w:rPr>
        <w:t>where</w:t>
      </w:r>
      <w:proofErr w:type="gramEnd"/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α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;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ν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</w:rPr>
                  <m:t>W</m:t>
                </m:r>
              </m:sub>
            </m:sSub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 is the </w:t>
      </w:r>
      <m:oMath>
        <m:r>
          <w:rPr>
            <w:rFonts w:ascii="Cambria Math" w:eastAsiaTheme="minorEastAsia" w:hAnsi="Cambria Math"/>
            <w:sz w:val="20"/>
            <w:szCs w:val="20"/>
          </w:rPr>
          <m:t>α</m:t>
        </m:r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-quantile for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-distribution 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W</m:t>
            </m:r>
          </m:sub>
        </m:sSub>
      </m:oMath>
      <w:r w:rsidRPr="00DF495C">
        <w:rPr>
          <w:rFonts w:ascii="Cambria" w:eastAsiaTheme="minorEastAsia" w:hAnsi="Cambria"/>
          <w:sz w:val="20"/>
          <w:szCs w:val="20"/>
          <w:lang w:val="en-GB"/>
        </w:rPr>
        <w:t xml:space="preserve"> degrees of freedom.</w:t>
      </w:r>
      <w:r w:rsidR="00E77913" w:rsidRPr="00DF495C">
        <w:rPr>
          <w:rFonts w:ascii="Cambria" w:eastAsiaTheme="minorEastAsia" w:hAnsi="Cambria"/>
          <w:sz w:val="20"/>
          <w:szCs w:val="20"/>
          <w:lang w:val="en-GB"/>
        </w:rPr>
        <w:t xml:space="preserve"> </w:t>
      </w:r>
    </w:p>
    <w:p w14:paraId="593139E4" w14:textId="27C3D1D1" w:rsidR="00132AFB" w:rsidRDefault="00AC3B00" w:rsidP="00132AFB">
      <w:pPr>
        <w:pStyle w:val="Opstilling-talellerbogst"/>
        <w:numPr>
          <w:ilvl w:val="0"/>
          <w:numId w:val="0"/>
        </w:numPr>
        <w:spacing w:line="480" w:lineRule="auto"/>
        <w:rPr>
          <w:rFonts w:ascii="Cambria" w:eastAsiaTheme="minorEastAsia" w:hAnsi="Cambria"/>
          <w:sz w:val="20"/>
          <w:szCs w:val="20"/>
        </w:rPr>
      </w:pPr>
      <w:r w:rsidRPr="00DF495C">
        <w:rPr>
          <w:rFonts w:ascii="Cambria" w:hAnsi="Cambria"/>
          <w:b/>
          <w:sz w:val="20"/>
          <w:szCs w:val="20"/>
          <w:lang w:val="en-GB"/>
        </w:rPr>
        <w:t>References</w:t>
      </w:r>
    </w:p>
    <w:p w14:paraId="1601BF5F" w14:textId="14D86F69" w:rsidR="00132AFB" w:rsidRPr="00132AFB" w:rsidRDefault="00132AFB" w:rsidP="00132AFB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</w:rPr>
      </w:pPr>
      <w:r>
        <w:rPr>
          <w:rFonts w:ascii="Cambria" w:eastAsiaTheme="minorEastAsia" w:hAnsi="Cambria"/>
          <w:sz w:val="20"/>
          <w:szCs w:val="20"/>
        </w:rPr>
        <w:fldChar w:fldCharType="begin" w:fldLock="1"/>
      </w:r>
      <w:r>
        <w:rPr>
          <w:rFonts w:ascii="Cambria" w:eastAsiaTheme="minorEastAsia" w:hAnsi="Cambria"/>
          <w:sz w:val="20"/>
          <w:szCs w:val="20"/>
        </w:rPr>
        <w:instrText xml:space="preserve">ADDIN Mendeley Bibliography CSL_BIBLIOGRAPHY </w:instrText>
      </w:r>
      <w:r>
        <w:rPr>
          <w:rFonts w:ascii="Cambria" w:eastAsiaTheme="minorEastAsia" w:hAnsi="Cambria"/>
          <w:sz w:val="20"/>
          <w:szCs w:val="20"/>
        </w:rPr>
        <w:fldChar w:fldCharType="separate"/>
      </w:r>
      <w:r w:rsidRPr="00132AFB">
        <w:rPr>
          <w:rFonts w:ascii="Cambria" w:hAnsi="Cambria" w:cs="Times New Roman"/>
          <w:noProof/>
          <w:sz w:val="20"/>
          <w:szCs w:val="24"/>
        </w:rPr>
        <w:t>[1]</w:t>
      </w:r>
      <w:r w:rsidRPr="00132AFB">
        <w:rPr>
          <w:rFonts w:ascii="Cambria" w:hAnsi="Cambria" w:cs="Times New Roman"/>
          <w:noProof/>
          <w:sz w:val="20"/>
          <w:szCs w:val="24"/>
        </w:rPr>
        <w:tab/>
        <w:t xml:space="preserve">S. R. Searle, G. Casella, and C. E. McCulloch, </w:t>
      </w:r>
      <w:r w:rsidRPr="00132AFB">
        <w:rPr>
          <w:rFonts w:ascii="Cambria" w:hAnsi="Cambria" w:cs="Times New Roman"/>
          <w:i/>
          <w:iCs/>
          <w:noProof/>
          <w:sz w:val="20"/>
          <w:szCs w:val="24"/>
        </w:rPr>
        <w:t>Variance Components</w:t>
      </w:r>
      <w:r w:rsidRPr="00132AFB">
        <w:rPr>
          <w:rFonts w:ascii="Cambria" w:hAnsi="Cambria" w:cs="Times New Roman"/>
          <w:noProof/>
          <w:sz w:val="20"/>
          <w:szCs w:val="24"/>
        </w:rPr>
        <w:t>. Hoboken: John Wiley &amp; Sons, Inc., 1992.</w:t>
      </w:r>
    </w:p>
    <w:p w14:paraId="1E54FE9E" w14:textId="05226DBC" w:rsidR="00132AFB" w:rsidRPr="00DF495C" w:rsidRDefault="00132AFB" w:rsidP="00132AFB">
      <w:pPr>
        <w:pStyle w:val="Opstilling-talellerbogst"/>
        <w:numPr>
          <w:ilvl w:val="0"/>
          <w:numId w:val="0"/>
        </w:numPr>
        <w:spacing w:line="480" w:lineRule="auto"/>
        <w:rPr>
          <w:rFonts w:ascii="Cambria" w:eastAsiaTheme="minorEastAsia" w:hAnsi="Cambria"/>
          <w:sz w:val="20"/>
          <w:szCs w:val="20"/>
        </w:rPr>
      </w:pPr>
      <w:r>
        <w:rPr>
          <w:rFonts w:ascii="Cambria" w:eastAsiaTheme="minorEastAsia" w:hAnsi="Cambria"/>
          <w:sz w:val="20"/>
          <w:szCs w:val="20"/>
        </w:rPr>
        <w:fldChar w:fldCharType="end"/>
      </w:r>
      <w:bookmarkStart w:id="0" w:name="_GoBack"/>
      <w:bookmarkEnd w:id="0"/>
    </w:p>
    <w:p w14:paraId="324A0767" w14:textId="29AE8E4F" w:rsidR="00EE111E" w:rsidRPr="00DF495C" w:rsidRDefault="00EE111E" w:rsidP="000A17E4">
      <w:pPr>
        <w:spacing w:line="480" w:lineRule="auto"/>
        <w:rPr>
          <w:rFonts w:ascii="Cambria" w:eastAsiaTheme="minorEastAsia" w:hAnsi="Cambria"/>
          <w:sz w:val="20"/>
          <w:szCs w:val="20"/>
        </w:rPr>
      </w:pPr>
    </w:p>
    <w:sectPr w:rsidR="00EE111E" w:rsidRPr="00DF495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278ECB18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da-DK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da-DK" w:vendorID="64" w:dllVersion="131078" w:nlCheck="1" w:checkStyle="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44E"/>
    <w:rsid w:val="000354F5"/>
    <w:rsid w:val="000823BA"/>
    <w:rsid w:val="000A17E4"/>
    <w:rsid w:val="000F2027"/>
    <w:rsid w:val="00101AF5"/>
    <w:rsid w:val="00132AFB"/>
    <w:rsid w:val="0016003C"/>
    <w:rsid w:val="00190318"/>
    <w:rsid w:val="00190F0A"/>
    <w:rsid w:val="001C6DF1"/>
    <w:rsid w:val="001E1975"/>
    <w:rsid w:val="002112C0"/>
    <w:rsid w:val="00287DB5"/>
    <w:rsid w:val="0029741C"/>
    <w:rsid w:val="002C5E69"/>
    <w:rsid w:val="002C60B2"/>
    <w:rsid w:val="002D160D"/>
    <w:rsid w:val="00366F63"/>
    <w:rsid w:val="003E2131"/>
    <w:rsid w:val="00431030"/>
    <w:rsid w:val="0045005B"/>
    <w:rsid w:val="004C0F65"/>
    <w:rsid w:val="004C1AC6"/>
    <w:rsid w:val="005B68AE"/>
    <w:rsid w:val="0063290C"/>
    <w:rsid w:val="00632C81"/>
    <w:rsid w:val="006C6981"/>
    <w:rsid w:val="00735160"/>
    <w:rsid w:val="00783ED9"/>
    <w:rsid w:val="007A6B4E"/>
    <w:rsid w:val="007E337D"/>
    <w:rsid w:val="007E6EE4"/>
    <w:rsid w:val="007F783B"/>
    <w:rsid w:val="00813F59"/>
    <w:rsid w:val="008A6A5A"/>
    <w:rsid w:val="009231FC"/>
    <w:rsid w:val="00962C10"/>
    <w:rsid w:val="009A3E74"/>
    <w:rsid w:val="009D5642"/>
    <w:rsid w:val="00A041E3"/>
    <w:rsid w:val="00A16321"/>
    <w:rsid w:val="00A36465"/>
    <w:rsid w:val="00A379EE"/>
    <w:rsid w:val="00A47E20"/>
    <w:rsid w:val="00AA32EB"/>
    <w:rsid w:val="00AC3B00"/>
    <w:rsid w:val="00AD6AF7"/>
    <w:rsid w:val="00AE5A99"/>
    <w:rsid w:val="00AF1AEC"/>
    <w:rsid w:val="00B6144E"/>
    <w:rsid w:val="00BF73E0"/>
    <w:rsid w:val="00C0009F"/>
    <w:rsid w:val="00C23C1E"/>
    <w:rsid w:val="00CA1948"/>
    <w:rsid w:val="00D10889"/>
    <w:rsid w:val="00D31397"/>
    <w:rsid w:val="00D35689"/>
    <w:rsid w:val="00D7668B"/>
    <w:rsid w:val="00DC5042"/>
    <w:rsid w:val="00DD054C"/>
    <w:rsid w:val="00DF495C"/>
    <w:rsid w:val="00E17565"/>
    <w:rsid w:val="00E24236"/>
    <w:rsid w:val="00E67434"/>
    <w:rsid w:val="00E77913"/>
    <w:rsid w:val="00EE111E"/>
    <w:rsid w:val="00F11898"/>
    <w:rsid w:val="00F72FBC"/>
    <w:rsid w:val="00F825DF"/>
    <w:rsid w:val="00F82C45"/>
    <w:rsid w:val="00F91CB9"/>
    <w:rsid w:val="00FA03EB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DC3B"/>
  <w15:chartTrackingRefBased/>
  <w15:docId w15:val="{19FE7AC6-5932-49CB-8B5C-90990F8D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614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614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B6144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61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6144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6144E"/>
    <w:rPr>
      <w:rFonts w:eastAsiaTheme="minorEastAsia"/>
      <w:color w:val="5A5A5A" w:themeColor="text1" w:themeTint="A5"/>
      <w:spacing w:val="15"/>
    </w:rPr>
  </w:style>
  <w:style w:type="character" w:styleId="Pladsholdertekst">
    <w:name w:val="Placeholder Text"/>
    <w:basedOn w:val="Standardskrifttypeiafsnit"/>
    <w:uiPriority w:val="99"/>
    <w:semiHidden/>
    <w:rsid w:val="007A6B4E"/>
    <w:rPr>
      <w:color w:val="808080"/>
    </w:rPr>
  </w:style>
  <w:style w:type="paragraph" w:styleId="Opstilling-talellerbogst">
    <w:name w:val="List Number"/>
    <w:basedOn w:val="Normal"/>
    <w:uiPriority w:val="99"/>
    <w:unhideWhenUsed/>
    <w:rsid w:val="008A6A5A"/>
    <w:pPr>
      <w:numPr>
        <w:numId w:val="1"/>
      </w:numPr>
      <w:contextualSpacing/>
    </w:pPr>
  </w:style>
  <w:style w:type="paragraph" w:styleId="Billedtekst">
    <w:name w:val="caption"/>
    <w:basedOn w:val="Normal"/>
    <w:next w:val="Normal"/>
    <w:uiPriority w:val="35"/>
    <w:unhideWhenUsed/>
    <w:qFormat/>
    <w:rsid w:val="00F82C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F91CB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F91CB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F91CB9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F91CB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F91CB9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91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91C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13FA7-59A2-456C-9EDA-8077B5251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314</Words>
  <Characters>1694</Characters>
  <Application>Microsoft Office Word</Application>
  <DocSecurity>0</DocSecurity>
  <Lines>28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3</cp:revision>
  <cp:lastPrinted>2020-08-03T12:29:00Z</cp:lastPrinted>
  <dcterms:created xsi:type="dcterms:W3CDTF">2020-11-06T15:32:00Z</dcterms:created>
  <dcterms:modified xsi:type="dcterms:W3CDTF">2020-11-20T11:51:00Z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  <property fmtid="{D5CDD505-2E9C-101B-9397-08002B2CF9AE}" pid="4" name="Mendeley Document_1">
    <vt:lpwstr>True</vt:lpwstr>
  </property>
  <property fmtid="{D5CDD505-2E9C-101B-9397-08002B2CF9AE}" pid="5" name="Mendeley Unique User Id_1">
    <vt:lpwstr>71236256-e8bd-3b9c-a152-4b637a429826</vt:lpwstr>
  </property>
  <property fmtid="{D5CDD505-2E9C-101B-9397-08002B2CF9AE}" pid="6" name="Mendeley Citation Style_1">
    <vt:lpwstr>http://www.zotero.org/styles/ieee</vt:lpwstr>
  </property>
  <property fmtid="{D5CDD505-2E9C-101B-9397-08002B2CF9AE}" pid="7" name="Mendeley Recent Style Id 0_1">
    <vt:lpwstr>http://www.zotero.org/styles/american-political-science-association</vt:lpwstr>
  </property>
  <property fmtid="{D5CDD505-2E9C-101B-9397-08002B2CF9AE}" pid="8" name="Mendeley Recent Style Name 0_1">
    <vt:lpwstr>American Political Science Association</vt:lpwstr>
  </property>
  <property fmtid="{D5CDD505-2E9C-101B-9397-08002B2CF9AE}" pid="9" name="Mendeley Recent Style Id 1_1">
    <vt:lpwstr>http://www.zotero.org/styles/apa</vt:lpwstr>
  </property>
  <property fmtid="{D5CDD505-2E9C-101B-9397-08002B2CF9AE}" pid="10" name="Mendeley Recent Style Name 1_1">
    <vt:lpwstr>American Psychological Association 6th edition</vt:lpwstr>
  </property>
  <property fmtid="{D5CDD505-2E9C-101B-9397-08002B2CF9AE}" pid="11" name="Mendeley Recent Style Id 2_1">
    <vt:lpwstr>http://www.zotero.org/styles/american-sociological-association</vt:lpwstr>
  </property>
  <property fmtid="{D5CDD505-2E9C-101B-9397-08002B2CF9AE}" pid="12" name="Mendeley Recent Style Name 2_1">
    <vt:lpwstr>American Sociological Association</vt:lpwstr>
  </property>
  <property fmtid="{D5CDD505-2E9C-101B-9397-08002B2CF9AE}" pid="13" name="Mendeley Recent Style Id 3_1">
    <vt:lpwstr>http://www.zotero.org/styles/chicago-author-date</vt:lpwstr>
  </property>
  <property fmtid="{D5CDD505-2E9C-101B-9397-08002B2CF9AE}" pid="14" name="Mendeley Recent Style Name 3_1">
    <vt:lpwstr>Chicago Manual of Style 17th edition (author-date)</vt:lpwstr>
  </property>
  <property fmtid="{D5CDD505-2E9C-101B-9397-08002B2CF9AE}" pid="15" name="Mendeley Recent Style Id 4_1">
    <vt:lpwstr>http://www.zotero.org/styles/harvard-cite-them-right</vt:lpwstr>
  </property>
  <property fmtid="{D5CDD505-2E9C-101B-9397-08002B2CF9AE}" pid="16" name="Mendeley Recent Style Name 4_1">
    <vt:lpwstr>Cite Them Right 10th edition - Harvard</vt:lpwstr>
  </property>
  <property fmtid="{D5CDD505-2E9C-101B-9397-08002B2CF9AE}" pid="17" name="Mendeley Recent Style Id 5_1">
    <vt:lpwstr>http://www.zotero.org/styles/ieee</vt:lpwstr>
  </property>
  <property fmtid="{D5CDD505-2E9C-101B-9397-08002B2CF9AE}" pid="18" name="Mendeley Recent Style Name 5_1">
    <vt:lpwstr>IEEE</vt:lpwstr>
  </property>
  <property fmtid="{D5CDD505-2E9C-101B-9397-08002B2CF9AE}" pid="19" name="Mendeley Recent Style Id 6_1">
    <vt:lpwstr>http://www.zotero.org/styles/modern-humanities-research-association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Id 7_1">
    <vt:lpwstr>http://www.zotero.org/styles/modern-language-association</vt:lpwstr>
  </property>
  <property fmtid="{D5CDD505-2E9C-101B-9397-08002B2CF9AE}" pid="22" name="Mendeley Recent Style Name 7_1">
    <vt:lpwstr>Modern Language Association 8th edition</vt:lpwstr>
  </property>
  <property fmtid="{D5CDD505-2E9C-101B-9397-08002B2CF9AE}" pid="23" name="Mendeley Recent Style Id 8_1">
    <vt:lpwstr>http://www.zotero.org/styles/nature</vt:lpwstr>
  </property>
  <property fmtid="{D5CDD505-2E9C-101B-9397-08002B2CF9AE}" pid="24" name="Mendeley Recent Style Name 8_1">
    <vt:lpwstr>Nature</vt:lpwstr>
  </property>
  <property fmtid="{D5CDD505-2E9C-101B-9397-08002B2CF9AE}" pid="25" name="Mendeley Recent Style Id 9_1">
    <vt:lpwstr>http://www.zotero.org/styles/vancouver</vt:lpwstr>
  </property>
  <property fmtid="{D5CDD505-2E9C-101B-9397-08002B2CF9AE}" pid="26" name="Mendeley Recent Style Name 9_1">
    <vt:lpwstr>Vancouver</vt:lpwstr>
  </property>
</Properties>
</file>