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6B7" w:rsidRPr="00CC47CC" w:rsidRDefault="000826B7" w:rsidP="000826B7">
      <w:pPr>
        <w:pStyle w:val="Opstilling-talellerbogst"/>
        <w:numPr>
          <w:ilvl w:val="0"/>
          <w:numId w:val="0"/>
        </w:numPr>
        <w:spacing w:line="480" w:lineRule="auto"/>
        <w:ind w:left="360" w:hanging="360"/>
        <w:rPr>
          <w:rFonts w:ascii="Cambria" w:hAnsi="Cambria"/>
          <w:b/>
          <w:sz w:val="28"/>
          <w:szCs w:val="28"/>
          <w:lang w:val="en-GB"/>
        </w:rPr>
      </w:pPr>
      <w:r w:rsidRPr="00CC47CC">
        <w:rPr>
          <w:rFonts w:ascii="Cambria" w:hAnsi="Cambria"/>
          <w:b/>
          <w:sz w:val="28"/>
          <w:szCs w:val="28"/>
          <w:lang w:val="en-GB"/>
        </w:rPr>
        <w:t xml:space="preserve">Additional file </w:t>
      </w:r>
      <w:r w:rsidR="000C4218" w:rsidRPr="00CC47CC">
        <w:rPr>
          <w:rFonts w:ascii="Cambria" w:hAnsi="Cambria"/>
          <w:b/>
          <w:sz w:val="28"/>
          <w:szCs w:val="28"/>
          <w:lang w:val="en-GB"/>
        </w:rPr>
        <w:t>1</w:t>
      </w:r>
      <w:r w:rsidRPr="00CC47CC">
        <w:rPr>
          <w:rFonts w:ascii="Cambria" w:hAnsi="Cambria"/>
          <w:b/>
          <w:sz w:val="28"/>
          <w:szCs w:val="28"/>
          <w:lang w:val="en-GB"/>
        </w:rPr>
        <w:t>: Derivation of the confidence interval</w:t>
      </w:r>
      <w:r w:rsidR="00DC169A" w:rsidRPr="00CC47CC">
        <w:rPr>
          <w:rFonts w:ascii="Cambria" w:hAnsi="Cambria"/>
          <w:b/>
          <w:sz w:val="28"/>
          <w:szCs w:val="28"/>
          <w:lang w:val="en-GB"/>
        </w:rPr>
        <w:t>s</w:t>
      </w:r>
      <w:r w:rsidRPr="00CC47CC">
        <w:rPr>
          <w:rFonts w:ascii="Cambria" w:hAnsi="Cambria"/>
          <w:b/>
          <w:sz w:val="28"/>
          <w:szCs w:val="28"/>
          <w:lang w:val="en-GB"/>
        </w:rPr>
        <w:t xml:space="preserve"> for the LOAM</w:t>
      </w:r>
    </w:p>
    <w:p w:rsidR="000826B7" w:rsidRPr="00CC47CC" w:rsidRDefault="00EE1849" w:rsidP="00EE1849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CC47CC">
        <w:rPr>
          <w:rFonts w:ascii="Cambria" w:hAnsi="Cambria"/>
          <w:sz w:val="20"/>
          <w:szCs w:val="20"/>
          <w:lang w:val="en-GB"/>
        </w:rPr>
        <w:t>In the following we show how the confidence interval</w:t>
      </w:r>
      <w:r w:rsidR="00DC169A" w:rsidRPr="00CC47CC">
        <w:rPr>
          <w:rFonts w:ascii="Cambria" w:hAnsi="Cambria"/>
          <w:sz w:val="20"/>
          <w:szCs w:val="20"/>
          <w:lang w:val="en-GB"/>
        </w:rPr>
        <w:t>s</w:t>
      </w:r>
      <w:r w:rsidRPr="00CC47CC">
        <w:rPr>
          <w:rFonts w:ascii="Cambria" w:hAnsi="Cambria"/>
          <w:sz w:val="20"/>
          <w:szCs w:val="20"/>
          <w:lang w:val="en-GB"/>
        </w:rPr>
        <w:t xml:space="preserve"> for the 95% LOAM </w:t>
      </w:r>
      <w:r w:rsidR="00DC169A" w:rsidRPr="00CC47CC">
        <w:rPr>
          <w:rFonts w:ascii="Cambria" w:hAnsi="Cambria"/>
          <w:sz w:val="20"/>
          <w:szCs w:val="20"/>
          <w:lang w:val="en-GB"/>
        </w:rPr>
        <w:t xml:space="preserve">have </w:t>
      </w:r>
      <w:r w:rsidRPr="00CC47CC">
        <w:rPr>
          <w:rFonts w:ascii="Cambria" w:hAnsi="Cambria"/>
          <w:sz w:val="20"/>
          <w:szCs w:val="20"/>
          <w:lang w:val="en-GB"/>
        </w:rPr>
        <w:t>been constructed. The calculations are performe</w:t>
      </w:r>
      <w:r w:rsidR="00923D44" w:rsidRPr="00CC47CC">
        <w:rPr>
          <w:rFonts w:ascii="Cambria" w:hAnsi="Cambria"/>
          <w:sz w:val="20"/>
          <w:szCs w:val="20"/>
          <w:lang w:val="en-GB"/>
        </w:rPr>
        <w:t xml:space="preserve">d for the model for multiple measurements per observer from Section 2.2 in the paper, but </w:t>
      </w:r>
      <w:r w:rsidR="002F5359" w:rsidRPr="00CC47CC">
        <w:rPr>
          <w:rFonts w:ascii="Cambria" w:hAnsi="Cambria"/>
          <w:sz w:val="20"/>
          <w:szCs w:val="20"/>
          <w:lang w:val="en-GB"/>
        </w:rPr>
        <w:t xml:space="preserve">they </w:t>
      </w:r>
      <w:r w:rsidR="00923D44" w:rsidRPr="00CC47CC">
        <w:rPr>
          <w:rFonts w:ascii="Cambria" w:hAnsi="Cambria"/>
          <w:sz w:val="20"/>
          <w:szCs w:val="20"/>
          <w:lang w:val="en-GB"/>
        </w:rPr>
        <w:t xml:space="preserve">can easily be reduced to the case of single measurements by letting </w:t>
      </w:r>
      <m:oMath>
        <m:r>
          <w:rPr>
            <w:rFonts w:ascii="Cambria Math" w:hAnsi="Cambria Math"/>
            <w:sz w:val="20"/>
            <w:szCs w:val="20"/>
          </w:rPr>
          <m:t>c</m:t>
        </m:r>
        <m:r>
          <w:rPr>
            <w:rFonts w:ascii="Cambria Math" w:hAnsi="Cambria Math"/>
            <w:sz w:val="20"/>
            <w:szCs w:val="20"/>
            <w:lang w:val="en-GB"/>
          </w:rPr>
          <m:t>=1.</m:t>
        </m:r>
      </m:oMath>
    </w:p>
    <w:p w:rsidR="00923D44" w:rsidRPr="00CC47CC" w:rsidRDefault="00923D44" w:rsidP="00810F94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Recall that the </w:t>
      </w:r>
      <w:r w:rsidR="0090128F" w:rsidRPr="00CC47CC">
        <w:rPr>
          <w:rFonts w:ascii="Cambria" w:eastAsiaTheme="minorEastAsia" w:hAnsi="Cambria"/>
          <w:sz w:val="20"/>
          <w:szCs w:val="20"/>
          <w:lang w:val="en-GB"/>
        </w:rPr>
        <w:t xml:space="preserve">upper </w:t>
      </w:r>
      <w:r w:rsidR="00FD6917">
        <w:rPr>
          <w:rFonts w:ascii="Cambria" w:eastAsiaTheme="minorEastAsia" w:hAnsi="Cambria"/>
          <w:sz w:val="20"/>
          <w:szCs w:val="20"/>
          <w:lang w:val="en-GB"/>
        </w:rPr>
        <w:t>95% LOAM is given by</w:t>
      </w:r>
    </w:p>
    <w:p w:rsidR="00923D44" w:rsidRPr="00CC47CC" w:rsidRDefault="00923D44" w:rsidP="00810F9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>
          <m:r>
            <w:rPr>
              <w:rFonts w:ascii="Cambria Math" w:hAnsi="Cambria Math"/>
              <w:sz w:val="20"/>
              <w:szCs w:val="20"/>
            </w:rPr>
            <m:t>1.96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b-1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bc-1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bc</m:t>
                  </m:r>
                </m:den>
              </m:f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bSup>
            </m:e>
          </m:rad>
          <m:r>
            <w:rPr>
              <w:rFonts w:ascii="Cambria Math" w:hAnsi="Cambria Math"/>
              <w:sz w:val="20"/>
              <w:szCs w:val="20"/>
            </w:rPr>
            <m:t xml:space="preserve">.  </m:t>
          </m:r>
        </m:oMath>
      </m:oMathPara>
    </w:p>
    <w:p w:rsidR="00E63724" w:rsidRPr="00CC47CC" w:rsidRDefault="00306222" w:rsidP="00810F94">
      <w:pPr>
        <w:spacing w:line="480" w:lineRule="auto"/>
        <w:rPr>
          <w:rFonts w:ascii="Cambria" w:eastAsiaTheme="minorEastAsia" w:hAnsi="Cambria"/>
          <w:sz w:val="20"/>
          <w:szCs w:val="20"/>
        </w:rPr>
      </w:pPr>
      <w:r w:rsidRPr="00CC47CC">
        <w:rPr>
          <w:rFonts w:ascii="Cambria" w:eastAsiaTheme="minorEastAsia" w:hAnsi="Cambria"/>
          <w:sz w:val="20"/>
          <w:szCs w:val="20"/>
          <w:lang w:val="en-GB"/>
        </w:rPr>
        <w:t>W</w:t>
      </w:r>
      <w:r w:rsidR="00923D44" w:rsidRPr="00CC47CC">
        <w:rPr>
          <w:rFonts w:ascii="Cambria" w:eastAsiaTheme="minorEastAsia" w:hAnsi="Cambria"/>
          <w:sz w:val="20"/>
          <w:szCs w:val="20"/>
          <w:lang w:val="en-GB"/>
        </w:rPr>
        <w:t>e let</w:t>
      </w:r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</m:oMath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</m:sSub>
      </m:oMath>
      <w:r w:rsidR="00923D44" w:rsidRPr="00CC47CC">
        <w:rPr>
          <w:rFonts w:ascii="Cambria" w:eastAsiaTheme="minorEastAsia" w:hAnsi="Cambria"/>
          <w:sz w:val="20"/>
          <w:szCs w:val="20"/>
          <w:lang w:val="en-GB"/>
        </w:rPr>
        <w:t xml:space="preserve"> denote the expectation of the </w:t>
      </w:r>
      <w:r w:rsidR="00810F94" w:rsidRPr="00CC47CC">
        <w:rPr>
          <w:rFonts w:ascii="Cambria" w:eastAsiaTheme="minorEastAsia" w:hAnsi="Cambria"/>
          <w:sz w:val="20"/>
          <w:szCs w:val="20"/>
          <w:lang w:val="en-GB"/>
        </w:rPr>
        <w:t>mean sum of squares for the observer and residual term</w:t>
      </w:r>
      <w:r w:rsidR="00AF53CC" w:rsidRPr="00CC47CC">
        <w:rPr>
          <w:rFonts w:ascii="Cambria" w:eastAsiaTheme="minorEastAsia" w:hAnsi="Cambria"/>
          <w:sz w:val="20"/>
          <w:szCs w:val="20"/>
          <w:lang w:val="en-GB"/>
        </w:rPr>
        <w:t>,</w:t>
      </w:r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respectively, that is,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>
          <w:rPr>
            <w:rFonts w:ascii="Cambria Math" w:eastAsiaTheme="minorEastAsia" w:hAnsi="Cambria Math"/>
            <w:sz w:val="20"/>
            <w:szCs w:val="20"/>
          </w:rPr>
          <m:t>E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MSB</m:t>
            </m:r>
          </m:e>
        </m:d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>
          <w:rPr>
            <w:rFonts w:ascii="Cambria Math" w:eastAsiaTheme="minorEastAsia" w:hAnsi="Cambria Math"/>
            <w:sz w:val="20"/>
            <w:szCs w:val="20"/>
          </w:rPr>
          <m:t>ac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  <m:r>
          <w:rPr>
            <w:rFonts w:ascii="Cambria Math" w:eastAsiaTheme="minorEastAsia" w:hAnsi="Cambria Math"/>
            <w:sz w:val="20"/>
            <w:szCs w:val="20"/>
            <w:lang w:val="en-GB"/>
          </w:rPr>
          <m:t>+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and 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>
          <w:rPr>
            <w:rFonts w:ascii="Cambria Math" w:eastAsiaTheme="minorEastAsia" w:hAnsi="Cambria Math"/>
            <w:sz w:val="20"/>
            <w:szCs w:val="20"/>
          </w:rPr>
          <m:t>E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MSE</m:t>
            </m:r>
          </m:e>
        </m:d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Pr="00CC47CC">
        <w:rPr>
          <w:rFonts w:ascii="Cambria" w:eastAsiaTheme="minorEastAsia" w:hAnsi="Cambria"/>
          <w:sz w:val="20"/>
          <w:szCs w:val="20"/>
          <w:lang w:val="en-GB"/>
        </w:rPr>
        <w:t>.</w:t>
      </w:r>
      <w:r w:rsidR="00AF53CC" w:rsidRPr="00CC47C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>
        <w:rPr>
          <w:rFonts w:ascii="Cambria" w:eastAsiaTheme="minorEastAsia" w:hAnsi="Cambria"/>
          <w:sz w:val="20"/>
          <w:szCs w:val="20"/>
        </w:rPr>
        <w:t>Cf.</w:t>
      </w:r>
      <w:r w:rsidR="00AF53CC" w:rsidRPr="00CC47CC">
        <w:rPr>
          <w:rFonts w:ascii="Cambria" w:eastAsiaTheme="minorEastAsia" w:hAnsi="Cambria"/>
          <w:sz w:val="20"/>
          <w:szCs w:val="20"/>
        </w:rPr>
        <w:t xml:space="preserve"> </w:t>
      </w:r>
      <w:r w:rsidR="00E63724" w:rsidRPr="00CC47CC">
        <w:rPr>
          <w:rFonts w:ascii="Cambria" w:eastAsiaTheme="minorEastAsia" w:hAnsi="Cambria"/>
          <w:sz w:val="20"/>
          <w:szCs w:val="20"/>
        </w:rPr>
        <w:t xml:space="preserve">Searle al. </w:t>
      </w:r>
      <w:r w:rsidR="00E63724" w:rsidRPr="00CC47CC">
        <w:rPr>
          <w:rFonts w:ascii="Cambria" w:eastAsiaTheme="minorEastAsia" w:hAnsi="Cambria"/>
          <w:sz w:val="20"/>
          <w:szCs w:val="20"/>
        </w:rPr>
        <w:fldChar w:fldCharType="begin" w:fldLock="1"/>
      </w:r>
      <w:r w:rsidR="00880FDB" w:rsidRPr="00CC47CC">
        <w:rPr>
          <w:rFonts w:ascii="Cambria" w:eastAsiaTheme="minorEastAsia" w:hAnsi="Cambria"/>
          <w:sz w:val="20"/>
          <w:szCs w:val="20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Components","type":"book"},"uris":["http://www.mendeley.com/documents/?uuid=2459075a-0e4f-40b4-8d5a-eafa7f2f26db"]}],"mendeley":{"formattedCitation":"[1]","plainTextFormattedCitation":"[1]","previouslyFormattedCitation":"(Searle, Casella, and McCulloch 1992)"},"properties":{"noteIndex":0},"schema":"https://github.com/citation-style-language/schema/raw/master/csl-citation.json"}</w:instrText>
      </w:r>
      <w:r w:rsidR="00E63724" w:rsidRPr="00CC47CC">
        <w:rPr>
          <w:rFonts w:ascii="Cambria" w:eastAsiaTheme="minorEastAsia" w:hAnsi="Cambria"/>
          <w:sz w:val="20"/>
          <w:szCs w:val="20"/>
        </w:rPr>
        <w:fldChar w:fldCharType="separate"/>
      </w:r>
      <w:r w:rsidR="00880FDB" w:rsidRPr="00CC47CC">
        <w:rPr>
          <w:rFonts w:ascii="Cambria" w:eastAsiaTheme="minorEastAsia" w:hAnsi="Cambria"/>
          <w:noProof/>
          <w:sz w:val="20"/>
          <w:szCs w:val="20"/>
        </w:rPr>
        <w:t>[1]</w:t>
      </w:r>
      <w:r w:rsidR="00E63724" w:rsidRPr="00CC47CC">
        <w:rPr>
          <w:rFonts w:ascii="Cambria" w:eastAsiaTheme="minorEastAsia" w:hAnsi="Cambria"/>
          <w:sz w:val="20"/>
          <w:szCs w:val="20"/>
        </w:rPr>
        <w:fldChar w:fldCharType="end"/>
      </w:r>
      <w:r w:rsidR="00E63724" w:rsidRPr="00CC47CC">
        <w:rPr>
          <w:rFonts w:ascii="Cambria" w:eastAsiaTheme="minorEastAsia" w:hAnsi="Cambria"/>
          <w:sz w:val="20"/>
          <w:szCs w:val="20"/>
        </w:rPr>
        <w:t xml:space="preserve"> we have that </w:t>
      </w:r>
    </w:p>
    <w:p w:rsidR="00BE5687" w:rsidRPr="00CC47CC" w:rsidRDefault="008465E1" w:rsidP="00810F94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</m:t>
                  </m:r>
                </m:sub>
              </m:sSub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MSB</m:t>
          </m: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χ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</m:t>
                  </m:r>
                </m:sub>
              </m:sSub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  </m:t>
          </m:r>
          <m:r>
            <m:rPr>
              <m:sty m:val="p"/>
            </m:rP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is independent of </m:t>
          </m: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  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E</m:t>
                  </m:r>
                </m:sub>
              </m:sSub>
            </m:den>
          </m:f>
          <m:r>
            <w:rPr>
              <w:rFonts w:ascii="Cambria Math" w:eastAsiaTheme="minorEastAsia" w:hAnsi="Cambria Math"/>
              <w:sz w:val="20"/>
              <w:szCs w:val="20"/>
            </w:rPr>
            <m:t>MSE</m:t>
          </m: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χ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A</m:t>
                  </m:r>
                </m:sub>
              </m:sSub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,     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r w:rsidR="00BE5687" w:rsidRPr="00CC47CC">
        <w:rPr>
          <w:rFonts w:ascii="Cambria" w:eastAsiaTheme="minorEastAsia" w:hAnsi="Cambria"/>
          <w:sz w:val="20"/>
          <w:szCs w:val="20"/>
          <w:lang w:val="en-GB"/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>
          <w:rPr>
            <w:rFonts w:ascii="Cambria Math" w:eastAsiaTheme="minorEastAsia" w:hAnsi="Cambria Math"/>
            <w:sz w:val="20"/>
            <w:szCs w:val="20"/>
          </w:rPr>
          <m:t>b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-1, 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A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>
          <w:rPr>
            <w:rFonts w:ascii="Cambria Math" w:eastAsiaTheme="minorEastAsia" w:hAnsi="Cambria Math"/>
            <w:sz w:val="20"/>
            <w:szCs w:val="20"/>
          </w:rPr>
          <m:t>abc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>-</m:t>
        </m:r>
        <m:r>
          <w:rPr>
            <w:rFonts w:ascii="Cambria Math" w:eastAsiaTheme="minorEastAsia" w:hAnsi="Cambria Math"/>
            <w:sz w:val="20"/>
            <w:szCs w:val="20"/>
          </w:rPr>
          <m:t>a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>-</m:t>
        </m:r>
        <m:r>
          <w:rPr>
            <w:rFonts w:ascii="Cambria Math" w:eastAsiaTheme="minorEastAsia" w:hAnsi="Cambria Math"/>
            <w:sz w:val="20"/>
            <w:szCs w:val="20"/>
          </w:rPr>
          <m:t>b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>+1,</m:t>
        </m:r>
      </m:oMath>
      <w:r w:rsidR="00BE5687" w:rsidRPr="00CC47C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χ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BE5687" w:rsidRPr="00CC47CC">
        <w:rPr>
          <w:rFonts w:ascii="Cambria" w:eastAsiaTheme="minorEastAsia" w:hAnsi="Cambria"/>
          <w:sz w:val="20"/>
          <w:szCs w:val="20"/>
          <w:lang w:val="en-GB"/>
        </w:rPr>
        <w:t xml:space="preserve"> denotes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="00BE5687" w:rsidRPr="00CC47CC">
        <w:rPr>
          <w:rFonts w:ascii="Cambria" w:eastAsiaTheme="minorEastAsia" w:hAnsi="Cambria"/>
          <w:sz w:val="20"/>
          <w:szCs w:val="20"/>
          <w:lang w:val="en-GB"/>
        </w:rPr>
        <w:t xml:space="preserve">-distribution with </w:t>
      </w:r>
      <m:oMath>
        <m:r>
          <w:rPr>
            <w:rFonts w:ascii="Cambria Math" w:eastAsiaTheme="minorEastAsia" w:hAnsi="Cambria Math"/>
            <w:sz w:val="20"/>
            <w:szCs w:val="20"/>
          </w:rPr>
          <m:t>ν</m:t>
        </m:r>
      </m:oMath>
      <w:r w:rsidR="00BE5687" w:rsidRPr="00CC47CC">
        <w:rPr>
          <w:rFonts w:ascii="Cambria" w:eastAsiaTheme="minorEastAsia" w:hAnsi="Cambria"/>
          <w:sz w:val="20"/>
          <w:szCs w:val="20"/>
          <w:lang w:val="en-GB"/>
        </w:rPr>
        <w:t xml:space="preserve"> degrees of freedom. </w:t>
      </w:r>
    </w:p>
    <w:p w:rsidR="00431030" w:rsidRPr="00CC47CC" w:rsidRDefault="003519D6" w:rsidP="00810F94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Thus, we can use results from Graybill and Wang to find a confidence interval for any nonnegative linear combination of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</m:oMath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</m:sSub>
      </m:oMath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Pr="00CC47CC">
        <w:rPr>
          <w:rFonts w:ascii="Cambria" w:eastAsiaTheme="minorEastAsia" w:hAnsi="Cambria"/>
          <w:sz w:val="20"/>
          <w:szCs w:val="20"/>
        </w:rPr>
        <w:fldChar w:fldCharType="begin" w:fldLock="1"/>
      </w:r>
      <w:r w:rsidR="00880FDB" w:rsidRPr="00CC47CC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{"citationItems":[{"id":"ITEM-1","itemData":{"DOI":"10.1080/01621459.1980.10477565","ISSN":"0162-1459","author":[{"dropping-particle":"","family":"Graybill","given":"Franklin A.","non-dropping-particle":"","parse-names":false,"suffix":""},{"dropping-particle":"","family":"Wang","given":"Chih-Ming","non-dropping-particle":"","parse-names":false,"suffix":""}],"container-title":"Journal of the American Statistical Association","id":"ITEM-1","issue":"372","issued":{"date-parts":[["1980","12"]]},"page":"869-873","title":"Confidence intervals on nonnegative linear combinations of variances","type":"article-journal","volume":"75"},"uris":["http://www.mendeley.com/documents/?uuid=f7b0ae1e-4600-3d34-b530-aad0daf1b2c4"]}],"mendeley":{"formattedCitation":"[2]","plainTextFormattedCitation":"[2]","previouslyFormattedCitation":"(Graybill and Wang 1980)"},"properties":{"noteIndex":0},"schema":"https://github.com/citation-style-language/schema/raw/master/csl-citation.json"}</w:instrText>
      </w:r>
      <w:r w:rsidRPr="00CC47CC">
        <w:rPr>
          <w:rFonts w:ascii="Cambria" w:eastAsiaTheme="minorEastAsia" w:hAnsi="Cambria"/>
          <w:sz w:val="20"/>
          <w:szCs w:val="20"/>
        </w:rPr>
        <w:fldChar w:fldCharType="separate"/>
      </w:r>
      <w:r w:rsidR="00880FDB" w:rsidRPr="00CC47CC">
        <w:rPr>
          <w:rFonts w:ascii="Cambria" w:eastAsiaTheme="minorEastAsia" w:hAnsi="Cambria"/>
          <w:noProof/>
          <w:sz w:val="20"/>
          <w:szCs w:val="20"/>
          <w:lang w:val="en-GB"/>
        </w:rPr>
        <w:t>[2]</w:t>
      </w:r>
      <w:r w:rsidRPr="00CC47CC">
        <w:rPr>
          <w:rFonts w:ascii="Cambria" w:eastAsiaTheme="minorEastAsia" w:hAnsi="Cambria"/>
          <w:sz w:val="20"/>
          <w:szCs w:val="20"/>
        </w:rPr>
        <w:fldChar w:fldCharType="end"/>
      </w:r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  <w:r w:rsidR="005758E5" w:rsidRPr="00CC47CC">
        <w:rPr>
          <w:rFonts w:ascii="Cambria" w:eastAsiaTheme="minorEastAsia" w:hAnsi="Cambria"/>
          <w:sz w:val="20"/>
          <w:szCs w:val="20"/>
          <w:lang w:val="en-GB"/>
        </w:rPr>
        <w:t>Consider</w:t>
      </w:r>
      <w:r w:rsidR="00810F94" w:rsidRPr="00CC47CC">
        <w:rPr>
          <w:rFonts w:ascii="Cambria" w:eastAsiaTheme="minorEastAsia" w:hAnsi="Cambria"/>
          <w:sz w:val="20"/>
          <w:szCs w:val="20"/>
          <w:lang w:val="en-GB"/>
        </w:rPr>
        <w:t xml:space="preserve"> constants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</m:oMath>
      <w:r w:rsidR="00810F94" w:rsidRPr="00CC47C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</m:sSub>
      </m:oMath>
      <w:r w:rsidR="00810F94" w:rsidRPr="00CC47CC">
        <w:rPr>
          <w:rFonts w:ascii="Cambria" w:eastAsiaTheme="minorEastAsia" w:hAnsi="Cambria"/>
          <w:sz w:val="20"/>
          <w:szCs w:val="20"/>
          <w:lang w:val="en-GB"/>
        </w:rPr>
        <w:t xml:space="preserve"> such that</w:t>
      </w:r>
      <w:r w:rsidR="00E63724" w:rsidRPr="00CC47CC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K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B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B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K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E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E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b</m:t>
              </m:r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-1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b</m:t>
              </m:r>
            </m:den>
          </m:f>
          <m:r>
            <w:rPr>
              <w:rFonts w:ascii="Cambria Math" w:hAnsi="Cambria Math"/>
              <w:sz w:val="20"/>
              <w:szCs w:val="20"/>
              <w:lang w:val="en-GB"/>
            </w:rPr>
            <m:t xml:space="preserve"> </m:t>
          </m:r>
          <m:sSubSup>
            <m:sSub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</w:rPr>
                <m:t>σ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B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bc</m:t>
              </m:r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-1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bc</m:t>
              </m:r>
            </m:den>
          </m:f>
          <m:sSubSup>
            <m:sSub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</w:rPr>
                <m:t>σ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E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,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r w:rsidR="005758E5" w:rsidRPr="00CC47CC">
        <w:rPr>
          <w:rFonts w:ascii="Cambria" w:eastAsiaTheme="minorEastAsia" w:hAnsi="Cambria"/>
          <w:sz w:val="20"/>
          <w:szCs w:val="20"/>
          <w:lang w:val="en-GB"/>
        </w:rPr>
        <w:t>that is,</w:t>
      </w:r>
      <w:r w:rsidR="00E63724" w:rsidRPr="00CC47C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-1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abc</m:t>
            </m:r>
          </m:den>
        </m:f>
      </m:oMath>
      <w:r w:rsidR="00E63724" w:rsidRPr="00CC47C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abc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-</m:t>
            </m:r>
            <m:r>
              <w:rPr>
                <w:rFonts w:ascii="Cambria Math" w:eastAsiaTheme="minorEastAsia" w:hAnsi="Cambria Math"/>
                <w:sz w:val="20"/>
                <w:szCs w:val="20"/>
              </w:rPr>
              <m:t>a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-</m:t>
            </m:r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+1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abc</m:t>
            </m:r>
          </m:den>
        </m:f>
      </m:oMath>
      <w:r w:rsidR="00E63724" w:rsidRPr="00CC47CC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  <w:r w:rsidR="00810F94" w:rsidRPr="00CC47C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Pr="00CC47CC">
        <w:rPr>
          <w:rFonts w:ascii="Cambria" w:eastAsiaTheme="minorEastAsia" w:hAnsi="Cambria"/>
          <w:sz w:val="20"/>
          <w:szCs w:val="20"/>
          <w:lang w:val="en-GB"/>
        </w:rPr>
        <w:t>Then</w:t>
      </w:r>
      <w:r w:rsidR="0090128F" w:rsidRPr="00CC47CC">
        <w:rPr>
          <w:rFonts w:ascii="Cambria" w:eastAsiaTheme="minorEastAsia" w:hAnsi="Cambria"/>
          <w:sz w:val="20"/>
          <w:szCs w:val="20"/>
          <w:lang w:val="en-GB"/>
        </w:rPr>
        <w:t xml:space="preserve"> an approximate 95% confidence interval for th</w:t>
      </w:r>
      <w:r w:rsidR="005758E5" w:rsidRPr="00CC47CC">
        <w:rPr>
          <w:rFonts w:ascii="Cambria" w:eastAsiaTheme="minorEastAsia" w:hAnsi="Cambria"/>
          <w:sz w:val="20"/>
          <w:szCs w:val="20"/>
          <w:lang w:val="en-GB"/>
        </w:rPr>
        <w:t>is</w:t>
      </w:r>
      <w:r w:rsidR="0090128F" w:rsidRPr="00CC47CC">
        <w:rPr>
          <w:rFonts w:ascii="Cambria" w:eastAsiaTheme="minorEastAsia" w:hAnsi="Cambria"/>
          <w:sz w:val="20"/>
          <w:szCs w:val="20"/>
          <w:lang w:val="en-GB"/>
        </w:rPr>
        <w:t xml:space="preserve"> linear combination </w:t>
      </w:r>
      <w:r w:rsidR="005758E5">
        <w:rPr>
          <w:rFonts w:ascii="Cambria" w:eastAsiaTheme="minorEastAsia" w:hAnsi="Cambria"/>
          <w:sz w:val="20"/>
          <w:szCs w:val="20"/>
          <w:lang w:val="en-GB"/>
        </w:rPr>
        <w:t>is</w:t>
      </w:r>
      <w:r w:rsidR="0090128F" w:rsidRPr="00CC47CC">
        <w:rPr>
          <w:rFonts w:ascii="Cambria" w:eastAsiaTheme="minorEastAsia" w:hAnsi="Cambria"/>
          <w:sz w:val="20"/>
          <w:szCs w:val="20"/>
          <w:lang w:val="en-GB"/>
        </w:rPr>
        <w:t xml:space="preserve"> obtained</w:t>
      </w:r>
      <w:r w:rsidRPr="00CC47CC">
        <w:rPr>
          <w:rFonts w:ascii="Cambria" w:eastAsiaTheme="minorEastAsia" w:hAnsi="Cambria"/>
          <w:sz w:val="20"/>
          <w:szCs w:val="20"/>
          <w:lang w:val="en-GB"/>
        </w:rPr>
        <w:t xml:space="preserve"> by </w:t>
      </w:r>
      <w:r w:rsidRPr="005758E5">
        <w:rPr>
          <w:rFonts w:ascii="Cambria" w:hAnsi="Cambria"/>
          <w:sz w:val="20"/>
          <w:szCs w:val="20"/>
          <w:lang w:val="en-GB"/>
        </w:rPr>
        <w:t xml:space="preserve">Eq. </w:t>
      </w:r>
      <w:r w:rsidRPr="00CC47CC">
        <w:rPr>
          <w:rFonts w:ascii="Cambria" w:hAnsi="Cambria"/>
          <w:sz w:val="20"/>
          <w:szCs w:val="20"/>
          <w:lang w:val="en-GB"/>
        </w:rPr>
        <w:t>(2.2) in Graybill and Wang</w:t>
      </w:r>
      <w:r w:rsidR="00880FDB" w:rsidRPr="00CC47CC">
        <w:rPr>
          <w:rFonts w:ascii="Cambria" w:hAnsi="Cambria"/>
          <w:sz w:val="20"/>
          <w:szCs w:val="20"/>
          <w:lang w:val="en-GB"/>
        </w:rPr>
        <w:t xml:space="preserve"> </w:t>
      </w:r>
      <w:r w:rsidR="00880FDB" w:rsidRPr="00CC47CC">
        <w:rPr>
          <w:rFonts w:ascii="Cambria" w:hAnsi="Cambria"/>
          <w:sz w:val="20"/>
          <w:szCs w:val="20"/>
        </w:rPr>
        <w:fldChar w:fldCharType="begin" w:fldLock="1"/>
      </w:r>
      <w:r w:rsidR="00880FDB" w:rsidRPr="00CC47CC">
        <w:rPr>
          <w:rFonts w:ascii="Cambria" w:hAnsi="Cambria"/>
          <w:sz w:val="20"/>
          <w:szCs w:val="20"/>
          <w:lang w:val="en-GB"/>
        </w:rPr>
        <w:instrText>ADDIN CSL_CITATION {"citationItems":[{"id":"ITEM-1","itemData":{"DOI":"10.1080/01621459.1980.10477565","ISSN":"0162-1459","author":[{"dropping-particle":"","family":"Graybill","given":"Franklin A.","non-dropping-particle":"","parse-names":false,"suffix":""},{"dropping-particle":"","family":"Wang","given":"Chih-Ming","non-dropping-particle":"","parse-names":false,"suffix":""}],"container-title":"Journal of the American Statistical Association","id":"ITEM-1","issue":"372","issued":{"date-parts":[["1980","12"]]},"page":"869-873","title":"Confidence intervals on nonnegative linear combinations of variances","type":"article-journal","volume":"75"},"uris":["http://www.mendeley.com/documents/?uuid=f7b0ae1e-4600-3d34-b530-aad0daf1b2c4"]}],"mendeley":{"formattedCitation":"[2]","plainTextFormattedCitation":"[2]","previouslyFormattedCitation":"(Graybill and Wang 1980)"},"properties":{"noteIndex":0},"schema":"https://github.com/citation-style-language/schema/raw/master/csl-citation.json"}</w:instrText>
      </w:r>
      <w:r w:rsidR="00880FDB" w:rsidRPr="00CC47CC">
        <w:rPr>
          <w:rFonts w:ascii="Cambria" w:hAnsi="Cambria"/>
          <w:sz w:val="20"/>
          <w:szCs w:val="20"/>
        </w:rPr>
        <w:fldChar w:fldCharType="separate"/>
      </w:r>
      <w:r w:rsidR="00880FDB" w:rsidRPr="00CC47CC">
        <w:rPr>
          <w:rFonts w:ascii="Cambria" w:hAnsi="Cambria"/>
          <w:noProof/>
          <w:sz w:val="20"/>
          <w:szCs w:val="20"/>
          <w:lang w:val="en-GB"/>
        </w:rPr>
        <w:t>[2]</w:t>
      </w:r>
      <w:r w:rsidR="00880FDB" w:rsidRPr="00CC47CC">
        <w:rPr>
          <w:rFonts w:ascii="Cambria" w:hAnsi="Cambria"/>
          <w:sz w:val="20"/>
          <w:szCs w:val="20"/>
        </w:rPr>
        <w:fldChar w:fldCharType="end"/>
      </w:r>
      <w:r w:rsidR="0090128F" w:rsidRPr="00CC47CC">
        <w:rPr>
          <w:rFonts w:ascii="Cambria" w:hAnsi="Cambria"/>
          <w:sz w:val="20"/>
          <w:szCs w:val="20"/>
          <w:lang w:val="en-GB"/>
        </w:rPr>
        <w:t>:</w:t>
      </w:r>
      <w:r w:rsidRPr="00CC47CC">
        <w:rPr>
          <w:rFonts w:ascii="Cambria" w:hAnsi="Cambria"/>
          <w:sz w:val="20"/>
          <w:szCs w:val="20"/>
          <w:lang w:val="en-GB"/>
        </w:rPr>
        <w:t xml:space="preserve"> </w:t>
      </w:r>
    </w:p>
    <w:p w:rsidR="001A21CE" w:rsidRPr="00CC47CC" w:rsidRDefault="008465E1" w:rsidP="00810F94">
      <w:pPr>
        <w:spacing w:line="480" w:lineRule="auto"/>
        <w:rPr>
          <w:rFonts w:ascii="Cambria" w:hAnsi="Cambria"/>
          <w:sz w:val="20"/>
          <w:szCs w:val="20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MSB</m:t>
              </m:r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E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MSE</m:t>
              </m:r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MS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MS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e>
              </m:rad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 ,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MSB</m:t>
              </m:r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E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</w:rPr>
                <m:t>MSE</m:t>
              </m:r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MS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MS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e>
              </m:rad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,</m:t>
          </m:r>
          <m: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r w:rsidR="0090128F" w:rsidRPr="00CC47CC">
        <w:rPr>
          <w:rFonts w:ascii="Cambria" w:hAnsi="Cambria"/>
          <w:sz w:val="20"/>
          <w:szCs w:val="20"/>
          <w:lang w:val="en-GB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l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x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>= 1-1/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 xml:space="preserve">0.975; 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ν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sub>
            </m:sSub>
            <m:r>
              <w:rPr>
                <w:rFonts w:ascii="Cambria Math" w:hAnsi="Cambria Math"/>
                <w:sz w:val="20"/>
                <w:szCs w:val="20"/>
                <w:lang w:val="en-GB"/>
              </w:rPr>
              <m:t>, ∞</m:t>
            </m:r>
          </m:sub>
        </m:sSub>
      </m:oMath>
      <w:r w:rsidR="0090128F" w:rsidRPr="00CC47CC">
        <w:rPr>
          <w:rFonts w:ascii="Cambria" w:hAnsi="Cambria"/>
          <w:sz w:val="20"/>
          <w:szCs w:val="20"/>
          <w:lang w:val="en-GB"/>
        </w:rPr>
        <w:t xml:space="preserve"> 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h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x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>= 1/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 xml:space="preserve">0.025; 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ν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x</m:t>
                </m:r>
              </m:sub>
            </m:sSub>
            <m:r>
              <w:rPr>
                <w:rFonts w:ascii="Cambria Math" w:hAnsi="Cambria Math"/>
                <w:sz w:val="20"/>
                <w:szCs w:val="20"/>
                <w:lang w:val="en-GB"/>
              </w:rPr>
              <m:t>, ∞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>-1</m:t>
        </m:r>
      </m:oMath>
      <w:r w:rsidR="0090128F" w:rsidRPr="00CC47CC">
        <w:rPr>
          <w:rFonts w:ascii="Cambria" w:hAnsi="Cambria"/>
          <w:i/>
          <w:sz w:val="20"/>
          <w:szCs w:val="20"/>
          <w:lang w:val="en-GB"/>
        </w:rPr>
        <w:t xml:space="preserve"> </w:t>
      </w:r>
      <w:r w:rsidR="0090128F" w:rsidRPr="00CC47CC">
        <w:rPr>
          <w:rFonts w:ascii="Cambria" w:hAnsi="Cambria"/>
          <w:sz w:val="20"/>
          <w:szCs w:val="20"/>
          <w:lang w:val="en-GB"/>
        </w:rPr>
        <w:t xml:space="preserve">for </w:t>
      </w:r>
      <m:oMath>
        <m:r>
          <w:rPr>
            <w:rFonts w:ascii="Cambria Math" w:hAnsi="Cambria Math"/>
            <w:sz w:val="20"/>
            <w:szCs w:val="20"/>
          </w:rPr>
          <m:t>x</m:t>
        </m:r>
        <m:r>
          <w:rPr>
            <w:rFonts w:ascii="Cambria Math" w:hAnsi="Cambria Math"/>
            <w:sz w:val="20"/>
            <w:szCs w:val="20"/>
            <w:lang w:val="en-GB"/>
          </w:rPr>
          <m:t>=</m:t>
        </m:r>
        <m:r>
          <w:rPr>
            <w:rFonts w:ascii="Cambria Math" w:hAnsi="Cambria Math"/>
            <w:sz w:val="20"/>
            <w:szCs w:val="20"/>
          </w:rPr>
          <m:t>B</m:t>
        </m:r>
      </m:oMath>
      <w:r w:rsidR="0090128F" w:rsidRPr="00CC47CC">
        <w:rPr>
          <w:rFonts w:ascii="Cambr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hAnsi="Cambria Math"/>
            <w:sz w:val="20"/>
            <w:szCs w:val="20"/>
          </w:rPr>
          <m:t>x</m:t>
        </m:r>
        <m:r>
          <w:rPr>
            <w:rFonts w:ascii="Cambria Math" w:hAnsi="Cambria Math"/>
            <w:sz w:val="20"/>
            <w:szCs w:val="20"/>
            <w:lang w:val="en-GB"/>
          </w:rPr>
          <m:t>=</m:t>
        </m:r>
        <m:r>
          <w:rPr>
            <w:rFonts w:ascii="Cambria Math" w:hAnsi="Cambria Math"/>
            <w:sz w:val="20"/>
            <w:szCs w:val="20"/>
          </w:rPr>
          <m:t>E</m:t>
        </m:r>
      </m:oMath>
      <w:r w:rsidR="0090128F" w:rsidRPr="00CC47CC">
        <w:rPr>
          <w:rFonts w:ascii="Cambria" w:hAnsi="Cambria"/>
          <w:i/>
          <w:sz w:val="20"/>
          <w:szCs w:val="20"/>
          <w:lang w:val="en-GB"/>
        </w:rPr>
        <w:t xml:space="preserve"> </w:t>
      </w:r>
      <w:r w:rsidR="0090128F" w:rsidRPr="00CC47CC">
        <w:rPr>
          <w:rFonts w:ascii="Cambria" w:hAnsi="Cambria"/>
          <w:sz w:val="20"/>
          <w:szCs w:val="20"/>
          <w:lang w:val="en-GB"/>
        </w:rPr>
        <w:t xml:space="preserve">(see Graybill and Wang for other choices of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l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x</m:t>
            </m:r>
          </m:sub>
        </m:sSub>
      </m:oMath>
      <w:r w:rsidR="0090128F" w:rsidRPr="00CC47CC">
        <w:rPr>
          <w:rFonts w:ascii="Cambria" w:hAnsi="Cambria"/>
          <w:i/>
          <w:sz w:val="20"/>
          <w:szCs w:val="20"/>
          <w:vertAlign w:val="subscript"/>
          <w:lang w:val="en-GB"/>
        </w:rPr>
        <w:t xml:space="preserve"> </w:t>
      </w:r>
      <w:r w:rsidR="0090128F" w:rsidRPr="00CC47CC">
        <w:rPr>
          <w:rFonts w:ascii="Cambria" w:hAnsi="Cambria"/>
          <w:sz w:val="20"/>
          <w:szCs w:val="20"/>
          <w:lang w:val="en-GB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h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x</m:t>
            </m:r>
          </m:sub>
        </m:sSub>
      </m:oMath>
      <w:r w:rsidR="0090128F" w:rsidRPr="00CC47CC">
        <w:rPr>
          <w:rFonts w:ascii="Cambria" w:hAnsi="Cambria"/>
          <w:sz w:val="20"/>
          <w:szCs w:val="20"/>
          <w:lang w:val="en-GB"/>
        </w:rPr>
        <w:t xml:space="preserve"> </w:t>
      </w:r>
      <w:r w:rsidR="0090128F" w:rsidRPr="00CC47CC">
        <w:rPr>
          <w:rFonts w:ascii="Cambria" w:hAnsi="Cambria"/>
          <w:sz w:val="20"/>
          <w:szCs w:val="20"/>
        </w:rPr>
        <w:fldChar w:fldCharType="begin" w:fldLock="1"/>
      </w:r>
      <w:r w:rsidR="00880FDB" w:rsidRPr="00CC47CC">
        <w:rPr>
          <w:rFonts w:ascii="Cambria" w:hAnsi="Cambria"/>
          <w:sz w:val="20"/>
          <w:szCs w:val="20"/>
          <w:lang w:val="en-GB"/>
        </w:rPr>
        <w:instrText>ADDIN CSL_CITATION {"citationItems":[{"id":"ITEM-1","itemData":{"DOI":"10.1080/01621459.1980.10477565","ISSN":"0162-1459","author":[{"dropping-particle":"","family":"Graybill","given":"Franklin A.","non-dropping-particle":"","parse-names":false,"suffix":""},{"dropping-particle":"","family":"Wang","given":"Chih-Ming","non-dropping-particle":"","parse-names":false,"suffix":""}],"container-title":"Journal of the American Statistical Association","id":"ITEM-1","issue":"372","issued":{"date-parts":[["1980","12"]]},"page":"869-873","title":"Confidence intervals on nonnegative linear combinations of variances","type":"article-journal","volume":"75"},"uris":["http://www.mendeley.com/documents/?uuid=f7b0ae1e-4600-3d34-b530-aad0daf1b2c4"]}],"mendeley":{"formattedCitation":"[2]","plainTextFormattedCitation":"[2]","previouslyFormattedCitation":"(Graybill and Wang 1980)"},"properties":{"noteIndex":0},"schema":"https://github.com/citation-style-language/schema/raw/master/csl-citation.json"}</w:instrText>
      </w:r>
      <w:r w:rsidR="0090128F" w:rsidRPr="00CC47CC">
        <w:rPr>
          <w:rFonts w:ascii="Cambria" w:hAnsi="Cambria"/>
          <w:sz w:val="20"/>
          <w:szCs w:val="20"/>
        </w:rPr>
        <w:fldChar w:fldCharType="separate"/>
      </w:r>
      <w:r w:rsidR="00880FDB" w:rsidRPr="00CC47CC">
        <w:rPr>
          <w:rFonts w:ascii="Cambria" w:hAnsi="Cambria"/>
          <w:noProof/>
          <w:sz w:val="20"/>
          <w:szCs w:val="20"/>
          <w:lang w:val="en-GB"/>
        </w:rPr>
        <w:t>[2]</w:t>
      </w:r>
      <w:r w:rsidR="0090128F" w:rsidRPr="00CC47CC">
        <w:rPr>
          <w:rFonts w:ascii="Cambria" w:hAnsi="Cambria"/>
          <w:sz w:val="20"/>
          <w:szCs w:val="20"/>
        </w:rPr>
        <w:fldChar w:fldCharType="end"/>
      </w:r>
      <w:r>
        <w:rPr>
          <w:rFonts w:ascii="Cambria" w:hAnsi="Cambria"/>
          <w:sz w:val="20"/>
          <w:szCs w:val="20"/>
        </w:rPr>
        <w:t>)</w:t>
      </w:r>
      <w:bookmarkStart w:id="0" w:name="_GoBack"/>
      <w:bookmarkEnd w:id="0"/>
      <w:r w:rsidR="0090128F" w:rsidRPr="00CC47CC">
        <w:rPr>
          <w:rFonts w:ascii="Cambria" w:hAnsi="Cambria"/>
          <w:sz w:val="20"/>
          <w:szCs w:val="20"/>
          <w:lang w:val="en-GB"/>
        </w:rPr>
        <w:t xml:space="preserve">. Here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α</m:t>
            </m:r>
            <m:r>
              <w:rPr>
                <w:rFonts w:ascii="Cambria Math" w:hAnsi="Cambria Math"/>
                <w:sz w:val="20"/>
                <w:szCs w:val="20"/>
                <w:lang w:val="en-GB"/>
              </w:rPr>
              <m:t>;</m:t>
            </m:r>
            <m:r>
              <w:rPr>
                <w:rFonts w:ascii="Cambria Math" w:hAnsi="Cambria Math"/>
                <w:sz w:val="20"/>
                <w:szCs w:val="20"/>
              </w:rPr>
              <m:t>m</m:t>
            </m:r>
            <m:r>
              <w:rPr>
                <w:rFonts w:ascii="Cambria Math" w:hAnsi="Cambria Math"/>
                <w:sz w:val="20"/>
                <w:szCs w:val="20"/>
                <w:lang w:val="en-GB"/>
              </w:rPr>
              <m:t xml:space="preserve">, </m:t>
            </m:r>
            <m: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 xml:space="preserve"> </m:t>
        </m:r>
      </m:oMath>
      <w:r w:rsidR="0090128F" w:rsidRPr="00CC47CC">
        <w:rPr>
          <w:rFonts w:ascii="Cambria" w:hAnsi="Cambria"/>
          <w:sz w:val="20"/>
          <w:szCs w:val="20"/>
          <w:lang w:val="en-GB"/>
        </w:rPr>
        <w:t xml:space="preserve">is the </w:t>
      </w:r>
      <w:r w:rsidR="0090128F" w:rsidRPr="00CC47CC">
        <w:rPr>
          <w:rFonts w:ascii="Cambria" w:hAnsi="Cambria"/>
          <w:i/>
          <w:sz w:val="20"/>
          <w:szCs w:val="20"/>
        </w:rPr>
        <w:t>α</w:t>
      </w:r>
      <w:r w:rsidR="0090128F" w:rsidRPr="00CC47CC">
        <w:rPr>
          <w:rFonts w:ascii="Cambria" w:hAnsi="Cambria"/>
          <w:sz w:val="20"/>
          <w:szCs w:val="20"/>
          <w:lang w:val="en-GB"/>
        </w:rPr>
        <w:t xml:space="preserve">-quantile for the </w:t>
      </w:r>
      <w:r w:rsidR="0090128F" w:rsidRPr="00CC47CC">
        <w:rPr>
          <w:rFonts w:ascii="Cambria" w:hAnsi="Cambria"/>
          <w:i/>
          <w:sz w:val="20"/>
          <w:szCs w:val="20"/>
          <w:lang w:val="en-GB"/>
        </w:rPr>
        <w:t>F-</w:t>
      </w:r>
      <w:r w:rsidR="0090128F" w:rsidRPr="00CC47CC">
        <w:rPr>
          <w:rFonts w:ascii="Cambria" w:hAnsi="Cambria"/>
          <w:sz w:val="20"/>
          <w:szCs w:val="20"/>
          <w:lang w:val="en-GB"/>
        </w:rPr>
        <w:t xml:space="preserve">distribution with </w:t>
      </w:r>
      <w:r w:rsidR="0090128F" w:rsidRPr="00CC47CC">
        <w:rPr>
          <w:rFonts w:ascii="Cambria" w:hAnsi="Cambria"/>
          <w:i/>
          <w:sz w:val="20"/>
          <w:szCs w:val="20"/>
          <w:lang w:val="en-GB"/>
        </w:rPr>
        <w:t xml:space="preserve">m </w:t>
      </w:r>
      <w:r w:rsidR="0090128F" w:rsidRPr="00CC47CC">
        <w:rPr>
          <w:rFonts w:ascii="Cambria" w:hAnsi="Cambria"/>
          <w:sz w:val="20"/>
          <w:szCs w:val="20"/>
          <w:lang w:val="en-GB"/>
        </w:rPr>
        <w:t xml:space="preserve">numerator and </w:t>
      </w:r>
      <w:r w:rsidR="0090128F" w:rsidRPr="00CC47CC">
        <w:rPr>
          <w:rFonts w:ascii="Cambria" w:hAnsi="Cambria"/>
          <w:i/>
          <w:sz w:val="20"/>
          <w:szCs w:val="20"/>
          <w:lang w:val="en-GB"/>
        </w:rPr>
        <w:t xml:space="preserve">n </w:t>
      </w:r>
      <w:r w:rsidR="0090128F" w:rsidRPr="00CC47CC">
        <w:rPr>
          <w:rFonts w:ascii="Cambria" w:hAnsi="Cambria"/>
          <w:sz w:val="20"/>
          <w:szCs w:val="20"/>
          <w:lang w:val="en-GB"/>
        </w:rPr>
        <w:t>denominator degrees of freedom.</w:t>
      </w:r>
      <w:r w:rsidR="00B449F2" w:rsidRPr="00CC47CC">
        <w:rPr>
          <w:rFonts w:ascii="Cambria" w:hAnsi="Cambria"/>
          <w:sz w:val="20"/>
          <w:szCs w:val="20"/>
          <w:lang w:val="en-GB"/>
        </w:rPr>
        <w:t xml:space="preserve"> </w:t>
      </w:r>
      <w:r w:rsidR="001A21CE" w:rsidRPr="00FD6917">
        <w:rPr>
          <w:rFonts w:ascii="Cambria" w:hAnsi="Cambria"/>
          <w:sz w:val="20"/>
          <w:szCs w:val="20"/>
          <w:lang w:val="en-GB"/>
        </w:rPr>
        <w:t>The</w:t>
      </w:r>
      <w:r w:rsidR="006078A2" w:rsidRPr="00FD6917">
        <w:rPr>
          <w:rFonts w:ascii="Cambria" w:hAnsi="Cambria"/>
          <w:sz w:val="20"/>
          <w:szCs w:val="20"/>
          <w:lang w:val="en-GB"/>
        </w:rPr>
        <w:t xml:space="preserve"> above</w:t>
      </w:r>
      <w:r w:rsidR="001A21CE" w:rsidRPr="00FD6917">
        <w:rPr>
          <w:rFonts w:ascii="Cambria" w:hAnsi="Cambria"/>
          <w:sz w:val="20"/>
          <w:szCs w:val="20"/>
          <w:lang w:val="en-GB"/>
        </w:rPr>
        <w:t xml:space="preserve"> co</w:t>
      </w:r>
      <w:r w:rsidR="001A21CE" w:rsidRPr="00CC47CC">
        <w:rPr>
          <w:rFonts w:ascii="Cambria" w:hAnsi="Cambria"/>
          <w:sz w:val="20"/>
          <w:szCs w:val="20"/>
        </w:rPr>
        <w:t>nfidence interval can also be expressed as</w:t>
      </w:r>
    </w:p>
    <w:p w:rsidR="001A21CE" w:rsidRPr="00CC47CC" w:rsidRDefault="008465E1" w:rsidP="00810F9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ParaPr>
          <m:jc m:val="center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abc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SSB+SSE-</m:t>
                  </m:r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B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B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E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e>
                  </m:rad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 xml:space="preserve"> 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abc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SSB+SSE+</m:t>
                  </m:r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B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B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E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e>
                  </m:rad>
                </m:e>
              </m:d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.</m:t>
          </m:r>
        </m:oMath>
      </m:oMathPara>
    </w:p>
    <w:p w:rsidR="003519D6" w:rsidRPr="00CC47CC" w:rsidRDefault="00B449F2" w:rsidP="00810F94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CC47CC">
        <w:rPr>
          <w:rFonts w:ascii="Cambria" w:hAnsi="Cambria"/>
          <w:sz w:val="20"/>
          <w:szCs w:val="20"/>
          <w:lang w:val="en-GB"/>
        </w:rPr>
        <w:lastRenderedPageBreak/>
        <w:t xml:space="preserve">An approximate 95% confidence interval for the upper 95% LOAM can now be obtained by transforming the endpoints, that is, taking the square root followed by multiplication with 1.96. </w:t>
      </w:r>
    </w:p>
    <w:p w:rsidR="0090128F" w:rsidRPr="00CC47CC" w:rsidRDefault="0090128F" w:rsidP="00810F94">
      <w:pPr>
        <w:spacing w:line="480" w:lineRule="auto"/>
        <w:rPr>
          <w:rFonts w:ascii="Cambria" w:eastAsiaTheme="minorEastAsia" w:hAnsi="Cambria"/>
          <w:b/>
          <w:sz w:val="20"/>
          <w:szCs w:val="20"/>
          <w:lang w:val="en-GB"/>
        </w:rPr>
      </w:pPr>
      <w:r w:rsidRPr="00CC47CC">
        <w:rPr>
          <w:rFonts w:ascii="Cambria" w:hAnsi="Cambria"/>
          <w:b/>
          <w:sz w:val="20"/>
          <w:szCs w:val="20"/>
          <w:lang w:val="en-GB"/>
        </w:rPr>
        <w:t>References</w:t>
      </w:r>
    </w:p>
    <w:p w:rsidR="00880FDB" w:rsidRPr="00CC47CC" w:rsidRDefault="003519D6" w:rsidP="00880FDB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 w:cs="Times New Roman"/>
          <w:noProof/>
          <w:sz w:val="20"/>
          <w:szCs w:val="24"/>
          <w:lang w:val="en-GB"/>
        </w:rPr>
      </w:pPr>
      <w:r w:rsidRPr="00CC47CC">
        <w:rPr>
          <w:rFonts w:ascii="Cambria" w:hAnsi="Cambria"/>
          <w:sz w:val="20"/>
          <w:szCs w:val="20"/>
        </w:rPr>
        <w:fldChar w:fldCharType="begin" w:fldLock="1"/>
      </w:r>
      <w:r w:rsidRPr="00CC47CC">
        <w:rPr>
          <w:rFonts w:ascii="Cambria" w:hAnsi="Cambria"/>
          <w:sz w:val="20"/>
          <w:szCs w:val="20"/>
          <w:lang w:val="en-GB"/>
        </w:rPr>
        <w:instrText xml:space="preserve">ADDIN Mendeley Bibliography CSL_BIBLIOGRAPHY </w:instrText>
      </w:r>
      <w:r w:rsidRPr="00CC47CC">
        <w:rPr>
          <w:rFonts w:ascii="Cambria" w:hAnsi="Cambria"/>
          <w:sz w:val="20"/>
          <w:szCs w:val="20"/>
        </w:rPr>
        <w:fldChar w:fldCharType="separate"/>
      </w:r>
      <w:r w:rsidR="00880FDB" w:rsidRPr="00CC47CC">
        <w:rPr>
          <w:rFonts w:ascii="Cambria" w:hAnsi="Cambria" w:cs="Times New Roman"/>
          <w:noProof/>
          <w:sz w:val="20"/>
          <w:szCs w:val="24"/>
          <w:lang w:val="en-GB"/>
        </w:rPr>
        <w:t>[1]</w:t>
      </w:r>
      <w:r w:rsidR="00880FDB" w:rsidRPr="00CC47CC">
        <w:rPr>
          <w:rFonts w:ascii="Cambria" w:hAnsi="Cambria" w:cs="Times New Roman"/>
          <w:noProof/>
          <w:sz w:val="20"/>
          <w:szCs w:val="24"/>
          <w:lang w:val="en-GB"/>
        </w:rPr>
        <w:tab/>
        <w:t xml:space="preserve">S. R. Searle, G. Casella, and C. E. McCulloch, </w:t>
      </w:r>
      <w:r w:rsidR="00880FDB" w:rsidRPr="00CC47CC">
        <w:rPr>
          <w:rFonts w:ascii="Cambria" w:hAnsi="Cambria" w:cs="Times New Roman"/>
          <w:i/>
          <w:iCs/>
          <w:noProof/>
          <w:sz w:val="20"/>
          <w:szCs w:val="24"/>
          <w:lang w:val="en-GB"/>
        </w:rPr>
        <w:t>Variance Components</w:t>
      </w:r>
      <w:r w:rsidR="00880FDB" w:rsidRPr="00CC47CC">
        <w:rPr>
          <w:rFonts w:ascii="Cambria" w:hAnsi="Cambria" w:cs="Times New Roman"/>
          <w:noProof/>
          <w:sz w:val="20"/>
          <w:szCs w:val="24"/>
          <w:lang w:val="en-GB"/>
        </w:rPr>
        <w:t>. Hoboken: John Wiley &amp; Sons, Inc., 1992.</w:t>
      </w:r>
    </w:p>
    <w:p w:rsidR="00880FDB" w:rsidRPr="00750284" w:rsidRDefault="00880FDB" w:rsidP="00880FDB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/>
          <w:noProof/>
          <w:sz w:val="20"/>
        </w:rPr>
      </w:pPr>
      <w:r w:rsidRPr="00CC47CC">
        <w:rPr>
          <w:rFonts w:ascii="Cambria" w:hAnsi="Cambria" w:cs="Times New Roman"/>
          <w:noProof/>
          <w:sz w:val="20"/>
          <w:szCs w:val="24"/>
          <w:lang w:val="en-GB"/>
        </w:rPr>
        <w:t>[2]</w:t>
      </w:r>
      <w:r w:rsidRPr="00CC47CC">
        <w:rPr>
          <w:rFonts w:ascii="Cambria" w:hAnsi="Cambria" w:cs="Times New Roman"/>
          <w:noProof/>
          <w:sz w:val="20"/>
          <w:szCs w:val="24"/>
          <w:lang w:val="en-GB"/>
        </w:rPr>
        <w:tab/>
        <w:t xml:space="preserve">F. A. Graybill and C.-M. Wang, “Confidence intervals on nonnegative linear combinations of variances,” </w:t>
      </w:r>
      <w:r w:rsidRPr="00CC47CC">
        <w:rPr>
          <w:rFonts w:ascii="Cambria" w:hAnsi="Cambria" w:cs="Times New Roman"/>
          <w:i/>
          <w:iCs/>
          <w:noProof/>
          <w:sz w:val="20"/>
          <w:szCs w:val="24"/>
          <w:lang w:val="en-GB"/>
        </w:rPr>
        <w:t xml:space="preserve">J. Am. </w:t>
      </w:r>
      <w:r w:rsidRPr="00750284">
        <w:rPr>
          <w:rFonts w:ascii="Cambria" w:hAnsi="Cambria" w:cs="Times New Roman"/>
          <w:i/>
          <w:iCs/>
          <w:noProof/>
          <w:sz w:val="20"/>
          <w:szCs w:val="24"/>
        </w:rPr>
        <w:t>Stat. Assoc.</w:t>
      </w:r>
      <w:r w:rsidRPr="00750284">
        <w:rPr>
          <w:rFonts w:ascii="Cambria" w:hAnsi="Cambria" w:cs="Times New Roman"/>
          <w:noProof/>
          <w:sz w:val="20"/>
          <w:szCs w:val="24"/>
        </w:rPr>
        <w:t>, vol. 75, no. 372, pp. 869–873, Dec. 1980.</w:t>
      </w:r>
    </w:p>
    <w:p w:rsidR="003519D6" w:rsidRPr="00CC47CC" w:rsidRDefault="003519D6" w:rsidP="00810F94">
      <w:pPr>
        <w:spacing w:line="480" w:lineRule="auto"/>
        <w:rPr>
          <w:rFonts w:ascii="Cambria" w:hAnsi="Cambria"/>
        </w:rPr>
      </w:pPr>
      <w:r w:rsidRPr="00CC47CC">
        <w:rPr>
          <w:rFonts w:ascii="Cambria" w:hAnsi="Cambria"/>
          <w:sz w:val="20"/>
          <w:szCs w:val="20"/>
        </w:rPr>
        <w:fldChar w:fldCharType="end"/>
      </w:r>
    </w:p>
    <w:sectPr w:rsidR="003519D6" w:rsidRPr="00CC47C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0C4C18D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da-DK" w:vendorID="64" w:dllVersion="131078" w:nlCheck="1" w:checkStyle="0"/>
  <w:activeWritingStyle w:appName="MSWord" w:lang="en-GB" w:vendorID="64" w:dllVersion="131078" w:nlCheck="1" w:checkStyle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6B7"/>
    <w:rsid w:val="000826B7"/>
    <w:rsid w:val="000C4218"/>
    <w:rsid w:val="001A21CE"/>
    <w:rsid w:val="001E1975"/>
    <w:rsid w:val="002F5359"/>
    <w:rsid w:val="00306222"/>
    <w:rsid w:val="003519D6"/>
    <w:rsid w:val="003921DC"/>
    <w:rsid w:val="00431030"/>
    <w:rsid w:val="0054581C"/>
    <w:rsid w:val="005758E5"/>
    <w:rsid w:val="005A386F"/>
    <w:rsid w:val="005E5335"/>
    <w:rsid w:val="005F45D8"/>
    <w:rsid w:val="006078A2"/>
    <w:rsid w:val="00750284"/>
    <w:rsid w:val="00810F94"/>
    <w:rsid w:val="008465E1"/>
    <w:rsid w:val="00880FDB"/>
    <w:rsid w:val="0090128F"/>
    <w:rsid w:val="00923D44"/>
    <w:rsid w:val="00931E29"/>
    <w:rsid w:val="009A3E74"/>
    <w:rsid w:val="00A47E20"/>
    <w:rsid w:val="00AF1AEC"/>
    <w:rsid w:val="00AF53CC"/>
    <w:rsid w:val="00B067ED"/>
    <w:rsid w:val="00B238C0"/>
    <w:rsid w:val="00B449F2"/>
    <w:rsid w:val="00B8050D"/>
    <w:rsid w:val="00BC717D"/>
    <w:rsid w:val="00BE5687"/>
    <w:rsid w:val="00CC47CC"/>
    <w:rsid w:val="00D70747"/>
    <w:rsid w:val="00DC169A"/>
    <w:rsid w:val="00E63724"/>
    <w:rsid w:val="00EE1849"/>
    <w:rsid w:val="00FD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A347A-CFF1-4029-BFCE-7865084B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Opstilling-talellerbogst">
    <w:name w:val="List Number"/>
    <w:basedOn w:val="Normal"/>
    <w:uiPriority w:val="99"/>
    <w:unhideWhenUsed/>
    <w:rsid w:val="000826B7"/>
    <w:pPr>
      <w:numPr>
        <w:numId w:val="1"/>
      </w:numPr>
      <w:contextualSpacing/>
    </w:pPr>
  </w:style>
  <w:style w:type="character" w:styleId="Pladsholdertekst">
    <w:name w:val="Placeholder Text"/>
    <w:basedOn w:val="Standardskrifttypeiafsnit"/>
    <w:uiPriority w:val="99"/>
    <w:semiHidden/>
    <w:rsid w:val="00923D44"/>
    <w:rPr>
      <w:color w:val="808080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923D44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923D44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923D44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23D44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23D44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23D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23D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7F3C7-4BE2-48A8-8823-EB38D4DD3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313</Words>
  <Characters>1710</Characters>
  <Application>Microsoft Office Word</Application>
  <DocSecurity>0</DocSecurity>
  <Lines>27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Heidi Søgaard Christensen</cp:lastModifiedBy>
  <cp:revision>13</cp:revision>
  <dcterms:created xsi:type="dcterms:W3CDTF">2020-11-06T14:59:00Z</dcterms:created>
  <dcterms:modified xsi:type="dcterms:W3CDTF">2020-11-20T09:29:00Z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71236256-e8bd-3b9c-a152-4b637a429826</vt:lpwstr>
  </property>
  <property fmtid="{D5CDD505-2E9C-101B-9397-08002B2CF9AE}" pid="24" name="Mendeley Citation Style_1">
    <vt:lpwstr>http://www.zotero.org/styles/ieee</vt:lpwstr>
  </property>
  <property fmtid="{D5CDD505-2E9C-101B-9397-08002B2CF9AE}" pid="25" name="ContentRemapped">
    <vt:lpwstr>true</vt:lpwstr>
  </property>
  <property fmtid="{D5CDD505-2E9C-101B-9397-08002B2CF9AE}" pid="26" name="SD_DocumentLanguage">
    <vt:lpwstr>da-DK</vt:lpwstr>
  </property>
</Properties>
</file>