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6E8F2" w14:textId="7A00282D" w:rsidR="00BE4C28" w:rsidRPr="00BE4C28" w:rsidRDefault="00BE4C28">
      <w:pPr>
        <w:rPr>
          <w:rFonts w:ascii="Times New Roman" w:hAnsi="Times New Roman" w:cs="Times New Roman"/>
          <w:b/>
          <w:bCs/>
        </w:rPr>
      </w:pPr>
      <w:r w:rsidRPr="00BE4C28">
        <w:rPr>
          <w:rFonts w:ascii="Times New Roman" w:hAnsi="Times New Roman" w:cs="Times New Roman"/>
          <w:b/>
          <w:bCs/>
        </w:rPr>
        <w:t>Supplemental Tables:</w:t>
      </w:r>
    </w:p>
    <w:tbl>
      <w:tblPr>
        <w:tblW w:w="10053" w:type="dxa"/>
        <w:tblInd w:w="-693" w:type="dxa"/>
        <w:tblLook w:val="04A0" w:firstRow="1" w:lastRow="0" w:firstColumn="1" w:lastColumn="0" w:noHBand="0" w:noVBand="1"/>
      </w:tblPr>
      <w:tblGrid>
        <w:gridCol w:w="2264"/>
        <w:gridCol w:w="1579"/>
        <w:gridCol w:w="1980"/>
        <w:gridCol w:w="2250"/>
        <w:gridCol w:w="1980"/>
      </w:tblGrid>
      <w:tr w:rsidR="00776154" w:rsidRPr="00C25F47" w14:paraId="363F5879" w14:textId="42A9C184" w:rsidTr="00776154">
        <w:trPr>
          <w:trHeight w:val="315"/>
        </w:trPr>
        <w:tc>
          <w:tcPr>
            <w:tcW w:w="8073" w:type="dxa"/>
            <w:gridSpan w:val="4"/>
            <w:tcBorders>
              <w:top w:val="single" w:sz="18" w:space="0" w:color="auto"/>
              <w:bottom w:val="single" w:sz="12" w:space="0" w:color="auto"/>
            </w:tcBorders>
            <w:shd w:val="clear" w:color="auto" w:fill="auto"/>
            <w:noWrap/>
            <w:vAlign w:val="bottom"/>
          </w:tcPr>
          <w:p w14:paraId="4037C2F7" w14:textId="4322F46D" w:rsidR="00776154" w:rsidRDefault="00776154" w:rsidP="00D56E53">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 xml:space="preserve">Supplemental Table I: Methodology for EPIC Electronic Medical Records </w:t>
            </w:r>
            <w:proofErr w:type="spellStart"/>
            <w:r>
              <w:rPr>
                <w:rFonts w:ascii="Calibri" w:eastAsia="Times New Roman" w:hAnsi="Calibri" w:cs="Calibri"/>
                <w:b/>
                <w:bCs/>
                <w:color w:val="000000"/>
                <w:kern w:val="0"/>
                <w:sz w:val="16"/>
                <w:szCs w:val="16"/>
                <w14:ligatures w14:val="none"/>
              </w:rPr>
              <w:t>SlicerDicer</w:t>
            </w:r>
            <w:proofErr w:type="spellEnd"/>
            <w:r>
              <w:rPr>
                <w:rFonts w:ascii="Calibri" w:eastAsia="Times New Roman" w:hAnsi="Calibri" w:cs="Calibri"/>
                <w:b/>
                <w:bCs/>
                <w:color w:val="000000"/>
                <w:kern w:val="0"/>
                <w:sz w:val="16"/>
                <w:szCs w:val="16"/>
                <w14:ligatures w14:val="none"/>
              </w:rPr>
              <w:t xml:space="preserve"> Database Search</w:t>
            </w:r>
          </w:p>
        </w:tc>
        <w:tc>
          <w:tcPr>
            <w:tcW w:w="1980" w:type="dxa"/>
            <w:tcBorders>
              <w:top w:val="single" w:sz="18" w:space="0" w:color="auto"/>
              <w:bottom w:val="single" w:sz="12" w:space="0" w:color="auto"/>
            </w:tcBorders>
          </w:tcPr>
          <w:p w14:paraId="0571B295" w14:textId="77777777" w:rsidR="00776154" w:rsidRDefault="00776154" w:rsidP="00D56E53">
            <w:pPr>
              <w:spacing w:after="0" w:line="240" w:lineRule="auto"/>
              <w:rPr>
                <w:rFonts w:ascii="Calibri" w:eastAsia="Times New Roman" w:hAnsi="Calibri" w:cs="Calibri"/>
                <w:b/>
                <w:bCs/>
                <w:color w:val="000000"/>
                <w:kern w:val="0"/>
                <w:sz w:val="16"/>
                <w:szCs w:val="16"/>
                <w14:ligatures w14:val="none"/>
              </w:rPr>
            </w:pPr>
          </w:p>
        </w:tc>
      </w:tr>
      <w:tr w:rsidR="00776154" w:rsidRPr="00C25F47" w14:paraId="6F27E4F8" w14:textId="75DCB87F" w:rsidTr="00776154">
        <w:trPr>
          <w:trHeight w:val="315"/>
        </w:trPr>
        <w:tc>
          <w:tcPr>
            <w:tcW w:w="8073" w:type="dxa"/>
            <w:gridSpan w:val="4"/>
            <w:tcBorders>
              <w:top w:val="single" w:sz="18" w:space="0" w:color="auto"/>
              <w:bottom w:val="single" w:sz="12" w:space="0" w:color="auto"/>
            </w:tcBorders>
            <w:shd w:val="clear" w:color="auto" w:fill="auto"/>
            <w:noWrap/>
            <w:vAlign w:val="bottom"/>
          </w:tcPr>
          <w:p w14:paraId="2C3E5AA3" w14:textId="50A2EE70" w:rsidR="00776154" w:rsidRDefault="00776154" w:rsidP="00D56E53">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Vaccination Data</w:t>
            </w:r>
          </w:p>
        </w:tc>
        <w:tc>
          <w:tcPr>
            <w:tcW w:w="1980" w:type="dxa"/>
            <w:tcBorders>
              <w:top w:val="single" w:sz="18" w:space="0" w:color="auto"/>
              <w:bottom w:val="single" w:sz="12" w:space="0" w:color="auto"/>
            </w:tcBorders>
          </w:tcPr>
          <w:p w14:paraId="2F9ECD15" w14:textId="77777777" w:rsidR="00776154" w:rsidRDefault="00776154" w:rsidP="00D56E53">
            <w:pPr>
              <w:spacing w:after="0" w:line="240" w:lineRule="auto"/>
              <w:rPr>
                <w:rFonts w:ascii="Calibri" w:eastAsia="Times New Roman" w:hAnsi="Calibri" w:cs="Calibri"/>
                <w:b/>
                <w:bCs/>
                <w:color w:val="000000"/>
                <w:kern w:val="0"/>
                <w:sz w:val="16"/>
                <w:szCs w:val="16"/>
                <w14:ligatures w14:val="none"/>
              </w:rPr>
            </w:pPr>
          </w:p>
        </w:tc>
      </w:tr>
      <w:tr w:rsidR="00776154" w:rsidRPr="00C25F47" w14:paraId="606FCD19" w14:textId="7A2E7CA9" w:rsidTr="00993264">
        <w:trPr>
          <w:trHeight w:val="315"/>
        </w:trPr>
        <w:tc>
          <w:tcPr>
            <w:tcW w:w="2264" w:type="dxa"/>
            <w:tcBorders>
              <w:top w:val="single" w:sz="18" w:space="0" w:color="auto"/>
              <w:bottom w:val="single" w:sz="12" w:space="0" w:color="auto"/>
            </w:tcBorders>
            <w:shd w:val="clear" w:color="auto" w:fill="auto"/>
            <w:noWrap/>
            <w:vAlign w:val="bottom"/>
            <w:hideMark/>
          </w:tcPr>
          <w:p w14:paraId="0075F293" w14:textId="1A6C32EE" w:rsidR="00776154" w:rsidRPr="00C25F47" w:rsidRDefault="00776154" w:rsidP="009934C4">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Diagnosis</w:t>
            </w:r>
          </w:p>
        </w:tc>
        <w:tc>
          <w:tcPr>
            <w:tcW w:w="1579" w:type="dxa"/>
            <w:tcBorders>
              <w:top w:val="single" w:sz="18" w:space="0" w:color="auto"/>
              <w:bottom w:val="single" w:sz="12" w:space="0" w:color="auto"/>
            </w:tcBorders>
            <w:shd w:val="clear" w:color="auto" w:fill="auto"/>
            <w:vAlign w:val="bottom"/>
            <w:hideMark/>
          </w:tcPr>
          <w:p w14:paraId="47E79704" w14:textId="5CEF006E" w:rsidR="00776154" w:rsidRPr="00C25F47" w:rsidRDefault="00776154" w:rsidP="009934C4">
            <w:pPr>
              <w:spacing w:after="0" w:line="240" w:lineRule="auto"/>
              <w:jc w:val="center"/>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Atopic Dermatitis</w:t>
            </w:r>
          </w:p>
        </w:tc>
        <w:tc>
          <w:tcPr>
            <w:tcW w:w="1980" w:type="dxa"/>
            <w:tcBorders>
              <w:top w:val="single" w:sz="18" w:space="0" w:color="auto"/>
              <w:bottom w:val="single" w:sz="12" w:space="0" w:color="auto"/>
            </w:tcBorders>
            <w:shd w:val="clear" w:color="auto" w:fill="auto"/>
            <w:noWrap/>
            <w:vAlign w:val="bottom"/>
            <w:hideMark/>
          </w:tcPr>
          <w:p w14:paraId="076BA43B" w14:textId="6E60BA7C" w:rsidR="00776154" w:rsidRPr="00C25F47" w:rsidRDefault="00776154" w:rsidP="009934C4">
            <w:pPr>
              <w:spacing w:after="0" w:line="240" w:lineRule="auto"/>
              <w:jc w:val="center"/>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Psoriasis</w:t>
            </w:r>
          </w:p>
        </w:tc>
        <w:tc>
          <w:tcPr>
            <w:tcW w:w="2250" w:type="dxa"/>
            <w:tcBorders>
              <w:top w:val="single" w:sz="18" w:space="0" w:color="auto"/>
              <w:bottom w:val="single" w:sz="12" w:space="0" w:color="auto"/>
            </w:tcBorders>
            <w:shd w:val="clear" w:color="auto" w:fill="auto"/>
            <w:noWrap/>
            <w:vAlign w:val="bottom"/>
            <w:hideMark/>
          </w:tcPr>
          <w:p w14:paraId="478812B2" w14:textId="05CE56D0" w:rsidR="00776154" w:rsidRPr="00C25F47" w:rsidRDefault="00776154" w:rsidP="009934C4">
            <w:pPr>
              <w:spacing w:after="0" w:line="240" w:lineRule="auto"/>
              <w:jc w:val="center"/>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Psoriatic Arthritis</w:t>
            </w:r>
          </w:p>
        </w:tc>
        <w:tc>
          <w:tcPr>
            <w:tcW w:w="1980" w:type="dxa"/>
            <w:tcBorders>
              <w:top w:val="single" w:sz="18" w:space="0" w:color="auto"/>
              <w:bottom w:val="single" w:sz="12" w:space="0" w:color="auto"/>
            </w:tcBorders>
          </w:tcPr>
          <w:p w14:paraId="7983DDF2" w14:textId="77777777" w:rsidR="00776154" w:rsidRDefault="00776154" w:rsidP="009934C4">
            <w:pPr>
              <w:spacing w:after="0" w:line="240" w:lineRule="auto"/>
              <w:jc w:val="center"/>
              <w:rPr>
                <w:rFonts w:ascii="Calibri" w:eastAsia="Times New Roman" w:hAnsi="Calibri" w:cs="Calibri"/>
                <w:b/>
                <w:bCs/>
                <w:color w:val="000000"/>
                <w:kern w:val="0"/>
                <w:sz w:val="16"/>
                <w:szCs w:val="16"/>
                <w14:ligatures w14:val="none"/>
              </w:rPr>
            </w:pPr>
          </w:p>
          <w:p w14:paraId="64715E05" w14:textId="2429FAB6" w:rsidR="00776154" w:rsidRDefault="00776154" w:rsidP="009934C4">
            <w:pPr>
              <w:spacing w:after="0" w:line="240" w:lineRule="auto"/>
              <w:jc w:val="center"/>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Alopecia Areata</w:t>
            </w:r>
          </w:p>
        </w:tc>
      </w:tr>
      <w:tr w:rsidR="00776154" w:rsidRPr="00C25F47" w14:paraId="3DB819D3" w14:textId="6C30E51E" w:rsidTr="00993264">
        <w:trPr>
          <w:trHeight w:val="290"/>
        </w:trPr>
        <w:tc>
          <w:tcPr>
            <w:tcW w:w="2264" w:type="dxa"/>
            <w:tcBorders>
              <w:top w:val="single" w:sz="12" w:space="0" w:color="auto"/>
              <w:bottom w:val="single" w:sz="8" w:space="0" w:color="auto"/>
            </w:tcBorders>
            <w:shd w:val="clear" w:color="auto" w:fill="auto"/>
            <w:noWrap/>
            <w:vAlign w:val="bottom"/>
            <w:hideMark/>
          </w:tcPr>
          <w:p w14:paraId="3312FEF7" w14:textId="1815A358" w:rsidR="00776154" w:rsidRPr="00C25F47" w:rsidRDefault="00776154" w:rsidP="009934C4">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Biologics/Small Molecule Inhibitors</w:t>
            </w:r>
          </w:p>
        </w:tc>
        <w:tc>
          <w:tcPr>
            <w:tcW w:w="1579" w:type="dxa"/>
            <w:tcBorders>
              <w:top w:val="single" w:sz="12" w:space="0" w:color="auto"/>
              <w:bottom w:val="single" w:sz="8" w:space="0" w:color="auto"/>
            </w:tcBorders>
            <w:shd w:val="clear" w:color="auto" w:fill="auto"/>
            <w:noWrap/>
            <w:vAlign w:val="bottom"/>
            <w:hideMark/>
          </w:tcPr>
          <w:p w14:paraId="60993DBA"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Dupilumab</w:t>
            </w:r>
          </w:p>
          <w:p w14:paraId="43E4DE53"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Tralokinumab</w:t>
            </w:r>
          </w:p>
          <w:p w14:paraId="19C1CBBD"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Upadacitinib</w:t>
            </w:r>
          </w:p>
          <w:p w14:paraId="7ACC2417" w14:textId="552CF383" w:rsidR="00776154" w:rsidRPr="00C25F47" w:rsidRDefault="00776154" w:rsidP="009934C4">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Abrocitinib</w:t>
            </w:r>
            <w:proofErr w:type="spellEnd"/>
          </w:p>
        </w:tc>
        <w:tc>
          <w:tcPr>
            <w:tcW w:w="1980" w:type="dxa"/>
            <w:tcBorders>
              <w:top w:val="single" w:sz="12" w:space="0" w:color="auto"/>
              <w:bottom w:val="single" w:sz="8" w:space="0" w:color="auto"/>
            </w:tcBorders>
            <w:shd w:val="clear" w:color="auto" w:fill="auto"/>
            <w:noWrap/>
            <w:vAlign w:val="bottom"/>
            <w:hideMark/>
          </w:tcPr>
          <w:p w14:paraId="7BCE789A"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Tildrakizumab</w:t>
            </w:r>
          </w:p>
          <w:p w14:paraId="54476FAF"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Risankizumab</w:t>
            </w:r>
          </w:p>
          <w:p w14:paraId="3BF6E1D7"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Ixekizumab</w:t>
            </w:r>
            <w:proofErr w:type="spellEnd"/>
          </w:p>
          <w:p w14:paraId="5864914C"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Guselkumab</w:t>
            </w:r>
            <w:proofErr w:type="spellEnd"/>
          </w:p>
          <w:p w14:paraId="4BCC89CE"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Ustekinumab</w:t>
            </w:r>
          </w:p>
          <w:p w14:paraId="347A60AB"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Brodalumab</w:t>
            </w:r>
            <w:proofErr w:type="spellEnd"/>
          </w:p>
          <w:p w14:paraId="43CCEE5C"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Secukinumab</w:t>
            </w:r>
            <w:proofErr w:type="spellEnd"/>
          </w:p>
          <w:p w14:paraId="0ADCD0DE"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Infliximab</w:t>
            </w:r>
          </w:p>
          <w:p w14:paraId="09B0CF43"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Etanercept</w:t>
            </w:r>
          </w:p>
          <w:p w14:paraId="5E3A29D1" w14:textId="17FE2257" w:rsidR="00776154" w:rsidRPr="00C25F47"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Adalimumab</w:t>
            </w:r>
          </w:p>
        </w:tc>
        <w:tc>
          <w:tcPr>
            <w:tcW w:w="2250" w:type="dxa"/>
            <w:tcBorders>
              <w:top w:val="single" w:sz="12" w:space="0" w:color="auto"/>
              <w:bottom w:val="single" w:sz="8" w:space="0" w:color="auto"/>
            </w:tcBorders>
            <w:shd w:val="clear" w:color="auto" w:fill="auto"/>
            <w:noWrap/>
            <w:vAlign w:val="bottom"/>
            <w:hideMark/>
          </w:tcPr>
          <w:p w14:paraId="2CB8B423"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Tofacitinib</w:t>
            </w:r>
          </w:p>
          <w:p w14:paraId="48056509"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Upadacitinib</w:t>
            </w:r>
          </w:p>
          <w:p w14:paraId="1201DC3F"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Risankizumab</w:t>
            </w:r>
          </w:p>
          <w:p w14:paraId="6C6B056C"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Ixekizumab</w:t>
            </w:r>
            <w:proofErr w:type="spellEnd"/>
          </w:p>
          <w:p w14:paraId="60BBE456"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Guselkumab</w:t>
            </w:r>
            <w:proofErr w:type="spellEnd"/>
          </w:p>
          <w:p w14:paraId="2333AADC"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Ustekinumab</w:t>
            </w:r>
          </w:p>
          <w:p w14:paraId="102E77D1"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Brodalumab</w:t>
            </w:r>
            <w:proofErr w:type="spellEnd"/>
          </w:p>
          <w:p w14:paraId="61B741C0"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Secukinumab</w:t>
            </w:r>
            <w:proofErr w:type="spellEnd"/>
          </w:p>
          <w:p w14:paraId="4E623EC3"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Infliximab</w:t>
            </w:r>
          </w:p>
          <w:p w14:paraId="2A0E9AC7"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Etanercept</w:t>
            </w:r>
          </w:p>
          <w:p w14:paraId="78630EBD" w14:textId="0D549944" w:rsidR="00776154" w:rsidRPr="00C25F47"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Adalimumab</w:t>
            </w:r>
          </w:p>
        </w:tc>
        <w:tc>
          <w:tcPr>
            <w:tcW w:w="1980" w:type="dxa"/>
            <w:tcBorders>
              <w:top w:val="single" w:sz="12" w:space="0" w:color="auto"/>
              <w:bottom w:val="single" w:sz="8" w:space="0" w:color="auto"/>
            </w:tcBorders>
          </w:tcPr>
          <w:p w14:paraId="51DBA580"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
          <w:p w14:paraId="3E7A8411"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
          <w:p w14:paraId="33220326"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
          <w:p w14:paraId="2DF70211"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
          <w:p w14:paraId="28066437"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
          <w:p w14:paraId="531B3457"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
          <w:p w14:paraId="6F80D4DB"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
          <w:p w14:paraId="1AD5FEBB" w14:textId="77777777"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
          <w:p w14:paraId="154CCC4B" w14:textId="59A5EE8B"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Ritlecitinib</w:t>
            </w:r>
            <w:proofErr w:type="spellEnd"/>
          </w:p>
          <w:p w14:paraId="55352885" w14:textId="1E9A0209" w:rsidR="00776154" w:rsidRDefault="00776154" w:rsidP="009934C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Baricitinib</w:t>
            </w:r>
          </w:p>
          <w:p w14:paraId="2AD2A10B" w14:textId="50DBF18C" w:rsidR="00776154" w:rsidRDefault="00776154" w:rsidP="009934C4">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Abrocitinib</w:t>
            </w:r>
            <w:proofErr w:type="spellEnd"/>
          </w:p>
        </w:tc>
      </w:tr>
      <w:tr w:rsidR="00776154" w:rsidRPr="00C25F47" w14:paraId="160A6E7B" w14:textId="6D78E142" w:rsidTr="00993264">
        <w:trPr>
          <w:trHeight w:val="290"/>
        </w:trPr>
        <w:tc>
          <w:tcPr>
            <w:tcW w:w="2264" w:type="dxa"/>
            <w:tcBorders>
              <w:top w:val="single" w:sz="8" w:space="0" w:color="auto"/>
              <w:bottom w:val="single" w:sz="8" w:space="0" w:color="auto"/>
            </w:tcBorders>
            <w:shd w:val="clear" w:color="auto" w:fill="auto"/>
            <w:noWrap/>
            <w:vAlign w:val="bottom"/>
            <w:hideMark/>
          </w:tcPr>
          <w:p w14:paraId="5AC38DA4" w14:textId="1A8F8E22" w:rsidR="00776154" w:rsidRPr="00C25F47" w:rsidRDefault="00776154" w:rsidP="0078369B">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Vaccinations</w:t>
            </w:r>
          </w:p>
        </w:tc>
        <w:tc>
          <w:tcPr>
            <w:tcW w:w="1579" w:type="dxa"/>
            <w:tcBorders>
              <w:top w:val="single" w:sz="8" w:space="0" w:color="auto"/>
              <w:bottom w:val="single" w:sz="8" w:space="0" w:color="auto"/>
            </w:tcBorders>
            <w:shd w:val="clear" w:color="auto" w:fill="auto"/>
            <w:noWrap/>
            <w:vAlign w:val="bottom"/>
            <w:hideMark/>
          </w:tcPr>
          <w:p w14:paraId="71E58367" w14:textId="77777777" w:rsidR="00776154" w:rsidRDefault="00776154" w:rsidP="00D249FF">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Influenza</w:t>
            </w:r>
          </w:p>
          <w:p w14:paraId="0CEEE8BA" w14:textId="2445F385" w:rsidR="00776154" w:rsidRDefault="00993264" w:rsidP="00D249FF">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Recombinant Zoster</w:t>
            </w:r>
          </w:p>
          <w:p w14:paraId="4462E709" w14:textId="6D3CCC78" w:rsidR="00776154" w:rsidRDefault="00776154" w:rsidP="00D249FF">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Pneumococcal</w:t>
            </w:r>
          </w:p>
          <w:p w14:paraId="1B1DAC30" w14:textId="6F52C78A" w:rsidR="00776154" w:rsidRPr="00C25F47" w:rsidRDefault="00776154" w:rsidP="003B6F92">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COVID-19</w:t>
            </w:r>
          </w:p>
        </w:tc>
        <w:tc>
          <w:tcPr>
            <w:tcW w:w="1980" w:type="dxa"/>
            <w:tcBorders>
              <w:top w:val="single" w:sz="8" w:space="0" w:color="auto"/>
              <w:bottom w:val="single" w:sz="8" w:space="0" w:color="auto"/>
            </w:tcBorders>
            <w:shd w:val="clear" w:color="auto" w:fill="auto"/>
            <w:noWrap/>
            <w:vAlign w:val="bottom"/>
            <w:hideMark/>
          </w:tcPr>
          <w:p w14:paraId="3BBCD2A2" w14:textId="77777777" w:rsidR="00776154" w:rsidRDefault="00776154" w:rsidP="00D249FF">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Influenza</w:t>
            </w:r>
          </w:p>
          <w:p w14:paraId="3C74CBF1" w14:textId="77777777" w:rsidR="00993264" w:rsidRDefault="00993264" w:rsidP="0099326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Recombinant Zoster</w:t>
            </w:r>
          </w:p>
          <w:p w14:paraId="16907DD0" w14:textId="77777777" w:rsidR="00776154" w:rsidRDefault="00776154" w:rsidP="00DE4B8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Pneumococcal</w:t>
            </w:r>
          </w:p>
          <w:p w14:paraId="6FFC0F77" w14:textId="6B301658" w:rsidR="00776154" w:rsidRPr="00C25F47" w:rsidRDefault="00776154" w:rsidP="00DE4B8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COVID-19</w:t>
            </w:r>
          </w:p>
        </w:tc>
        <w:tc>
          <w:tcPr>
            <w:tcW w:w="2250" w:type="dxa"/>
            <w:tcBorders>
              <w:top w:val="single" w:sz="8" w:space="0" w:color="auto"/>
              <w:bottom w:val="single" w:sz="8" w:space="0" w:color="auto"/>
            </w:tcBorders>
            <w:shd w:val="clear" w:color="auto" w:fill="auto"/>
            <w:noWrap/>
            <w:vAlign w:val="bottom"/>
            <w:hideMark/>
          </w:tcPr>
          <w:p w14:paraId="61C06726" w14:textId="77777777" w:rsidR="00776154" w:rsidRDefault="00776154" w:rsidP="00D249FF">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Influenza</w:t>
            </w:r>
          </w:p>
          <w:p w14:paraId="67C0AFB8" w14:textId="77777777" w:rsidR="00993264" w:rsidRDefault="00993264" w:rsidP="0099326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Recombinant Zoster</w:t>
            </w:r>
          </w:p>
          <w:p w14:paraId="5D484351" w14:textId="77777777" w:rsidR="00776154" w:rsidRDefault="00776154" w:rsidP="00DE4B8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 xml:space="preserve">Pneumococcal </w:t>
            </w:r>
          </w:p>
          <w:p w14:paraId="33EA334E" w14:textId="0D167A7B" w:rsidR="00776154" w:rsidRPr="00C25F47" w:rsidRDefault="00776154" w:rsidP="00DE4B8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COVID-19</w:t>
            </w:r>
          </w:p>
        </w:tc>
        <w:tc>
          <w:tcPr>
            <w:tcW w:w="1980" w:type="dxa"/>
            <w:tcBorders>
              <w:top w:val="single" w:sz="8" w:space="0" w:color="auto"/>
              <w:bottom w:val="single" w:sz="8" w:space="0" w:color="auto"/>
            </w:tcBorders>
          </w:tcPr>
          <w:p w14:paraId="3AFB7D8B" w14:textId="77777777" w:rsidR="00776154" w:rsidRDefault="00776154" w:rsidP="00D249FF">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Influenza</w:t>
            </w:r>
          </w:p>
          <w:p w14:paraId="66221782" w14:textId="77777777" w:rsidR="00993264" w:rsidRDefault="00993264" w:rsidP="00993264">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Recombinant Zoster</w:t>
            </w:r>
          </w:p>
          <w:p w14:paraId="23DA665A" w14:textId="77777777" w:rsidR="00776154" w:rsidRDefault="00776154" w:rsidP="00D249FF">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Pneumococcal</w:t>
            </w:r>
          </w:p>
          <w:p w14:paraId="51669F01" w14:textId="6AB21D8F" w:rsidR="00776154" w:rsidRDefault="00776154" w:rsidP="00D249FF">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COVID-19</w:t>
            </w:r>
          </w:p>
        </w:tc>
      </w:tr>
      <w:tr w:rsidR="00776154" w:rsidRPr="00C25F47" w14:paraId="317FDDEE" w14:textId="68EED748" w:rsidTr="00243475">
        <w:trPr>
          <w:trHeight w:val="290"/>
        </w:trPr>
        <w:tc>
          <w:tcPr>
            <w:tcW w:w="2264" w:type="dxa"/>
            <w:tcBorders>
              <w:top w:val="single" w:sz="8" w:space="0" w:color="auto"/>
              <w:bottom w:val="single" w:sz="18" w:space="0" w:color="auto"/>
            </w:tcBorders>
            <w:shd w:val="clear" w:color="auto" w:fill="auto"/>
            <w:noWrap/>
            <w:vAlign w:val="bottom"/>
            <w:hideMark/>
          </w:tcPr>
          <w:p w14:paraId="293D2C77" w14:textId="44CF1240" w:rsidR="00776154" w:rsidRPr="00C25F47" w:rsidRDefault="00776154" w:rsidP="0078369B">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Vaccination Dates + Methodology/Reasoning Explained</w:t>
            </w:r>
          </w:p>
        </w:tc>
        <w:tc>
          <w:tcPr>
            <w:tcW w:w="7789" w:type="dxa"/>
            <w:gridSpan w:val="4"/>
            <w:tcBorders>
              <w:top w:val="single" w:sz="8" w:space="0" w:color="auto"/>
              <w:bottom w:val="single" w:sz="18" w:space="0" w:color="auto"/>
            </w:tcBorders>
            <w:shd w:val="clear" w:color="auto" w:fill="auto"/>
            <w:noWrap/>
            <w:vAlign w:val="bottom"/>
            <w:hideMark/>
          </w:tcPr>
          <w:p w14:paraId="247D03AB" w14:textId="12EEC4AE" w:rsidR="00776154" w:rsidRDefault="00776154" w:rsidP="00D249FF">
            <w:pPr>
              <w:spacing w:after="0" w:line="240" w:lineRule="auto"/>
              <w:rPr>
                <w:rFonts w:ascii="Calibri" w:eastAsia="Times New Roman" w:hAnsi="Calibri" w:cs="Calibri"/>
                <w:color w:val="000000"/>
                <w:kern w:val="0"/>
                <w:sz w:val="16"/>
                <w:szCs w:val="16"/>
                <w14:ligatures w14:val="none"/>
              </w:rPr>
            </w:pPr>
            <w:r w:rsidRPr="005C730F">
              <w:rPr>
                <w:rFonts w:ascii="Calibri" w:eastAsia="Times New Roman" w:hAnsi="Calibri" w:cs="Calibri"/>
                <w:b/>
                <w:bCs/>
                <w:color w:val="000000"/>
                <w:kern w:val="0"/>
                <w:sz w:val="16"/>
                <w:szCs w:val="16"/>
                <w14:ligatures w14:val="none"/>
              </w:rPr>
              <w:t>Influenza</w:t>
            </w:r>
            <w:r>
              <w:rPr>
                <w:rFonts w:ascii="Calibri" w:eastAsia="Times New Roman" w:hAnsi="Calibri" w:cs="Calibri"/>
                <w:color w:val="000000"/>
                <w:kern w:val="0"/>
                <w:sz w:val="16"/>
                <w:szCs w:val="16"/>
                <w14:ligatures w14:val="none"/>
              </w:rPr>
              <w:t>: Recommended yearly</w:t>
            </w:r>
            <w:r w:rsidR="008276FB">
              <w:rPr>
                <w:rFonts w:ascii="Calibri" w:eastAsia="Times New Roman" w:hAnsi="Calibri" w:cs="Calibri"/>
                <w:color w:val="000000"/>
                <w:kern w:val="0"/>
                <w:sz w:val="16"/>
                <w:szCs w:val="16"/>
                <w14:ligatures w14:val="none"/>
              </w:rPr>
              <w:t>, (d</w:t>
            </w:r>
            <w:r>
              <w:rPr>
                <w:rFonts w:ascii="Calibri" w:eastAsia="Times New Roman" w:hAnsi="Calibri" w:cs="Calibri"/>
                <w:color w:val="000000"/>
                <w:kern w:val="0"/>
                <w:sz w:val="16"/>
                <w:szCs w:val="16"/>
                <w14:ligatures w14:val="none"/>
              </w:rPr>
              <w:t xml:space="preserve">ates queried: </w:t>
            </w:r>
            <w:r w:rsidR="00153D35">
              <w:rPr>
                <w:rFonts w:ascii="Calibri" w:eastAsia="Times New Roman" w:hAnsi="Calibri" w:cs="Calibri"/>
                <w:color w:val="000000"/>
                <w:kern w:val="0"/>
                <w:sz w:val="16"/>
                <w:szCs w:val="16"/>
                <w14:ligatures w14:val="none"/>
              </w:rPr>
              <w:t>1/2023 – 1/2024</w:t>
            </w:r>
            <w:r w:rsidR="008276FB">
              <w:rPr>
                <w:rFonts w:ascii="Calibri" w:eastAsia="Times New Roman" w:hAnsi="Calibri" w:cs="Calibri"/>
                <w:color w:val="000000"/>
                <w:kern w:val="0"/>
                <w:sz w:val="16"/>
                <w:szCs w:val="16"/>
                <w14:ligatures w14:val="none"/>
              </w:rPr>
              <w:t xml:space="preserve">). </w:t>
            </w:r>
            <w:r w:rsidR="003E74E2">
              <w:rPr>
                <w:rFonts w:ascii="Calibri" w:eastAsia="Times New Roman" w:hAnsi="Calibri" w:cs="Calibri"/>
                <w:color w:val="000000"/>
                <w:kern w:val="0"/>
                <w:sz w:val="16"/>
                <w:szCs w:val="16"/>
                <w14:ligatures w14:val="none"/>
              </w:rPr>
              <w:t xml:space="preserve">Each </w:t>
            </w:r>
            <w:r>
              <w:rPr>
                <w:rFonts w:ascii="Calibri" w:eastAsia="Times New Roman" w:hAnsi="Calibri" w:cs="Calibri"/>
                <w:color w:val="000000"/>
                <w:kern w:val="0"/>
                <w:sz w:val="16"/>
                <w:szCs w:val="16"/>
                <w14:ligatures w14:val="none"/>
              </w:rPr>
              <w:t>patient on biologic/</w:t>
            </w:r>
            <w:r w:rsidR="00C53050">
              <w:rPr>
                <w:rFonts w:ascii="Calibri" w:eastAsia="Times New Roman" w:hAnsi="Calibri" w:cs="Calibri"/>
                <w:color w:val="000000"/>
                <w:kern w:val="0"/>
                <w:sz w:val="16"/>
                <w:szCs w:val="16"/>
                <w14:ligatures w14:val="none"/>
              </w:rPr>
              <w:t>JAK</w:t>
            </w:r>
            <w:r>
              <w:rPr>
                <w:rFonts w:ascii="Calibri" w:eastAsia="Times New Roman" w:hAnsi="Calibri" w:cs="Calibri"/>
                <w:color w:val="000000"/>
                <w:kern w:val="0"/>
                <w:sz w:val="16"/>
                <w:szCs w:val="16"/>
                <w14:ligatures w14:val="none"/>
              </w:rPr>
              <w:t xml:space="preserve"> inhibitor should be </w:t>
            </w:r>
            <w:r w:rsidR="00C53050">
              <w:rPr>
                <w:rFonts w:ascii="Calibri" w:eastAsia="Times New Roman" w:hAnsi="Calibri" w:cs="Calibri"/>
                <w:color w:val="000000"/>
                <w:kern w:val="0"/>
                <w:sz w:val="16"/>
                <w:szCs w:val="16"/>
                <w14:ligatures w14:val="none"/>
              </w:rPr>
              <w:t>up-to-date (UTD)</w:t>
            </w:r>
            <w:r>
              <w:rPr>
                <w:rFonts w:ascii="Calibri" w:eastAsia="Times New Roman" w:hAnsi="Calibri" w:cs="Calibri"/>
                <w:color w:val="000000"/>
                <w:kern w:val="0"/>
                <w:sz w:val="16"/>
                <w:szCs w:val="16"/>
                <w14:ligatures w14:val="none"/>
              </w:rPr>
              <w:t xml:space="preserve"> yearly with influenza vaccination and therefore should have received at least one influenza vaccine during queried period</w:t>
            </w:r>
            <w:r w:rsidR="00C53050">
              <w:rPr>
                <w:rFonts w:ascii="Calibri" w:eastAsia="Times New Roman" w:hAnsi="Calibri" w:cs="Calibri"/>
                <w:color w:val="000000"/>
                <w:kern w:val="0"/>
                <w:sz w:val="16"/>
                <w:szCs w:val="16"/>
                <w14:ligatures w14:val="none"/>
              </w:rPr>
              <w:t>.</w:t>
            </w:r>
          </w:p>
          <w:p w14:paraId="6B028412" w14:textId="1B093563" w:rsidR="00776154" w:rsidRDefault="00993264" w:rsidP="005C730F">
            <w:pPr>
              <w:spacing w:after="0" w:line="240" w:lineRule="auto"/>
              <w:rPr>
                <w:rFonts w:ascii="Calibri" w:eastAsia="Times New Roman" w:hAnsi="Calibri" w:cs="Calibri"/>
                <w:color w:val="000000"/>
                <w:kern w:val="0"/>
                <w:sz w:val="16"/>
                <w:szCs w:val="16"/>
                <w:vertAlign w:val="superscript"/>
                <w14:ligatures w14:val="none"/>
              </w:rPr>
            </w:pPr>
            <w:r>
              <w:rPr>
                <w:rFonts w:ascii="Calibri" w:eastAsia="Times New Roman" w:hAnsi="Calibri" w:cs="Calibri"/>
                <w:b/>
                <w:bCs/>
                <w:color w:val="000000"/>
                <w:kern w:val="0"/>
                <w:sz w:val="16"/>
                <w:szCs w:val="16"/>
                <w14:ligatures w14:val="none"/>
              </w:rPr>
              <w:t>Recombinant Zoster</w:t>
            </w:r>
            <w:r w:rsidR="00776154">
              <w:rPr>
                <w:rFonts w:ascii="Calibri" w:eastAsia="Times New Roman" w:hAnsi="Calibri" w:cs="Calibri"/>
                <w:color w:val="000000"/>
                <w:kern w:val="0"/>
                <w:sz w:val="16"/>
                <w:szCs w:val="16"/>
                <w14:ligatures w14:val="none"/>
              </w:rPr>
              <w:t>: Released in October 2017. (Dates queried: 10/2017 – 10/2023</w:t>
            </w:r>
            <w:r w:rsidR="00C53050">
              <w:rPr>
                <w:rFonts w:ascii="Calibri" w:eastAsia="Times New Roman" w:hAnsi="Calibri" w:cs="Calibri"/>
                <w:color w:val="000000"/>
                <w:kern w:val="0"/>
                <w:sz w:val="16"/>
                <w:szCs w:val="16"/>
                <w14:ligatures w14:val="none"/>
              </w:rPr>
              <w:t>)</w:t>
            </w:r>
            <w:r w:rsidR="00776154">
              <w:rPr>
                <w:rFonts w:ascii="Calibri" w:eastAsia="Times New Roman" w:hAnsi="Calibri" w:cs="Calibri"/>
                <w:color w:val="000000"/>
                <w:kern w:val="0"/>
                <w:sz w:val="16"/>
                <w:szCs w:val="16"/>
                <w14:ligatures w14:val="none"/>
              </w:rPr>
              <w:t xml:space="preserve">. Rates of </w:t>
            </w:r>
            <w:r>
              <w:rPr>
                <w:rFonts w:ascii="Calibri" w:eastAsia="Times New Roman" w:hAnsi="Calibri" w:cs="Calibri"/>
                <w:color w:val="000000"/>
                <w:kern w:val="0"/>
                <w:sz w:val="16"/>
                <w:szCs w:val="16"/>
                <w14:ligatures w14:val="none"/>
              </w:rPr>
              <w:t>recombinant zoster</w:t>
            </w:r>
            <w:r w:rsidR="00776154">
              <w:rPr>
                <w:rFonts w:ascii="Calibri" w:eastAsia="Times New Roman" w:hAnsi="Calibri" w:cs="Calibri"/>
                <w:color w:val="000000"/>
                <w:kern w:val="0"/>
                <w:sz w:val="16"/>
                <w:szCs w:val="16"/>
                <w14:ligatures w14:val="none"/>
              </w:rPr>
              <w:t xml:space="preserve"> alone were determined, and not </w:t>
            </w:r>
            <w:r>
              <w:rPr>
                <w:rFonts w:ascii="Calibri" w:eastAsia="Times New Roman" w:hAnsi="Calibri" w:cs="Calibri"/>
                <w:color w:val="000000"/>
                <w:kern w:val="0"/>
                <w:sz w:val="16"/>
                <w:szCs w:val="16"/>
                <w14:ligatures w14:val="none"/>
              </w:rPr>
              <w:t>zoster vaccine live (ZVL)</w:t>
            </w:r>
            <w:r w:rsidR="00776154">
              <w:rPr>
                <w:rFonts w:ascii="Calibri" w:eastAsia="Times New Roman" w:hAnsi="Calibri" w:cs="Calibri"/>
                <w:color w:val="000000"/>
                <w:kern w:val="0"/>
                <w:sz w:val="16"/>
                <w:szCs w:val="16"/>
                <w14:ligatures w14:val="none"/>
              </w:rPr>
              <w:t xml:space="preserve"> or </w:t>
            </w:r>
            <w:r>
              <w:rPr>
                <w:rFonts w:ascii="Calibri" w:eastAsia="Times New Roman" w:hAnsi="Calibri" w:cs="Calibri"/>
                <w:color w:val="000000"/>
                <w:kern w:val="0"/>
                <w:sz w:val="16"/>
                <w:szCs w:val="16"/>
                <w14:ligatures w14:val="none"/>
              </w:rPr>
              <w:t>ZVL</w:t>
            </w:r>
            <w:r w:rsidR="00776154">
              <w:rPr>
                <w:rFonts w:ascii="Calibri" w:eastAsia="Times New Roman" w:hAnsi="Calibri" w:cs="Calibri"/>
                <w:color w:val="000000"/>
                <w:kern w:val="0"/>
                <w:sz w:val="16"/>
                <w:szCs w:val="16"/>
                <w14:ligatures w14:val="none"/>
              </w:rPr>
              <w:t xml:space="preserve">+ </w:t>
            </w:r>
            <w:r>
              <w:rPr>
                <w:rFonts w:ascii="Calibri" w:eastAsia="Times New Roman" w:hAnsi="Calibri" w:cs="Calibri"/>
                <w:color w:val="000000"/>
                <w:kern w:val="0"/>
                <w:sz w:val="16"/>
                <w:szCs w:val="16"/>
                <w14:ligatures w14:val="none"/>
              </w:rPr>
              <w:t xml:space="preserve">recombinant zoster vaccine, </w:t>
            </w:r>
            <w:r w:rsidR="00776154">
              <w:rPr>
                <w:rFonts w:ascii="Calibri" w:eastAsia="Times New Roman" w:hAnsi="Calibri" w:cs="Calibri"/>
                <w:color w:val="000000"/>
                <w:kern w:val="0"/>
                <w:sz w:val="16"/>
                <w:szCs w:val="16"/>
                <w14:ligatures w14:val="none"/>
              </w:rPr>
              <w:t xml:space="preserve">as </w:t>
            </w:r>
            <w:r>
              <w:rPr>
                <w:rFonts w:ascii="Calibri" w:eastAsia="Times New Roman" w:hAnsi="Calibri" w:cs="Calibri"/>
                <w:color w:val="000000"/>
                <w:kern w:val="0"/>
                <w:sz w:val="16"/>
                <w:szCs w:val="16"/>
                <w14:ligatures w14:val="none"/>
              </w:rPr>
              <w:t>the recombinant zoster vaccine</w:t>
            </w:r>
            <w:r w:rsidR="00776154">
              <w:rPr>
                <w:rFonts w:ascii="Calibri" w:eastAsia="Times New Roman" w:hAnsi="Calibri" w:cs="Calibri"/>
                <w:color w:val="000000"/>
                <w:kern w:val="0"/>
                <w:sz w:val="16"/>
                <w:szCs w:val="16"/>
                <w14:ligatures w14:val="none"/>
              </w:rPr>
              <w:t xml:space="preserve"> has been shown to have superior efficacy, compared to</w:t>
            </w:r>
            <w:r>
              <w:rPr>
                <w:rFonts w:ascii="Calibri" w:eastAsia="Times New Roman" w:hAnsi="Calibri" w:cs="Calibri"/>
                <w:color w:val="000000"/>
                <w:kern w:val="0"/>
                <w:sz w:val="16"/>
                <w:szCs w:val="16"/>
                <w14:ligatures w14:val="none"/>
              </w:rPr>
              <w:t xml:space="preserve"> ZVL</w:t>
            </w:r>
            <w:r w:rsidR="00776154">
              <w:rPr>
                <w:rFonts w:ascii="Calibri" w:eastAsia="Times New Roman" w:hAnsi="Calibri" w:cs="Calibri"/>
                <w:color w:val="000000"/>
                <w:kern w:val="0"/>
                <w:sz w:val="16"/>
                <w:szCs w:val="16"/>
                <w14:ligatures w14:val="none"/>
              </w:rPr>
              <w:t xml:space="preserve">. Patients can receive </w:t>
            </w:r>
            <w:r>
              <w:rPr>
                <w:rFonts w:ascii="Calibri" w:eastAsia="Times New Roman" w:hAnsi="Calibri" w:cs="Calibri"/>
                <w:color w:val="000000"/>
                <w:kern w:val="0"/>
                <w:sz w:val="16"/>
                <w:szCs w:val="16"/>
                <w14:ligatures w14:val="none"/>
              </w:rPr>
              <w:t>recombinant zoster vaccine</w:t>
            </w:r>
            <w:r w:rsidR="00776154">
              <w:rPr>
                <w:rFonts w:ascii="Calibri" w:eastAsia="Times New Roman" w:hAnsi="Calibri" w:cs="Calibri"/>
                <w:color w:val="000000"/>
                <w:kern w:val="0"/>
                <w:sz w:val="16"/>
                <w:szCs w:val="16"/>
                <w14:ligatures w14:val="none"/>
              </w:rPr>
              <w:t xml:space="preserve"> after receiving </w:t>
            </w:r>
            <w:r>
              <w:rPr>
                <w:rFonts w:ascii="Calibri" w:eastAsia="Times New Roman" w:hAnsi="Calibri" w:cs="Calibri"/>
                <w:color w:val="000000"/>
                <w:kern w:val="0"/>
                <w:sz w:val="16"/>
                <w:szCs w:val="16"/>
                <w14:ligatures w14:val="none"/>
              </w:rPr>
              <w:t>ZVL</w:t>
            </w:r>
            <w:r w:rsidR="00776154">
              <w:rPr>
                <w:rFonts w:ascii="Calibri" w:eastAsia="Times New Roman" w:hAnsi="Calibri" w:cs="Calibri"/>
                <w:color w:val="000000"/>
                <w:kern w:val="0"/>
                <w:sz w:val="16"/>
                <w:szCs w:val="16"/>
                <w14:ligatures w14:val="none"/>
              </w:rPr>
              <w:t>.</w:t>
            </w:r>
            <w:r w:rsidR="00776154">
              <w:rPr>
                <w:rFonts w:ascii="Calibri" w:eastAsia="Times New Roman" w:hAnsi="Calibri" w:cs="Calibri"/>
                <w:color w:val="000000"/>
                <w:kern w:val="0"/>
                <w:sz w:val="16"/>
                <w:szCs w:val="16"/>
                <w:vertAlign w:val="superscript"/>
                <w14:ligatures w14:val="none"/>
              </w:rPr>
              <w:t>1</w:t>
            </w:r>
          </w:p>
          <w:p w14:paraId="5A919548" w14:textId="77777777" w:rsidR="00776154" w:rsidRPr="00615E38" w:rsidRDefault="00776154" w:rsidP="005C730F">
            <w:pPr>
              <w:spacing w:after="0" w:line="240" w:lineRule="auto"/>
              <w:rPr>
                <w:rFonts w:ascii="Calibri" w:eastAsia="Times New Roman" w:hAnsi="Calibri" w:cs="Calibri"/>
                <w:color w:val="000000"/>
                <w:kern w:val="0"/>
                <w:sz w:val="16"/>
                <w:szCs w:val="16"/>
                <w14:ligatures w14:val="none"/>
              </w:rPr>
            </w:pPr>
            <w:r w:rsidRPr="005C730F">
              <w:rPr>
                <w:rFonts w:ascii="Calibri" w:eastAsia="Times New Roman" w:hAnsi="Calibri" w:cs="Calibri"/>
                <w:b/>
                <w:bCs/>
                <w:color w:val="000000"/>
                <w:kern w:val="0"/>
                <w:sz w:val="16"/>
                <w:szCs w:val="16"/>
                <w14:ligatures w14:val="none"/>
              </w:rPr>
              <w:t>Pneumococcal</w:t>
            </w:r>
            <w:r>
              <w:rPr>
                <w:rFonts w:ascii="Calibri" w:eastAsia="Times New Roman" w:hAnsi="Calibri" w:cs="Calibri"/>
                <w:color w:val="000000"/>
                <w:kern w:val="0"/>
                <w:sz w:val="16"/>
                <w:szCs w:val="16"/>
                <w14:ligatures w14:val="none"/>
              </w:rPr>
              <w:t xml:space="preserve">: According to the CDC, among patients with immunocompromising conditions, a schedule of between 1-4 pneumococcal vaccines is recommended, depending on prior pneumococcal vaccinations. Many iterations of pneumococcal vaccines have been released (PCV20, PPSV23, PCV13, PCV15). For this study, we determined rates of vaccination among patients prescribed biologics or small molecule inhibitors of at least </w:t>
            </w:r>
            <w:r w:rsidRPr="00615E38">
              <w:rPr>
                <w:rFonts w:ascii="Calibri" w:eastAsia="Times New Roman" w:hAnsi="Calibri" w:cs="Calibri"/>
                <w:color w:val="000000"/>
                <w:kern w:val="0"/>
                <w:sz w:val="16"/>
                <w:szCs w:val="16"/>
                <w:u w:val="single"/>
                <w14:ligatures w14:val="none"/>
              </w:rPr>
              <w:t>one</w:t>
            </w:r>
            <w:r>
              <w:rPr>
                <w:rFonts w:ascii="Calibri" w:eastAsia="Times New Roman" w:hAnsi="Calibri" w:cs="Calibri"/>
                <w:color w:val="000000"/>
                <w:kern w:val="0"/>
                <w:sz w:val="16"/>
                <w:szCs w:val="16"/>
                <w14:ligatures w14:val="none"/>
              </w:rPr>
              <w:t xml:space="preserve"> pneumococcal vaccine within the last twenty years, and this was the farthest date back our database could reasonably search (Dates queried: 10/2003 – 10/2023).</w:t>
            </w:r>
          </w:p>
          <w:p w14:paraId="1E18D6FB" w14:textId="454306A6" w:rsidR="00776154" w:rsidRDefault="00776154" w:rsidP="00D249FF">
            <w:pPr>
              <w:spacing w:after="0" w:line="240" w:lineRule="auto"/>
              <w:rPr>
                <w:rFonts w:ascii="Calibri" w:eastAsia="Times New Roman" w:hAnsi="Calibri" w:cs="Calibri"/>
                <w:color w:val="000000"/>
                <w:kern w:val="0"/>
                <w:sz w:val="16"/>
                <w:szCs w:val="16"/>
                <w14:ligatures w14:val="none"/>
              </w:rPr>
            </w:pPr>
            <w:r w:rsidRPr="005C730F">
              <w:rPr>
                <w:rFonts w:ascii="Calibri" w:eastAsia="Times New Roman" w:hAnsi="Calibri" w:cs="Calibri"/>
                <w:b/>
                <w:bCs/>
                <w:color w:val="000000"/>
                <w:kern w:val="0"/>
                <w:sz w:val="16"/>
                <w:szCs w:val="16"/>
                <w14:ligatures w14:val="none"/>
              </w:rPr>
              <w:t>COVID-19</w:t>
            </w:r>
            <w:r>
              <w:rPr>
                <w:rFonts w:ascii="Calibri" w:eastAsia="Times New Roman" w:hAnsi="Calibri" w:cs="Calibri"/>
                <w:color w:val="000000"/>
                <w:kern w:val="0"/>
                <w:sz w:val="16"/>
                <w:szCs w:val="16"/>
                <w14:ligatures w14:val="none"/>
              </w:rPr>
              <w:t>: Released in 12/2020 (Dates queried: 12/2020 – 10/2023</w:t>
            </w:r>
            <w:r w:rsidR="00C53050">
              <w:rPr>
                <w:rFonts w:ascii="Calibri" w:eastAsia="Times New Roman" w:hAnsi="Calibri" w:cs="Calibri"/>
                <w:color w:val="000000"/>
                <w:kern w:val="0"/>
                <w:sz w:val="16"/>
                <w:szCs w:val="16"/>
                <w14:ligatures w14:val="none"/>
              </w:rPr>
              <w:t>).</w:t>
            </w:r>
            <w:r>
              <w:rPr>
                <w:rFonts w:ascii="Calibri" w:eastAsia="Times New Roman" w:hAnsi="Calibri" w:cs="Calibri"/>
                <w:color w:val="000000"/>
                <w:kern w:val="0"/>
                <w:sz w:val="16"/>
                <w:szCs w:val="16"/>
                <w14:ligatures w14:val="none"/>
              </w:rPr>
              <w:t xml:space="preserve"> </w:t>
            </w:r>
            <w:r w:rsidR="00C53050">
              <w:rPr>
                <w:rFonts w:ascii="Calibri" w:eastAsia="Times New Roman" w:hAnsi="Calibri" w:cs="Calibri"/>
                <w:color w:val="000000"/>
                <w:kern w:val="0"/>
                <w:sz w:val="16"/>
                <w:szCs w:val="16"/>
                <w14:ligatures w14:val="none"/>
              </w:rPr>
              <w:t>A</w:t>
            </w:r>
            <w:r>
              <w:rPr>
                <w:rFonts w:ascii="Calibri" w:eastAsia="Times New Roman" w:hAnsi="Calibri" w:cs="Calibri"/>
                <w:color w:val="000000"/>
                <w:kern w:val="0"/>
                <w:sz w:val="16"/>
                <w:szCs w:val="16"/>
                <w14:ligatures w14:val="none"/>
              </w:rPr>
              <w:t>s an UTD COVID-19 vaccination series is recommended in all patients on biologics/</w:t>
            </w:r>
            <w:r w:rsidR="00C53050">
              <w:rPr>
                <w:rFonts w:ascii="Calibri" w:eastAsia="Times New Roman" w:hAnsi="Calibri" w:cs="Calibri"/>
                <w:color w:val="000000"/>
                <w:kern w:val="0"/>
                <w:sz w:val="16"/>
                <w:szCs w:val="16"/>
                <w14:ligatures w14:val="none"/>
              </w:rPr>
              <w:t>JAK</w:t>
            </w:r>
            <w:r>
              <w:rPr>
                <w:rFonts w:ascii="Calibri" w:eastAsia="Times New Roman" w:hAnsi="Calibri" w:cs="Calibri"/>
                <w:color w:val="000000"/>
                <w:kern w:val="0"/>
                <w:sz w:val="16"/>
                <w:szCs w:val="16"/>
                <w14:ligatures w14:val="none"/>
              </w:rPr>
              <w:t xml:space="preserve"> inhibitors. Our query simply sought to determine the number of patients who have obtained at least </w:t>
            </w:r>
            <w:r w:rsidRPr="00824CD4">
              <w:rPr>
                <w:rFonts w:ascii="Calibri" w:eastAsia="Times New Roman" w:hAnsi="Calibri" w:cs="Calibri"/>
                <w:color w:val="000000"/>
                <w:kern w:val="0"/>
                <w:sz w:val="16"/>
                <w:szCs w:val="16"/>
                <w:u w:val="single"/>
                <w14:ligatures w14:val="none"/>
              </w:rPr>
              <w:t>one</w:t>
            </w:r>
            <w:r>
              <w:rPr>
                <w:rFonts w:ascii="Calibri" w:eastAsia="Times New Roman" w:hAnsi="Calibri" w:cs="Calibri"/>
                <w:color w:val="000000"/>
                <w:kern w:val="0"/>
                <w:sz w:val="16"/>
                <w:szCs w:val="16"/>
                <w14:ligatures w14:val="none"/>
              </w:rPr>
              <w:t xml:space="preserve"> COVID-19 vaccination over the course of its availability. </w:t>
            </w:r>
          </w:p>
          <w:p w14:paraId="39FC1D45" w14:textId="77777777" w:rsidR="00776154" w:rsidRDefault="00776154" w:rsidP="00D249FF">
            <w:pPr>
              <w:spacing w:after="0" w:line="240" w:lineRule="auto"/>
              <w:rPr>
                <w:rFonts w:ascii="Calibri" w:eastAsia="Times New Roman" w:hAnsi="Calibri" w:cs="Calibri"/>
                <w:color w:val="000000"/>
                <w:kern w:val="0"/>
                <w:sz w:val="16"/>
                <w:szCs w:val="16"/>
                <w14:ligatures w14:val="none"/>
              </w:rPr>
            </w:pPr>
          </w:p>
          <w:p w14:paraId="2DC5D0E8" w14:textId="17FBC1DA" w:rsidR="00776154" w:rsidRPr="005C730F" w:rsidRDefault="00776154" w:rsidP="00D249FF">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color w:val="000000"/>
                <w:kern w:val="0"/>
                <w:sz w:val="16"/>
                <w:szCs w:val="16"/>
                <w14:ligatures w14:val="none"/>
              </w:rPr>
              <w:t xml:space="preserve">For each population, the data was also stratified by those 19 – 64 years old, vs. those </w:t>
            </w:r>
            <w:r w:rsidRPr="001B249F">
              <w:rPr>
                <w:rFonts w:ascii="Calibri" w:eastAsia="Times New Roman" w:hAnsi="Calibri" w:cs="Calibri"/>
                <w:color w:val="000000"/>
                <w:kern w:val="0"/>
                <w:sz w:val="16"/>
                <w:szCs w:val="16"/>
                <w14:ligatures w14:val="none"/>
              </w:rPr>
              <w:t>≥65 years-old</w:t>
            </w:r>
            <w:r>
              <w:rPr>
                <w:rFonts w:ascii="Calibri" w:eastAsia="Times New Roman" w:hAnsi="Calibri" w:cs="Calibri"/>
                <w:color w:val="000000"/>
                <w:kern w:val="0"/>
                <w:sz w:val="16"/>
                <w:szCs w:val="16"/>
                <w14:ligatures w14:val="none"/>
              </w:rPr>
              <w:t>, to determine age-related vaccination differences.</w:t>
            </w:r>
          </w:p>
        </w:tc>
      </w:tr>
      <w:tr w:rsidR="00776154" w:rsidRPr="00C25F47" w14:paraId="05CB3EB3" w14:textId="18EC0F67" w:rsidTr="00776154">
        <w:trPr>
          <w:trHeight w:val="290"/>
        </w:trPr>
        <w:tc>
          <w:tcPr>
            <w:tcW w:w="8073" w:type="dxa"/>
            <w:gridSpan w:val="4"/>
            <w:tcBorders>
              <w:top w:val="single" w:sz="18" w:space="0" w:color="auto"/>
              <w:bottom w:val="single" w:sz="18" w:space="0" w:color="auto"/>
            </w:tcBorders>
            <w:shd w:val="clear" w:color="auto" w:fill="auto"/>
            <w:noWrap/>
            <w:vAlign w:val="bottom"/>
            <w:hideMark/>
          </w:tcPr>
          <w:p w14:paraId="0923792E" w14:textId="07090D01" w:rsidR="00776154" w:rsidRDefault="00776154" w:rsidP="00025A51">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Hepatitis B Testing Data</w:t>
            </w:r>
          </w:p>
          <w:p w14:paraId="1C852AEF" w14:textId="09038AEA" w:rsidR="00776154" w:rsidRPr="00C25F47" w:rsidRDefault="00776154" w:rsidP="00025A51">
            <w:pPr>
              <w:spacing w:after="0" w:line="240" w:lineRule="auto"/>
              <w:rPr>
                <w:rFonts w:ascii="Calibri" w:eastAsia="Times New Roman" w:hAnsi="Calibri" w:cs="Calibri"/>
                <w:color w:val="000000"/>
                <w:kern w:val="0"/>
                <w:sz w:val="16"/>
                <w:szCs w:val="16"/>
                <w14:ligatures w14:val="none"/>
              </w:rPr>
            </w:pPr>
          </w:p>
        </w:tc>
        <w:tc>
          <w:tcPr>
            <w:tcW w:w="1980" w:type="dxa"/>
            <w:tcBorders>
              <w:top w:val="single" w:sz="18" w:space="0" w:color="auto"/>
              <w:bottom w:val="single" w:sz="18" w:space="0" w:color="auto"/>
            </w:tcBorders>
          </w:tcPr>
          <w:p w14:paraId="3317A1F5" w14:textId="77777777" w:rsidR="00776154" w:rsidRDefault="00776154" w:rsidP="00025A51">
            <w:pPr>
              <w:spacing w:after="0" w:line="240" w:lineRule="auto"/>
              <w:rPr>
                <w:rFonts w:ascii="Calibri" w:eastAsia="Times New Roman" w:hAnsi="Calibri" w:cs="Calibri"/>
                <w:b/>
                <w:bCs/>
                <w:color w:val="000000"/>
                <w:kern w:val="0"/>
                <w:sz w:val="16"/>
                <w:szCs w:val="16"/>
                <w14:ligatures w14:val="none"/>
              </w:rPr>
            </w:pPr>
          </w:p>
        </w:tc>
      </w:tr>
      <w:tr w:rsidR="00776154" w:rsidRPr="00C25F47" w14:paraId="5D8B3374" w14:textId="2CAD0F0B" w:rsidTr="00993264">
        <w:trPr>
          <w:trHeight w:val="290"/>
        </w:trPr>
        <w:tc>
          <w:tcPr>
            <w:tcW w:w="2264" w:type="dxa"/>
            <w:tcBorders>
              <w:top w:val="single" w:sz="18" w:space="0" w:color="auto"/>
              <w:bottom w:val="single" w:sz="8" w:space="0" w:color="auto"/>
            </w:tcBorders>
            <w:shd w:val="clear" w:color="auto" w:fill="auto"/>
            <w:noWrap/>
            <w:vAlign w:val="bottom"/>
          </w:tcPr>
          <w:p w14:paraId="7733E6B0" w14:textId="0BDA1B3B" w:rsidR="00776154" w:rsidRDefault="00776154" w:rsidP="0078369B">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Diagnosis</w:t>
            </w:r>
          </w:p>
        </w:tc>
        <w:tc>
          <w:tcPr>
            <w:tcW w:w="1579" w:type="dxa"/>
            <w:tcBorders>
              <w:top w:val="single" w:sz="18" w:space="0" w:color="auto"/>
              <w:bottom w:val="single" w:sz="8" w:space="0" w:color="auto"/>
            </w:tcBorders>
            <w:shd w:val="clear" w:color="auto" w:fill="auto"/>
            <w:noWrap/>
            <w:vAlign w:val="bottom"/>
          </w:tcPr>
          <w:p w14:paraId="1D25E500" w14:textId="558537A4" w:rsidR="00776154" w:rsidRPr="00D56E53" w:rsidRDefault="00776154" w:rsidP="00D56E53">
            <w:pPr>
              <w:spacing w:after="0" w:line="240" w:lineRule="auto"/>
              <w:jc w:val="center"/>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Atopic Dermatitis</w:t>
            </w:r>
          </w:p>
        </w:tc>
        <w:tc>
          <w:tcPr>
            <w:tcW w:w="1980" w:type="dxa"/>
            <w:tcBorders>
              <w:top w:val="single" w:sz="18" w:space="0" w:color="auto"/>
              <w:bottom w:val="single" w:sz="8" w:space="0" w:color="auto"/>
            </w:tcBorders>
            <w:shd w:val="clear" w:color="auto" w:fill="auto"/>
            <w:noWrap/>
            <w:vAlign w:val="bottom"/>
          </w:tcPr>
          <w:p w14:paraId="51CEFC9A" w14:textId="29783493" w:rsidR="00776154" w:rsidRPr="00D56E53" w:rsidRDefault="00776154" w:rsidP="0078369B">
            <w:pPr>
              <w:spacing w:after="0" w:line="240" w:lineRule="auto"/>
              <w:jc w:val="center"/>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Psoriasis</w:t>
            </w:r>
          </w:p>
        </w:tc>
        <w:tc>
          <w:tcPr>
            <w:tcW w:w="2250" w:type="dxa"/>
            <w:tcBorders>
              <w:top w:val="single" w:sz="18" w:space="0" w:color="auto"/>
              <w:bottom w:val="single" w:sz="8" w:space="0" w:color="auto"/>
            </w:tcBorders>
            <w:shd w:val="clear" w:color="auto" w:fill="auto"/>
            <w:noWrap/>
            <w:vAlign w:val="bottom"/>
          </w:tcPr>
          <w:p w14:paraId="0CBD845A" w14:textId="67726291" w:rsidR="00776154" w:rsidRPr="00D56E53" w:rsidRDefault="00776154" w:rsidP="00D56E53">
            <w:pPr>
              <w:spacing w:after="0" w:line="240" w:lineRule="auto"/>
              <w:jc w:val="center"/>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Psoriatic Arthritis</w:t>
            </w:r>
          </w:p>
        </w:tc>
        <w:tc>
          <w:tcPr>
            <w:tcW w:w="1980" w:type="dxa"/>
            <w:tcBorders>
              <w:top w:val="single" w:sz="18" w:space="0" w:color="auto"/>
              <w:bottom w:val="single" w:sz="8" w:space="0" w:color="auto"/>
            </w:tcBorders>
          </w:tcPr>
          <w:p w14:paraId="781F67E2" w14:textId="77777777" w:rsidR="00776154" w:rsidRDefault="00776154" w:rsidP="00D56E53">
            <w:pPr>
              <w:spacing w:after="0" w:line="240" w:lineRule="auto"/>
              <w:jc w:val="center"/>
              <w:rPr>
                <w:rFonts w:ascii="Calibri" w:eastAsia="Times New Roman" w:hAnsi="Calibri" w:cs="Calibri"/>
                <w:b/>
                <w:bCs/>
                <w:color w:val="000000"/>
                <w:kern w:val="0"/>
                <w:sz w:val="16"/>
                <w:szCs w:val="16"/>
                <w14:ligatures w14:val="none"/>
              </w:rPr>
            </w:pPr>
          </w:p>
          <w:p w14:paraId="0626E713" w14:textId="19629AD1" w:rsidR="00776154" w:rsidRDefault="00776154" w:rsidP="00D56E53">
            <w:pPr>
              <w:spacing w:after="0" w:line="240" w:lineRule="auto"/>
              <w:jc w:val="center"/>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Alopecia Areata</w:t>
            </w:r>
          </w:p>
        </w:tc>
      </w:tr>
      <w:tr w:rsidR="00776154" w:rsidRPr="00C25F47" w14:paraId="0D2CAF8E" w14:textId="1D7B81B8" w:rsidTr="00993264">
        <w:trPr>
          <w:trHeight w:val="290"/>
        </w:trPr>
        <w:tc>
          <w:tcPr>
            <w:tcW w:w="2264" w:type="dxa"/>
            <w:tcBorders>
              <w:top w:val="single" w:sz="8" w:space="0" w:color="auto"/>
              <w:bottom w:val="single" w:sz="8" w:space="0" w:color="auto"/>
            </w:tcBorders>
            <w:shd w:val="clear" w:color="auto" w:fill="auto"/>
            <w:noWrap/>
            <w:vAlign w:val="bottom"/>
          </w:tcPr>
          <w:p w14:paraId="192212A8" w14:textId="123EE9EA" w:rsidR="00776154" w:rsidRDefault="00776154" w:rsidP="0078369B">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Biologics/Small Molecule Inhibitors</w:t>
            </w:r>
          </w:p>
        </w:tc>
        <w:tc>
          <w:tcPr>
            <w:tcW w:w="1579" w:type="dxa"/>
            <w:tcBorders>
              <w:top w:val="single" w:sz="8" w:space="0" w:color="auto"/>
              <w:bottom w:val="single" w:sz="8" w:space="0" w:color="auto"/>
            </w:tcBorders>
            <w:shd w:val="clear" w:color="auto" w:fill="auto"/>
            <w:noWrap/>
            <w:vAlign w:val="bottom"/>
          </w:tcPr>
          <w:p w14:paraId="0A5F700A"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Upadacitinib</w:t>
            </w:r>
          </w:p>
          <w:p w14:paraId="4B327034" w14:textId="42F69935" w:rsidR="00776154" w:rsidRPr="00D56E53"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Abrocitinib</w:t>
            </w:r>
            <w:proofErr w:type="spellEnd"/>
          </w:p>
        </w:tc>
        <w:tc>
          <w:tcPr>
            <w:tcW w:w="1980" w:type="dxa"/>
            <w:tcBorders>
              <w:top w:val="single" w:sz="8" w:space="0" w:color="auto"/>
              <w:bottom w:val="single" w:sz="8" w:space="0" w:color="auto"/>
            </w:tcBorders>
            <w:shd w:val="clear" w:color="auto" w:fill="auto"/>
            <w:noWrap/>
            <w:vAlign w:val="bottom"/>
          </w:tcPr>
          <w:p w14:paraId="3408D76F"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Infliximab</w:t>
            </w:r>
          </w:p>
          <w:p w14:paraId="7D5AF7CD"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Etanercept</w:t>
            </w:r>
          </w:p>
          <w:p w14:paraId="69074511" w14:textId="0E241D71" w:rsidR="00776154" w:rsidRPr="00C25F47"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Adalimumab</w:t>
            </w:r>
          </w:p>
        </w:tc>
        <w:tc>
          <w:tcPr>
            <w:tcW w:w="2250" w:type="dxa"/>
            <w:tcBorders>
              <w:top w:val="single" w:sz="8" w:space="0" w:color="auto"/>
              <w:bottom w:val="single" w:sz="8" w:space="0" w:color="auto"/>
            </w:tcBorders>
            <w:shd w:val="clear" w:color="auto" w:fill="auto"/>
            <w:noWrap/>
            <w:vAlign w:val="bottom"/>
          </w:tcPr>
          <w:p w14:paraId="62DB5307"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Tofacitinib</w:t>
            </w:r>
          </w:p>
          <w:p w14:paraId="2D2A0BCE"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Upadacitinib</w:t>
            </w:r>
          </w:p>
          <w:p w14:paraId="47BE02C4"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Infliximab</w:t>
            </w:r>
          </w:p>
          <w:p w14:paraId="14B858AE"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Etanercept</w:t>
            </w:r>
          </w:p>
          <w:p w14:paraId="56F196A2" w14:textId="4E55762D" w:rsidR="00776154" w:rsidRPr="00C25F47"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Adalimumab</w:t>
            </w:r>
          </w:p>
        </w:tc>
        <w:tc>
          <w:tcPr>
            <w:tcW w:w="1980" w:type="dxa"/>
            <w:tcBorders>
              <w:top w:val="single" w:sz="8" w:space="0" w:color="auto"/>
              <w:bottom w:val="single" w:sz="8" w:space="0" w:color="auto"/>
            </w:tcBorders>
          </w:tcPr>
          <w:p w14:paraId="1AFDA0F7"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
          <w:p w14:paraId="2ED5AF50" w14:textId="77777777"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
          <w:p w14:paraId="3B153E8C" w14:textId="488AD2DF"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Ritlecitinib</w:t>
            </w:r>
            <w:proofErr w:type="spellEnd"/>
          </w:p>
          <w:p w14:paraId="16B9DF67" w14:textId="56B36422" w:rsidR="00776154" w:rsidRDefault="00776154" w:rsidP="0078369B">
            <w:pPr>
              <w:spacing w:after="0" w:line="240" w:lineRule="auto"/>
              <w:jc w:val="center"/>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Baricitinib</w:t>
            </w:r>
          </w:p>
          <w:p w14:paraId="262C4411" w14:textId="3B62DE2D" w:rsidR="00776154" w:rsidRDefault="00776154" w:rsidP="0078369B">
            <w:pPr>
              <w:spacing w:after="0" w:line="240" w:lineRule="auto"/>
              <w:jc w:val="center"/>
              <w:rPr>
                <w:rFonts w:ascii="Calibri" w:eastAsia="Times New Roman" w:hAnsi="Calibri" w:cs="Calibri"/>
                <w:color w:val="000000"/>
                <w:kern w:val="0"/>
                <w:sz w:val="16"/>
                <w:szCs w:val="16"/>
                <w14:ligatures w14:val="none"/>
              </w:rPr>
            </w:pPr>
            <w:proofErr w:type="spellStart"/>
            <w:r>
              <w:rPr>
                <w:rFonts w:ascii="Calibri" w:eastAsia="Times New Roman" w:hAnsi="Calibri" w:cs="Calibri"/>
                <w:color w:val="000000"/>
                <w:kern w:val="0"/>
                <w:sz w:val="16"/>
                <w:szCs w:val="16"/>
                <w14:ligatures w14:val="none"/>
              </w:rPr>
              <w:t>Abrocitinib</w:t>
            </w:r>
            <w:proofErr w:type="spellEnd"/>
          </w:p>
        </w:tc>
      </w:tr>
      <w:tr w:rsidR="00776154" w:rsidRPr="00C25F47" w14:paraId="6BBAF639" w14:textId="0B3BF9F3" w:rsidTr="00776154">
        <w:trPr>
          <w:trHeight w:val="290"/>
        </w:trPr>
        <w:tc>
          <w:tcPr>
            <w:tcW w:w="2264" w:type="dxa"/>
            <w:tcBorders>
              <w:top w:val="single" w:sz="8" w:space="0" w:color="auto"/>
              <w:bottom w:val="single" w:sz="8" w:space="0" w:color="auto"/>
            </w:tcBorders>
            <w:shd w:val="clear" w:color="auto" w:fill="auto"/>
            <w:noWrap/>
            <w:vAlign w:val="bottom"/>
          </w:tcPr>
          <w:p w14:paraId="1254D560" w14:textId="628526C9" w:rsidR="00776154" w:rsidRDefault="00776154" w:rsidP="0078369B">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Laboratory Results Searched</w:t>
            </w:r>
          </w:p>
        </w:tc>
        <w:tc>
          <w:tcPr>
            <w:tcW w:w="5809" w:type="dxa"/>
            <w:gridSpan w:val="3"/>
            <w:tcBorders>
              <w:top w:val="single" w:sz="8" w:space="0" w:color="auto"/>
              <w:bottom w:val="single" w:sz="8" w:space="0" w:color="auto"/>
            </w:tcBorders>
            <w:shd w:val="clear" w:color="auto" w:fill="auto"/>
            <w:noWrap/>
            <w:vAlign w:val="bottom"/>
          </w:tcPr>
          <w:p w14:paraId="5B8A8270" w14:textId="212257CA" w:rsidR="00776154" w:rsidRDefault="00776154" w:rsidP="00D56E53">
            <w:p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Abnormal Hepatitis B Surface Antibody Quantification test</w:t>
            </w:r>
          </w:p>
        </w:tc>
        <w:tc>
          <w:tcPr>
            <w:tcW w:w="1980" w:type="dxa"/>
            <w:tcBorders>
              <w:top w:val="single" w:sz="8" w:space="0" w:color="auto"/>
              <w:bottom w:val="single" w:sz="8" w:space="0" w:color="auto"/>
            </w:tcBorders>
          </w:tcPr>
          <w:p w14:paraId="16F0947B" w14:textId="77777777" w:rsidR="00776154" w:rsidRDefault="00776154" w:rsidP="00D56E53">
            <w:pPr>
              <w:spacing w:after="0" w:line="240" w:lineRule="auto"/>
              <w:rPr>
                <w:rFonts w:ascii="Calibri" w:eastAsia="Times New Roman" w:hAnsi="Calibri" w:cs="Calibri"/>
                <w:color w:val="000000"/>
                <w:kern w:val="0"/>
                <w:sz w:val="16"/>
                <w:szCs w:val="16"/>
                <w14:ligatures w14:val="none"/>
              </w:rPr>
            </w:pPr>
          </w:p>
        </w:tc>
      </w:tr>
      <w:tr w:rsidR="00776154" w:rsidRPr="00C25F47" w14:paraId="2F3AB7A8" w14:textId="267CE4D0" w:rsidTr="00776154">
        <w:trPr>
          <w:trHeight w:val="290"/>
        </w:trPr>
        <w:tc>
          <w:tcPr>
            <w:tcW w:w="2264" w:type="dxa"/>
            <w:tcBorders>
              <w:top w:val="single" w:sz="8" w:space="0" w:color="auto"/>
              <w:bottom w:val="single" w:sz="8" w:space="0" w:color="auto"/>
            </w:tcBorders>
            <w:shd w:val="clear" w:color="auto" w:fill="auto"/>
            <w:noWrap/>
            <w:vAlign w:val="bottom"/>
          </w:tcPr>
          <w:p w14:paraId="64E03493" w14:textId="0E58CDAA" w:rsidR="00776154" w:rsidRDefault="00776154" w:rsidP="0078369B">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Vaccination</w:t>
            </w:r>
          </w:p>
        </w:tc>
        <w:tc>
          <w:tcPr>
            <w:tcW w:w="5809" w:type="dxa"/>
            <w:gridSpan w:val="3"/>
            <w:tcBorders>
              <w:top w:val="single" w:sz="8" w:space="0" w:color="auto"/>
              <w:bottom w:val="single" w:sz="8" w:space="0" w:color="auto"/>
            </w:tcBorders>
            <w:shd w:val="clear" w:color="auto" w:fill="auto"/>
            <w:noWrap/>
            <w:vAlign w:val="bottom"/>
          </w:tcPr>
          <w:p w14:paraId="084DE444" w14:textId="4AE15FFF" w:rsidR="00776154" w:rsidRDefault="00776154" w:rsidP="00D56E53">
            <w:p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Follow-up Hepatitis B Vaccination, post-abnormal Hepatitis B SA Quant test.</w:t>
            </w:r>
          </w:p>
        </w:tc>
        <w:tc>
          <w:tcPr>
            <w:tcW w:w="1980" w:type="dxa"/>
            <w:tcBorders>
              <w:top w:val="single" w:sz="8" w:space="0" w:color="auto"/>
              <w:bottom w:val="single" w:sz="8" w:space="0" w:color="auto"/>
            </w:tcBorders>
          </w:tcPr>
          <w:p w14:paraId="2062C6E6" w14:textId="77777777" w:rsidR="00776154" w:rsidRDefault="00776154" w:rsidP="00D56E53">
            <w:pPr>
              <w:spacing w:after="0" w:line="240" w:lineRule="auto"/>
              <w:rPr>
                <w:rFonts w:ascii="Calibri" w:eastAsia="Times New Roman" w:hAnsi="Calibri" w:cs="Calibri"/>
                <w:color w:val="000000"/>
                <w:kern w:val="0"/>
                <w:sz w:val="16"/>
                <w:szCs w:val="16"/>
                <w14:ligatures w14:val="none"/>
              </w:rPr>
            </w:pPr>
          </w:p>
        </w:tc>
      </w:tr>
      <w:tr w:rsidR="00776154" w:rsidRPr="00C25F47" w14:paraId="75EE8F4A" w14:textId="08751609" w:rsidTr="0010172A">
        <w:trPr>
          <w:trHeight w:val="290"/>
        </w:trPr>
        <w:tc>
          <w:tcPr>
            <w:tcW w:w="2264" w:type="dxa"/>
            <w:tcBorders>
              <w:top w:val="single" w:sz="8" w:space="0" w:color="auto"/>
              <w:bottom w:val="single" w:sz="18" w:space="0" w:color="auto"/>
            </w:tcBorders>
            <w:shd w:val="clear" w:color="auto" w:fill="auto"/>
            <w:noWrap/>
            <w:vAlign w:val="bottom"/>
          </w:tcPr>
          <w:p w14:paraId="3BE8CF23" w14:textId="323097F6" w:rsidR="00776154" w:rsidRDefault="00776154" w:rsidP="0078369B">
            <w:pPr>
              <w:spacing w:after="0" w:line="240" w:lineRule="auto"/>
              <w:rPr>
                <w:rFonts w:ascii="Calibri" w:eastAsia="Times New Roman" w:hAnsi="Calibri" w:cs="Calibri"/>
                <w:b/>
                <w:bCs/>
                <w:color w:val="000000"/>
                <w:kern w:val="0"/>
                <w:sz w:val="16"/>
                <w:szCs w:val="16"/>
                <w14:ligatures w14:val="none"/>
              </w:rPr>
            </w:pPr>
            <w:r>
              <w:rPr>
                <w:rFonts w:ascii="Calibri" w:eastAsia="Times New Roman" w:hAnsi="Calibri" w:cs="Calibri"/>
                <w:b/>
                <w:bCs/>
                <w:color w:val="000000"/>
                <w:kern w:val="0"/>
                <w:sz w:val="16"/>
                <w:szCs w:val="16"/>
                <w14:ligatures w14:val="none"/>
              </w:rPr>
              <w:t>Vaccination Dates + Methodology/Reasoning Explained</w:t>
            </w:r>
          </w:p>
        </w:tc>
        <w:tc>
          <w:tcPr>
            <w:tcW w:w="7789" w:type="dxa"/>
            <w:gridSpan w:val="4"/>
            <w:tcBorders>
              <w:top w:val="single" w:sz="8" w:space="0" w:color="auto"/>
              <w:bottom w:val="single" w:sz="18" w:space="0" w:color="auto"/>
            </w:tcBorders>
            <w:shd w:val="clear" w:color="auto" w:fill="auto"/>
            <w:noWrap/>
            <w:vAlign w:val="bottom"/>
          </w:tcPr>
          <w:p w14:paraId="0EDB1EC1" w14:textId="3D986396" w:rsidR="00776154" w:rsidRDefault="00776154" w:rsidP="00D56E53">
            <w:p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 xml:space="preserve">A targeted query for patients with the listed diagnoses, prescribed the following medications, between the dates of 10/2018 – 10/2023 was completed. Among these patients, the number of those with an abnormal Hepatitis B Surface Antibody Quantification laboratory test in that period was determined (therefore indicating a lack of immunity and necessitating follow-up vaccination). Among that cohort of patients, those with a proper follow up immunization vs. lack thereof was quantified. Therefore, the percentage of patients who received an abnormal </w:t>
            </w:r>
            <w:proofErr w:type="spellStart"/>
            <w:r>
              <w:rPr>
                <w:rFonts w:ascii="Calibri" w:eastAsia="Times New Roman" w:hAnsi="Calibri" w:cs="Calibri"/>
                <w:color w:val="000000"/>
                <w:kern w:val="0"/>
                <w:sz w:val="16"/>
                <w:szCs w:val="16"/>
                <w14:ligatures w14:val="none"/>
              </w:rPr>
              <w:t>HepB</w:t>
            </w:r>
            <w:proofErr w:type="spellEnd"/>
            <w:r>
              <w:rPr>
                <w:rFonts w:ascii="Calibri" w:eastAsia="Times New Roman" w:hAnsi="Calibri" w:cs="Calibri"/>
                <w:color w:val="000000"/>
                <w:kern w:val="0"/>
                <w:sz w:val="16"/>
                <w:szCs w:val="16"/>
                <w14:ligatures w14:val="none"/>
              </w:rPr>
              <w:t xml:space="preserve"> SA quantification test and were properly vaccinated was determined and compared to the percentage of patients with an abnormal </w:t>
            </w:r>
            <w:proofErr w:type="spellStart"/>
            <w:r>
              <w:rPr>
                <w:rFonts w:ascii="Calibri" w:eastAsia="Times New Roman" w:hAnsi="Calibri" w:cs="Calibri"/>
                <w:color w:val="000000"/>
                <w:kern w:val="0"/>
                <w:sz w:val="16"/>
                <w:szCs w:val="16"/>
                <w14:ligatures w14:val="none"/>
              </w:rPr>
              <w:t>HepB</w:t>
            </w:r>
            <w:proofErr w:type="spellEnd"/>
            <w:r>
              <w:rPr>
                <w:rFonts w:ascii="Calibri" w:eastAsia="Times New Roman" w:hAnsi="Calibri" w:cs="Calibri"/>
                <w:color w:val="000000"/>
                <w:kern w:val="0"/>
                <w:sz w:val="16"/>
                <w:szCs w:val="16"/>
                <w14:ligatures w14:val="none"/>
              </w:rPr>
              <w:t xml:space="preserve"> SA Quantification test who did not receive proper follow-up vaccination.</w:t>
            </w:r>
          </w:p>
        </w:tc>
      </w:tr>
    </w:tbl>
    <w:p w14:paraId="03D17860" w14:textId="77777777" w:rsidR="00BE4C28" w:rsidRDefault="00696DA9" w:rsidP="00BE4C28">
      <w:pPr>
        <w:spacing w:after="0"/>
        <w:rPr>
          <w:sz w:val="18"/>
          <w:szCs w:val="18"/>
        </w:rPr>
      </w:pPr>
      <w:r w:rsidRPr="00696DA9">
        <w:rPr>
          <w:sz w:val="18"/>
          <w:szCs w:val="18"/>
        </w:rPr>
        <w:t xml:space="preserve">Supplemental Table 1 </w:t>
      </w:r>
      <w:r>
        <w:rPr>
          <w:sz w:val="18"/>
          <w:szCs w:val="18"/>
        </w:rPr>
        <w:t>–</w:t>
      </w:r>
      <w:r w:rsidRPr="00696DA9">
        <w:rPr>
          <w:sz w:val="18"/>
          <w:szCs w:val="18"/>
        </w:rPr>
        <w:t xml:space="preserve"> </w:t>
      </w:r>
      <w:r>
        <w:rPr>
          <w:sz w:val="18"/>
          <w:szCs w:val="18"/>
        </w:rPr>
        <w:t xml:space="preserve">This table shows the diagnoses, medications, vaccinations, and dates that were queried to obtain the information supplied in Table 1. </w:t>
      </w:r>
    </w:p>
    <w:p w14:paraId="5E3BE43F" w14:textId="42487249" w:rsidR="00BE4C28" w:rsidRDefault="00696DA9" w:rsidP="00BE4C28">
      <w:pPr>
        <w:spacing w:after="0"/>
        <w:rPr>
          <w:sz w:val="18"/>
          <w:szCs w:val="18"/>
        </w:rPr>
      </w:pPr>
      <w:r>
        <w:rPr>
          <w:sz w:val="18"/>
          <w:szCs w:val="18"/>
        </w:rPr>
        <w:lastRenderedPageBreak/>
        <w:t>ICD Codes Included:</w:t>
      </w:r>
      <w:r w:rsidR="00BE4C28">
        <w:rPr>
          <w:sz w:val="18"/>
          <w:szCs w:val="18"/>
        </w:rPr>
        <w:t xml:space="preserve"> </w:t>
      </w:r>
      <w:r w:rsidRPr="00BE4C28">
        <w:rPr>
          <w:b/>
          <w:bCs/>
          <w:sz w:val="18"/>
          <w:szCs w:val="18"/>
        </w:rPr>
        <w:t>Atopic Dermatitis</w:t>
      </w:r>
      <w:r>
        <w:rPr>
          <w:sz w:val="18"/>
          <w:szCs w:val="18"/>
        </w:rPr>
        <w:t>:</w:t>
      </w:r>
      <w:r w:rsidR="00BE4C28">
        <w:rPr>
          <w:sz w:val="18"/>
          <w:szCs w:val="18"/>
        </w:rPr>
        <w:t xml:space="preserve"> ICD-10-CM: L20</w:t>
      </w:r>
      <w:r w:rsidR="00993264">
        <w:rPr>
          <w:sz w:val="18"/>
          <w:szCs w:val="18"/>
        </w:rPr>
        <w:t>.</w:t>
      </w:r>
      <w:r w:rsidR="00BE4C28">
        <w:rPr>
          <w:sz w:val="18"/>
          <w:szCs w:val="18"/>
        </w:rPr>
        <w:t xml:space="preserve">*, ICD-10-CM: L20.81, ICD-10-CM: L20.9, ICD-10-CM: L20.89 </w:t>
      </w:r>
      <w:r w:rsidRPr="00BE4C28">
        <w:rPr>
          <w:b/>
          <w:bCs/>
          <w:sz w:val="18"/>
          <w:szCs w:val="18"/>
        </w:rPr>
        <w:t>Psoriasis/Psoriatic Arthritis</w:t>
      </w:r>
      <w:r>
        <w:rPr>
          <w:sz w:val="18"/>
          <w:szCs w:val="18"/>
        </w:rPr>
        <w:t xml:space="preserve">: </w:t>
      </w:r>
      <w:r w:rsidR="00BE4C28">
        <w:rPr>
          <w:sz w:val="18"/>
          <w:szCs w:val="18"/>
        </w:rPr>
        <w:t>ICD-10-CM: L40.0, ICD-10-CM: L40.*, ICD-10-CM: L40.9, ICD-10-CM: L40.8, ICD-10-CM: L40.4, ICD-10-CM: L40.50, ICD-10-CM: L40.52, , ICD-10-CM: L40.54, , ICD-10-CM: L40.59, , ICD-10-CM: L40.1, , ICD-10-CM: L40.51</w:t>
      </w:r>
    </w:p>
    <w:p w14:paraId="4C8AF51E" w14:textId="6F62F470" w:rsidR="00993264" w:rsidRPr="00993264" w:rsidRDefault="00993264" w:rsidP="00BE4C28">
      <w:pPr>
        <w:spacing w:after="0"/>
        <w:rPr>
          <w:sz w:val="18"/>
          <w:szCs w:val="18"/>
        </w:rPr>
      </w:pPr>
      <w:r>
        <w:rPr>
          <w:b/>
          <w:bCs/>
          <w:sz w:val="18"/>
          <w:szCs w:val="18"/>
        </w:rPr>
        <w:t xml:space="preserve">Alopecia Areata: </w:t>
      </w:r>
      <w:r>
        <w:rPr>
          <w:sz w:val="18"/>
          <w:szCs w:val="18"/>
        </w:rPr>
        <w:t>ICD-10-CM-L63.*, ICD-10-CM: L65.2, ICD-10-CM: L63.1, ICD-10-CM: L63.0, ICD-10-CM: L63.9, ICD-10-CM: L63.8</w:t>
      </w:r>
    </w:p>
    <w:p w14:paraId="538C495A" w14:textId="77777777" w:rsidR="00BE4C28" w:rsidRDefault="00BE4C28">
      <w:pPr>
        <w:rPr>
          <w:sz w:val="18"/>
          <w:szCs w:val="18"/>
        </w:rPr>
      </w:pPr>
    </w:p>
    <w:p w14:paraId="19DECE87" w14:textId="1F8BDC39" w:rsidR="005C730F" w:rsidRPr="00BE4C28" w:rsidRDefault="00BE4C28">
      <w:pPr>
        <w:rPr>
          <w:rFonts w:ascii="Times New Roman" w:hAnsi="Times New Roman" w:cs="Times New Roman"/>
          <w:b/>
          <w:bCs/>
        </w:rPr>
      </w:pPr>
      <w:r w:rsidRPr="00BE4C28">
        <w:rPr>
          <w:rFonts w:ascii="Times New Roman" w:hAnsi="Times New Roman" w:cs="Times New Roman"/>
          <w:b/>
          <w:bCs/>
        </w:rPr>
        <w:t>Works Cited</w:t>
      </w:r>
    </w:p>
    <w:p w14:paraId="5FD03E20" w14:textId="27ABD246" w:rsidR="005C730F" w:rsidRPr="00BE4C28" w:rsidRDefault="005C730F" w:rsidP="005C730F">
      <w:pPr>
        <w:pStyle w:val="ListParagraph"/>
        <w:numPr>
          <w:ilvl w:val="0"/>
          <w:numId w:val="1"/>
        </w:numPr>
        <w:rPr>
          <w:rFonts w:ascii="Times New Roman" w:hAnsi="Times New Roman" w:cs="Times New Roman"/>
        </w:rPr>
      </w:pPr>
      <w:r w:rsidRPr="00BE4C28">
        <w:rPr>
          <w:rFonts w:ascii="Times New Roman" w:hAnsi="Times New Roman" w:cs="Times New Roman"/>
          <w:color w:val="212121"/>
          <w:shd w:val="clear" w:color="auto" w:fill="FFFFFF"/>
        </w:rPr>
        <w:t>Sly JR, Harris AL. Recombinant Zoster Vaccine (Shingrix) to Prevent Herpes Zoster. </w:t>
      </w:r>
      <w:proofErr w:type="spellStart"/>
      <w:r w:rsidRPr="00BE4C28">
        <w:rPr>
          <w:rFonts w:ascii="Times New Roman" w:hAnsi="Times New Roman" w:cs="Times New Roman"/>
          <w:i/>
          <w:iCs/>
          <w:color w:val="212121"/>
          <w:shd w:val="clear" w:color="auto" w:fill="FFFFFF"/>
        </w:rPr>
        <w:t>Nurs</w:t>
      </w:r>
      <w:proofErr w:type="spellEnd"/>
      <w:r w:rsidRPr="00BE4C28">
        <w:rPr>
          <w:rFonts w:ascii="Times New Roman" w:hAnsi="Times New Roman" w:cs="Times New Roman"/>
          <w:i/>
          <w:iCs/>
          <w:color w:val="212121"/>
          <w:shd w:val="clear" w:color="auto" w:fill="FFFFFF"/>
        </w:rPr>
        <w:t xml:space="preserve"> </w:t>
      </w:r>
      <w:proofErr w:type="spellStart"/>
      <w:r w:rsidRPr="00BE4C28">
        <w:rPr>
          <w:rFonts w:ascii="Times New Roman" w:hAnsi="Times New Roman" w:cs="Times New Roman"/>
          <w:i/>
          <w:iCs/>
          <w:color w:val="212121"/>
          <w:shd w:val="clear" w:color="auto" w:fill="FFFFFF"/>
        </w:rPr>
        <w:t>Womens</w:t>
      </w:r>
      <w:proofErr w:type="spellEnd"/>
      <w:r w:rsidRPr="00BE4C28">
        <w:rPr>
          <w:rFonts w:ascii="Times New Roman" w:hAnsi="Times New Roman" w:cs="Times New Roman"/>
          <w:i/>
          <w:iCs/>
          <w:color w:val="212121"/>
          <w:shd w:val="clear" w:color="auto" w:fill="FFFFFF"/>
        </w:rPr>
        <w:t xml:space="preserve"> Health</w:t>
      </w:r>
      <w:r w:rsidRPr="00BE4C28">
        <w:rPr>
          <w:rFonts w:ascii="Times New Roman" w:hAnsi="Times New Roman" w:cs="Times New Roman"/>
          <w:color w:val="212121"/>
          <w:shd w:val="clear" w:color="auto" w:fill="FFFFFF"/>
        </w:rPr>
        <w:t>. 2018;22(5):417-422. doi:10.1016/j.nwh.2018.07.004</w:t>
      </w:r>
    </w:p>
    <w:sectPr w:rsidR="005C730F" w:rsidRPr="00BE4C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DE018E"/>
    <w:multiLevelType w:val="hybridMultilevel"/>
    <w:tmpl w:val="0EC86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6214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FB4"/>
    <w:rsid w:val="0000331C"/>
    <w:rsid w:val="00011400"/>
    <w:rsid w:val="00025A51"/>
    <w:rsid w:val="00035477"/>
    <w:rsid w:val="00077DB3"/>
    <w:rsid w:val="000D3B9B"/>
    <w:rsid w:val="000F5A23"/>
    <w:rsid w:val="00101D1B"/>
    <w:rsid w:val="00132046"/>
    <w:rsid w:val="00153D35"/>
    <w:rsid w:val="001906EB"/>
    <w:rsid w:val="001A5F54"/>
    <w:rsid w:val="001B249F"/>
    <w:rsid w:val="001B6BD2"/>
    <w:rsid w:val="001F708A"/>
    <w:rsid w:val="00220B1F"/>
    <w:rsid w:val="00234AEE"/>
    <w:rsid w:val="0026161F"/>
    <w:rsid w:val="002768CC"/>
    <w:rsid w:val="00277D06"/>
    <w:rsid w:val="00280304"/>
    <w:rsid w:val="002A47F7"/>
    <w:rsid w:val="002A4A45"/>
    <w:rsid w:val="002D22D4"/>
    <w:rsid w:val="002D6FB2"/>
    <w:rsid w:val="002E36C2"/>
    <w:rsid w:val="002E5E4B"/>
    <w:rsid w:val="003462D3"/>
    <w:rsid w:val="003B6F92"/>
    <w:rsid w:val="003E0F77"/>
    <w:rsid w:val="003E74E2"/>
    <w:rsid w:val="004242F4"/>
    <w:rsid w:val="00480A32"/>
    <w:rsid w:val="004820FF"/>
    <w:rsid w:val="004908C9"/>
    <w:rsid w:val="004949A9"/>
    <w:rsid w:val="004A25D4"/>
    <w:rsid w:val="004E4F84"/>
    <w:rsid w:val="00502675"/>
    <w:rsid w:val="005050E3"/>
    <w:rsid w:val="005112FB"/>
    <w:rsid w:val="00512CEC"/>
    <w:rsid w:val="00532FFF"/>
    <w:rsid w:val="00546C44"/>
    <w:rsid w:val="00577614"/>
    <w:rsid w:val="00591960"/>
    <w:rsid w:val="005C730F"/>
    <w:rsid w:val="005D4FB9"/>
    <w:rsid w:val="005F225F"/>
    <w:rsid w:val="00615E38"/>
    <w:rsid w:val="00655479"/>
    <w:rsid w:val="006761F1"/>
    <w:rsid w:val="00677864"/>
    <w:rsid w:val="00693B12"/>
    <w:rsid w:val="00696DA9"/>
    <w:rsid w:val="0069761A"/>
    <w:rsid w:val="007149DD"/>
    <w:rsid w:val="00755728"/>
    <w:rsid w:val="00755C9B"/>
    <w:rsid w:val="00776154"/>
    <w:rsid w:val="0078369B"/>
    <w:rsid w:val="007F4E94"/>
    <w:rsid w:val="00822B1E"/>
    <w:rsid w:val="00824CD4"/>
    <w:rsid w:val="008276FB"/>
    <w:rsid w:val="00841B47"/>
    <w:rsid w:val="00895DCA"/>
    <w:rsid w:val="008C0693"/>
    <w:rsid w:val="008E2BE0"/>
    <w:rsid w:val="008E573F"/>
    <w:rsid w:val="0090423B"/>
    <w:rsid w:val="00950856"/>
    <w:rsid w:val="00950D57"/>
    <w:rsid w:val="00973A19"/>
    <w:rsid w:val="00993264"/>
    <w:rsid w:val="009934C4"/>
    <w:rsid w:val="00993F5F"/>
    <w:rsid w:val="009C6A4F"/>
    <w:rsid w:val="009D5564"/>
    <w:rsid w:val="009D5FB4"/>
    <w:rsid w:val="00A00CD6"/>
    <w:rsid w:val="00A129F5"/>
    <w:rsid w:val="00A73E60"/>
    <w:rsid w:val="00A74AD2"/>
    <w:rsid w:val="00A92C85"/>
    <w:rsid w:val="00A96E18"/>
    <w:rsid w:val="00AB0450"/>
    <w:rsid w:val="00AF75A5"/>
    <w:rsid w:val="00B17548"/>
    <w:rsid w:val="00B978B9"/>
    <w:rsid w:val="00BB2773"/>
    <w:rsid w:val="00BC17B4"/>
    <w:rsid w:val="00BD118C"/>
    <w:rsid w:val="00BE4C28"/>
    <w:rsid w:val="00BF2E25"/>
    <w:rsid w:val="00BF77F1"/>
    <w:rsid w:val="00C06CE6"/>
    <w:rsid w:val="00C37771"/>
    <w:rsid w:val="00C42156"/>
    <w:rsid w:val="00C53050"/>
    <w:rsid w:val="00C61E32"/>
    <w:rsid w:val="00C96D4A"/>
    <w:rsid w:val="00D249FF"/>
    <w:rsid w:val="00D27A82"/>
    <w:rsid w:val="00D56E53"/>
    <w:rsid w:val="00DC06B5"/>
    <w:rsid w:val="00DC3FA6"/>
    <w:rsid w:val="00DE4B84"/>
    <w:rsid w:val="00DF2BF6"/>
    <w:rsid w:val="00E06235"/>
    <w:rsid w:val="00E247F3"/>
    <w:rsid w:val="00EA6893"/>
    <w:rsid w:val="00EA71F5"/>
    <w:rsid w:val="00F00E1D"/>
    <w:rsid w:val="00F05A93"/>
    <w:rsid w:val="00F21A56"/>
    <w:rsid w:val="00F61EBE"/>
    <w:rsid w:val="00F8034F"/>
    <w:rsid w:val="00F95169"/>
    <w:rsid w:val="00FB6D3D"/>
    <w:rsid w:val="00FB7D09"/>
    <w:rsid w:val="00FD0162"/>
    <w:rsid w:val="00FD4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7C967"/>
  <w15:docId w15:val="{0678ABF3-0E9F-4689-BD0E-DD6F77243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F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73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1418</TotalTime>
  <Pages>2</Pages>
  <Words>689</Words>
  <Characters>3930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Hren, Mary</dc:creator>
  <cp:keywords/>
  <dc:description/>
  <cp:lastModifiedBy>Hren, Mary</cp:lastModifiedBy>
  <cp:revision>6</cp:revision>
  <dcterms:created xsi:type="dcterms:W3CDTF">2023-12-18T18:26:00Z</dcterms:created>
  <dcterms:modified xsi:type="dcterms:W3CDTF">2024-04-17T01:58:00Z</dcterms:modified>
</cp:coreProperties>
</file>