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DB583" w14:textId="0E15C063" w:rsidR="00C35639" w:rsidRDefault="00C35639" w:rsidP="00C3563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Online Resource </w:t>
      </w:r>
      <w:r w:rsidR="00A145A5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BF720B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BF720B">
        <w:rPr>
          <w:rFonts w:ascii="Times New Roman" w:hAnsi="Times New Roman" w:cs="Times New Roman"/>
          <w:sz w:val="20"/>
          <w:szCs w:val="20"/>
        </w:rPr>
        <w:t xml:space="preserve"> The initial (step 4) and revised (step 5, in shaded rows) contribution claims developed for programmatic assessment as part of </w:t>
      </w:r>
      <w:r w:rsidR="007D6D81">
        <w:rPr>
          <w:rFonts w:ascii="Times New Roman" w:hAnsi="Times New Roman" w:cs="Times New Roman"/>
          <w:sz w:val="20"/>
          <w:szCs w:val="20"/>
        </w:rPr>
        <w:t>c</w:t>
      </w:r>
      <w:r w:rsidRPr="00BF720B">
        <w:rPr>
          <w:rFonts w:ascii="Times New Roman" w:hAnsi="Times New Roman" w:cs="Times New Roman"/>
          <w:sz w:val="20"/>
          <w:szCs w:val="20"/>
        </w:rPr>
        <w:t xml:space="preserve">ontribution </w:t>
      </w:r>
      <w:r w:rsidR="007D6D81">
        <w:rPr>
          <w:rFonts w:ascii="Times New Roman" w:hAnsi="Times New Roman" w:cs="Times New Roman"/>
          <w:sz w:val="20"/>
          <w:szCs w:val="20"/>
        </w:rPr>
        <w:t>a</w:t>
      </w:r>
      <w:r w:rsidRPr="00BF720B">
        <w:rPr>
          <w:rFonts w:ascii="Times New Roman" w:hAnsi="Times New Roman" w:cs="Times New Roman"/>
          <w:sz w:val="20"/>
          <w:szCs w:val="20"/>
        </w:rPr>
        <w:t>nalysis and assessed using the Relevant Explanation Finder</w:t>
      </w:r>
      <w:r>
        <w:rPr>
          <w:rFonts w:ascii="Times New Roman" w:hAnsi="Times New Roman" w:cs="Times New Roman"/>
          <w:sz w:val="20"/>
          <w:szCs w:val="20"/>
        </w:rPr>
        <w:t xml:space="preserve"> (Biggs et al., 2014; </w:t>
      </w:r>
      <w:proofErr w:type="spellStart"/>
      <w:r>
        <w:rPr>
          <w:rFonts w:ascii="Times New Roman" w:hAnsi="Times New Roman" w:cs="Times New Roman"/>
          <w:sz w:val="20"/>
          <w:szCs w:val="20"/>
        </w:rPr>
        <w:t>Delahais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&amp; </w:t>
      </w:r>
      <w:proofErr w:type="spellStart"/>
      <w:r>
        <w:rPr>
          <w:rFonts w:ascii="Times New Roman" w:hAnsi="Times New Roman" w:cs="Times New Roman"/>
          <w:sz w:val="20"/>
          <w:szCs w:val="20"/>
        </w:rPr>
        <w:t>Toulemonde</w:t>
      </w:r>
      <w:proofErr w:type="spellEnd"/>
      <w:r>
        <w:rPr>
          <w:rFonts w:ascii="Times New Roman" w:hAnsi="Times New Roman" w:cs="Times New Roman"/>
          <w:sz w:val="20"/>
          <w:szCs w:val="20"/>
        </w:rPr>
        <w:t>, 2012; Lemire et al., 2012).</w:t>
      </w:r>
    </w:p>
    <w:tbl>
      <w:tblPr>
        <w:tblStyle w:val="TableGrid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"/>
        <w:gridCol w:w="2124"/>
        <w:gridCol w:w="1846"/>
        <w:gridCol w:w="1443"/>
        <w:gridCol w:w="1388"/>
        <w:gridCol w:w="1418"/>
      </w:tblGrid>
      <w:tr w:rsidR="00C35639" w:rsidRPr="00BF720B" w14:paraId="3F1B94CD" w14:textId="77777777" w:rsidTr="00C22CD3"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41997D9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Contribution claim </w:t>
            </w:r>
          </w:p>
        </w:tc>
        <w:tc>
          <w:tcPr>
            <w:tcW w:w="1846" w:type="dxa"/>
            <w:vMerge w:val="restart"/>
            <w:tcBorders>
              <w:top w:val="single" w:sz="4" w:space="0" w:color="auto"/>
            </w:tcBorders>
          </w:tcPr>
          <w:p w14:paraId="14E35C4A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Classification </w:t>
            </w:r>
            <w:r w:rsidRPr="00BF720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43" w:type="dxa"/>
            <w:vMerge w:val="restart"/>
            <w:tcBorders>
              <w:top w:val="single" w:sz="4" w:space="0" w:color="auto"/>
            </w:tcBorders>
          </w:tcPr>
          <w:p w14:paraId="7158517B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Influence and action </w:t>
            </w:r>
            <w:r w:rsidRPr="00BF720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</w:tcBorders>
          </w:tcPr>
          <w:p w14:paraId="643ACA47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Degree of influence </w:t>
            </w:r>
            <w:r w:rsidRPr="00BF720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</w:tcPr>
          <w:p w14:paraId="3E6EE387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BF72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Evidence-informed </w:t>
            </w:r>
            <w:r w:rsidRPr="00BF720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d</w:t>
            </w:r>
          </w:p>
        </w:tc>
      </w:tr>
      <w:tr w:rsidR="00C35639" w:rsidRPr="00BF720B" w14:paraId="12193F18" w14:textId="77777777" w:rsidTr="00C22CD3"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</w:tcPr>
          <w:p w14:paraId="20283F63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2124" w:type="dxa"/>
            <w:tcBorders>
              <w:top w:val="single" w:sz="4" w:space="0" w:color="auto"/>
              <w:bottom w:val="single" w:sz="4" w:space="0" w:color="auto"/>
            </w:tcBorders>
          </w:tcPr>
          <w:p w14:paraId="4314744F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Label</w:t>
            </w:r>
          </w:p>
        </w:tc>
        <w:tc>
          <w:tcPr>
            <w:tcW w:w="1846" w:type="dxa"/>
            <w:vMerge/>
            <w:tcBorders>
              <w:bottom w:val="single" w:sz="4" w:space="0" w:color="auto"/>
            </w:tcBorders>
          </w:tcPr>
          <w:p w14:paraId="02BECF26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43" w:type="dxa"/>
            <w:vMerge/>
            <w:tcBorders>
              <w:bottom w:val="single" w:sz="4" w:space="0" w:color="auto"/>
            </w:tcBorders>
          </w:tcPr>
          <w:p w14:paraId="6D1D8D1D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8" w:type="dxa"/>
            <w:vMerge/>
            <w:tcBorders>
              <w:bottom w:val="single" w:sz="4" w:space="0" w:color="auto"/>
            </w:tcBorders>
          </w:tcPr>
          <w:p w14:paraId="21BB871A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14:paraId="323ABAB3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35639" w:rsidRPr="00BF720B" w14:paraId="233B4F83" w14:textId="77777777" w:rsidTr="00C22CD3">
        <w:tc>
          <w:tcPr>
            <w:tcW w:w="570" w:type="dxa"/>
            <w:vMerge w:val="restart"/>
            <w:tcBorders>
              <w:top w:val="single" w:sz="4" w:space="0" w:color="auto"/>
            </w:tcBorders>
          </w:tcPr>
          <w:p w14:paraId="6D963BEE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24" w:type="dxa"/>
            <w:tcBorders>
              <w:top w:val="single" w:sz="4" w:space="0" w:color="auto"/>
            </w:tcBorders>
          </w:tcPr>
          <w:p w14:paraId="37860CDA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Leadership drove the transition to programmatic assessment</w:t>
            </w:r>
          </w:p>
        </w:tc>
        <w:tc>
          <w:tcPr>
            <w:tcW w:w="1846" w:type="dxa"/>
            <w:tcBorders>
              <w:top w:val="single" w:sz="4" w:space="0" w:color="auto"/>
            </w:tcBorders>
          </w:tcPr>
          <w:p w14:paraId="2CA7D68C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Non-identified</w:t>
            </w:r>
          </w:p>
        </w:tc>
        <w:tc>
          <w:tcPr>
            <w:tcW w:w="1443" w:type="dxa"/>
            <w:tcBorders>
              <w:top w:val="single" w:sz="4" w:space="0" w:color="auto"/>
            </w:tcBorders>
          </w:tcPr>
          <w:p w14:paraId="3DDE7A0C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Confirmed</w:t>
            </w:r>
          </w:p>
          <w:p w14:paraId="1AFCF940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4" w:space="0" w:color="auto"/>
            </w:tcBorders>
          </w:tcPr>
          <w:p w14:paraId="75F2CC63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Medium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E97DE62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</w:tr>
      <w:tr w:rsidR="00C35639" w:rsidRPr="00BF720B" w14:paraId="39F990B4" w14:textId="77777777" w:rsidTr="00C22CD3">
        <w:tc>
          <w:tcPr>
            <w:tcW w:w="570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661C72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95E22AC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Leaders drove transition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B64F17C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Non-identified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A90E317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Confirmed</w:t>
            </w:r>
          </w:p>
          <w:p w14:paraId="73648FF1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3F2FF4B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C38CC11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 xml:space="preserve">High </w:t>
            </w:r>
          </w:p>
        </w:tc>
      </w:tr>
      <w:tr w:rsidR="00C35639" w:rsidRPr="00BF720B" w14:paraId="402CD951" w14:textId="77777777" w:rsidTr="00C22CD3">
        <w:tc>
          <w:tcPr>
            <w:tcW w:w="570" w:type="dxa"/>
            <w:vMerge w:val="restart"/>
            <w:tcBorders>
              <w:top w:val="single" w:sz="4" w:space="0" w:color="auto"/>
            </w:tcBorders>
          </w:tcPr>
          <w:p w14:paraId="36310BC7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4" w:type="dxa"/>
            <w:tcBorders>
              <w:top w:val="single" w:sz="4" w:space="0" w:color="auto"/>
            </w:tcBorders>
          </w:tcPr>
          <w:p w14:paraId="129DA896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Training and experience built user capability</w:t>
            </w:r>
          </w:p>
        </w:tc>
        <w:tc>
          <w:tcPr>
            <w:tcW w:w="1846" w:type="dxa"/>
            <w:tcBorders>
              <w:top w:val="single" w:sz="4" w:space="0" w:color="auto"/>
            </w:tcBorders>
          </w:tcPr>
          <w:p w14:paraId="45594D6C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Co-mingled</w:t>
            </w:r>
          </w:p>
        </w:tc>
        <w:tc>
          <w:tcPr>
            <w:tcW w:w="1443" w:type="dxa"/>
            <w:tcBorders>
              <w:top w:val="single" w:sz="4" w:space="0" w:color="auto"/>
            </w:tcBorders>
          </w:tcPr>
          <w:p w14:paraId="0DFBF44A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Confirmed</w:t>
            </w:r>
          </w:p>
          <w:p w14:paraId="15D77C5F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4" w:space="0" w:color="auto"/>
            </w:tcBorders>
          </w:tcPr>
          <w:p w14:paraId="06CB18EA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88778AA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</w:tr>
      <w:tr w:rsidR="00C35639" w:rsidRPr="00BF720B" w14:paraId="65C45261" w14:textId="77777777" w:rsidTr="00C22CD3">
        <w:tc>
          <w:tcPr>
            <w:tcW w:w="570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399BDD0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C138FAF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Training developed capabilities of the people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7BEC1D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Co-mingled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E1DEF92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Confirmed</w:t>
            </w:r>
          </w:p>
          <w:p w14:paraId="3D7CA87A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258347F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CE2E6B8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 xml:space="preserve">High </w:t>
            </w:r>
          </w:p>
          <w:p w14:paraId="67BA00FA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639" w:rsidRPr="00BF720B" w14:paraId="44A9BC0F" w14:textId="77777777" w:rsidTr="00C22CD3">
        <w:tc>
          <w:tcPr>
            <w:tcW w:w="570" w:type="dxa"/>
            <w:vMerge w:val="restart"/>
            <w:tcBorders>
              <w:top w:val="single" w:sz="4" w:space="0" w:color="auto"/>
            </w:tcBorders>
          </w:tcPr>
          <w:p w14:paraId="37995218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4" w:type="dxa"/>
            <w:tcBorders>
              <w:top w:val="single" w:sz="4" w:space="0" w:color="auto"/>
            </w:tcBorders>
          </w:tcPr>
          <w:p w14:paraId="0FEF2A0E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Multiple data-points, collected over time, are needed for high-stakes assessment decisions</w:t>
            </w:r>
          </w:p>
        </w:tc>
        <w:tc>
          <w:tcPr>
            <w:tcW w:w="1846" w:type="dxa"/>
            <w:tcBorders>
              <w:top w:val="single" w:sz="4" w:space="0" w:color="auto"/>
            </w:tcBorders>
          </w:tcPr>
          <w:p w14:paraId="652D0B90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</w:p>
        </w:tc>
        <w:tc>
          <w:tcPr>
            <w:tcW w:w="1443" w:type="dxa"/>
            <w:tcBorders>
              <w:top w:val="single" w:sz="4" w:space="0" w:color="auto"/>
            </w:tcBorders>
          </w:tcPr>
          <w:p w14:paraId="0C218129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Confirmed</w:t>
            </w:r>
          </w:p>
          <w:p w14:paraId="7C64C04E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4" w:space="0" w:color="auto"/>
            </w:tcBorders>
          </w:tcPr>
          <w:p w14:paraId="40327C4D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BD77B80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C35639" w:rsidRPr="00BF720B" w14:paraId="2AB36140" w14:textId="77777777" w:rsidTr="00C22CD3">
        <w:tc>
          <w:tcPr>
            <w:tcW w:w="570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A06E48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BB38A0A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High-quality low-stakes data-points underpinned high-stakes progression decisions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1C358DB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E349E60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Confirmed</w:t>
            </w:r>
          </w:p>
          <w:p w14:paraId="23ACBA65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4776F49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4F51F01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C35639" w:rsidRPr="00BF720B" w14:paraId="5C13DD0E" w14:textId="77777777" w:rsidTr="00C22CD3">
        <w:tc>
          <w:tcPr>
            <w:tcW w:w="570" w:type="dxa"/>
            <w:vMerge w:val="restart"/>
            <w:tcBorders>
              <w:top w:val="single" w:sz="4" w:space="0" w:color="auto"/>
            </w:tcBorders>
          </w:tcPr>
          <w:p w14:paraId="3EA69FB4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4" w:type="dxa"/>
            <w:tcBorders>
              <w:top w:val="single" w:sz="4" w:space="0" w:color="auto"/>
            </w:tcBorders>
          </w:tcPr>
          <w:p w14:paraId="194992DC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A learning team was fostered</w:t>
            </w:r>
          </w:p>
        </w:tc>
        <w:tc>
          <w:tcPr>
            <w:tcW w:w="1846" w:type="dxa"/>
            <w:tcBorders>
              <w:top w:val="single" w:sz="4" w:space="0" w:color="auto"/>
            </w:tcBorders>
          </w:tcPr>
          <w:p w14:paraId="3693CCED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</w:p>
        </w:tc>
        <w:tc>
          <w:tcPr>
            <w:tcW w:w="1443" w:type="dxa"/>
            <w:tcBorders>
              <w:top w:val="single" w:sz="4" w:space="0" w:color="auto"/>
            </w:tcBorders>
          </w:tcPr>
          <w:p w14:paraId="5F29731E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Confirmed</w:t>
            </w:r>
          </w:p>
          <w:p w14:paraId="543229A1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4" w:space="0" w:color="auto"/>
            </w:tcBorders>
          </w:tcPr>
          <w:p w14:paraId="2373D643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DEF9AD6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C35639" w:rsidRPr="00BF720B" w14:paraId="07AE8368" w14:textId="77777777" w:rsidTr="00C22CD3">
        <w:tc>
          <w:tcPr>
            <w:tcW w:w="570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1144FB6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342A2A2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A learning team was fostered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E65C618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16D5043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Confirmed</w:t>
            </w:r>
          </w:p>
          <w:p w14:paraId="29ACD4C0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6A80A2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ED5B5DC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C35639" w:rsidRPr="00BF720B" w14:paraId="2F109482" w14:textId="77777777" w:rsidTr="00C22CD3">
        <w:tc>
          <w:tcPr>
            <w:tcW w:w="570" w:type="dxa"/>
            <w:vMerge w:val="restart"/>
            <w:tcBorders>
              <w:top w:val="single" w:sz="4" w:space="0" w:color="auto"/>
            </w:tcBorders>
          </w:tcPr>
          <w:p w14:paraId="4CF3CF06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4" w:type="dxa"/>
            <w:tcBorders>
              <w:top w:val="single" w:sz="4" w:space="0" w:color="auto"/>
            </w:tcBorders>
          </w:tcPr>
          <w:p w14:paraId="4059F365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Progression moments enabled early detection of issues and remediation</w:t>
            </w:r>
          </w:p>
        </w:tc>
        <w:tc>
          <w:tcPr>
            <w:tcW w:w="1846" w:type="dxa"/>
            <w:tcBorders>
              <w:top w:val="single" w:sz="4" w:space="0" w:color="auto"/>
            </w:tcBorders>
          </w:tcPr>
          <w:p w14:paraId="55DB37D7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</w:p>
        </w:tc>
        <w:tc>
          <w:tcPr>
            <w:tcW w:w="1443" w:type="dxa"/>
            <w:tcBorders>
              <w:top w:val="single" w:sz="4" w:space="0" w:color="auto"/>
            </w:tcBorders>
          </w:tcPr>
          <w:p w14:paraId="55FA1E40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Confirmed</w:t>
            </w:r>
          </w:p>
          <w:p w14:paraId="776773B5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4" w:space="0" w:color="auto"/>
            </w:tcBorders>
          </w:tcPr>
          <w:p w14:paraId="56CEEDA0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B7EEB2A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C35639" w:rsidRPr="00BF720B" w14:paraId="420C85DF" w14:textId="77777777" w:rsidTr="00C22CD3">
        <w:tc>
          <w:tcPr>
            <w:tcW w:w="570" w:type="dxa"/>
            <w:vMerge/>
            <w:shd w:val="clear" w:color="auto" w:fill="D9D9D9" w:themeFill="background1" w:themeFillShade="D9"/>
          </w:tcPr>
          <w:p w14:paraId="2A1E086F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D9D9D9" w:themeFill="background1" w:themeFillShade="D9"/>
          </w:tcPr>
          <w:p w14:paraId="5D364F8E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Progression moments enabled early detection of issues and psychologically safe, learner-led remedial action</w:t>
            </w:r>
          </w:p>
        </w:tc>
        <w:tc>
          <w:tcPr>
            <w:tcW w:w="1846" w:type="dxa"/>
            <w:shd w:val="clear" w:color="auto" w:fill="D9D9D9" w:themeFill="background1" w:themeFillShade="D9"/>
          </w:tcPr>
          <w:p w14:paraId="0796F47F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</w:p>
        </w:tc>
        <w:tc>
          <w:tcPr>
            <w:tcW w:w="1443" w:type="dxa"/>
            <w:shd w:val="clear" w:color="auto" w:fill="D9D9D9" w:themeFill="background1" w:themeFillShade="D9"/>
          </w:tcPr>
          <w:p w14:paraId="452E73EB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Confirmed</w:t>
            </w:r>
          </w:p>
          <w:p w14:paraId="2221D8A9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  <w:shd w:val="clear" w:color="auto" w:fill="D9D9D9" w:themeFill="background1" w:themeFillShade="D9"/>
          </w:tcPr>
          <w:p w14:paraId="0781A084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12F7A89F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C35639" w:rsidRPr="00BF720B" w14:paraId="5AA51D0F" w14:textId="77777777" w:rsidTr="00C22CD3">
        <w:tc>
          <w:tcPr>
            <w:tcW w:w="570" w:type="dxa"/>
            <w:vMerge w:val="restart"/>
            <w:tcBorders>
              <w:top w:val="single" w:sz="4" w:space="0" w:color="auto"/>
            </w:tcBorders>
          </w:tcPr>
          <w:p w14:paraId="757898FF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4" w:type="dxa"/>
            <w:tcBorders>
              <w:top w:val="single" w:sz="4" w:space="0" w:color="auto"/>
            </w:tcBorders>
          </w:tcPr>
          <w:p w14:paraId="2E925870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Lifelong learners became confident and prepared graduates</w:t>
            </w:r>
          </w:p>
        </w:tc>
        <w:tc>
          <w:tcPr>
            <w:tcW w:w="1846" w:type="dxa"/>
            <w:tcBorders>
              <w:top w:val="single" w:sz="4" w:space="0" w:color="auto"/>
            </w:tcBorders>
          </w:tcPr>
          <w:p w14:paraId="3F578672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</w:p>
        </w:tc>
        <w:tc>
          <w:tcPr>
            <w:tcW w:w="1443" w:type="dxa"/>
            <w:tcBorders>
              <w:top w:val="single" w:sz="4" w:space="0" w:color="auto"/>
            </w:tcBorders>
          </w:tcPr>
          <w:p w14:paraId="1BCDA160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Confirmed</w:t>
            </w:r>
          </w:p>
          <w:p w14:paraId="3AB4B12C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4" w:space="0" w:color="auto"/>
            </w:tcBorders>
          </w:tcPr>
          <w:p w14:paraId="40FDC1E5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2045105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C35639" w:rsidRPr="00BF720B" w14:paraId="4A5A19A2" w14:textId="77777777" w:rsidTr="00C22CD3">
        <w:tc>
          <w:tcPr>
            <w:tcW w:w="570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58A60A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2E67C16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Learners became prepared, safe, and confident graduates</w:t>
            </w:r>
          </w:p>
        </w:tc>
        <w:tc>
          <w:tcPr>
            <w:tcW w:w="184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F334982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D97E12F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Confirmed</w:t>
            </w:r>
          </w:p>
          <w:p w14:paraId="36A6A390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1DD9CD6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D68933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C35639" w:rsidRPr="00BF720B" w14:paraId="25347527" w14:textId="77777777" w:rsidTr="00C22CD3">
        <w:tc>
          <w:tcPr>
            <w:tcW w:w="570" w:type="dxa"/>
            <w:vMerge w:val="restart"/>
            <w:tcBorders>
              <w:top w:val="single" w:sz="4" w:space="0" w:color="auto"/>
            </w:tcBorders>
          </w:tcPr>
          <w:p w14:paraId="7D9626DA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4" w:type="dxa"/>
            <w:tcBorders>
              <w:top w:val="single" w:sz="4" w:space="0" w:color="auto"/>
            </w:tcBorders>
          </w:tcPr>
          <w:p w14:paraId="045D7295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Programmatic assessment became the status quo</w:t>
            </w:r>
          </w:p>
        </w:tc>
        <w:tc>
          <w:tcPr>
            <w:tcW w:w="1846" w:type="dxa"/>
            <w:tcBorders>
              <w:top w:val="single" w:sz="4" w:space="0" w:color="auto"/>
            </w:tcBorders>
          </w:tcPr>
          <w:p w14:paraId="10017B80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Non-identified</w:t>
            </w:r>
          </w:p>
        </w:tc>
        <w:tc>
          <w:tcPr>
            <w:tcW w:w="1443" w:type="dxa"/>
            <w:tcBorders>
              <w:top w:val="single" w:sz="4" w:space="0" w:color="auto"/>
            </w:tcBorders>
          </w:tcPr>
          <w:p w14:paraId="23EB87E9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Confirmed</w:t>
            </w:r>
          </w:p>
          <w:p w14:paraId="1DC9C825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top w:val="single" w:sz="4" w:space="0" w:color="auto"/>
            </w:tcBorders>
          </w:tcPr>
          <w:p w14:paraId="610FE664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A0677F3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</w:tr>
      <w:tr w:rsidR="00C35639" w:rsidRPr="00BF720B" w14:paraId="2DA84E55" w14:textId="77777777" w:rsidTr="00C22CD3">
        <w:tc>
          <w:tcPr>
            <w:tcW w:w="570" w:type="dxa"/>
            <w:vMerge/>
            <w:shd w:val="clear" w:color="auto" w:fill="D9D9D9" w:themeFill="background1" w:themeFillShade="D9"/>
          </w:tcPr>
          <w:p w14:paraId="687F24C5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4" w:type="dxa"/>
            <w:shd w:val="clear" w:color="auto" w:fill="D9D9D9" w:themeFill="background1" w:themeFillShade="D9"/>
          </w:tcPr>
          <w:p w14:paraId="70B27DF8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Programmatic assessment became the status quo</w:t>
            </w:r>
          </w:p>
        </w:tc>
        <w:tc>
          <w:tcPr>
            <w:tcW w:w="1846" w:type="dxa"/>
            <w:shd w:val="clear" w:color="auto" w:fill="D9D9D9" w:themeFill="background1" w:themeFillShade="D9"/>
          </w:tcPr>
          <w:p w14:paraId="0A977C39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Non-identified</w:t>
            </w:r>
          </w:p>
        </w:tc>
        <w:tc>
          <w:tcPr>
            <w:tcW w:w="1443" w:type="dxa"/>
            <w:shd w:val="clear" w:color="auto" w:fill="D9D9D9" w:themeFill="background1" w:themeFillShade="D9"/>
          </w:tcPr>
          <w:p w14:paraId="70854430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Confirmed</w:t>
            </w:r>
          </w:p>
          <w:p w14:paraId="4395C918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8" w:type="dxa"/>
            <w:shd w:val="clear" w:color="auto" w:fill="D9D9D9" w:themeFill="background1" w:themeFillShade="D9"/>
          </w:tcPr>
          <w:p w14:paraId="645067AC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7BA61609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</w:tc>
      </w:tr>
      <w:tr w:rsidR="00C35639" w:rsidRPr="00BF720B" w14:paraId="6FBAF047" w14:textId="77777777" w:rsidTr="00C22CD3">
        <w:tc>
          <w:tcPr>
            <w:tcW w:w="570" w:type="dxa"/>
            <w:vMerge w:val="restart"/>
            <w:shd w:val="clear" w:color="auto" w:fill="auto"/>
          </w:tcPr>
          <w:p w14:paraId="2CD1DE7C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24" w:type="dxa"/>
            <w:shd w:val="clear" w:color="auto" w:fill="auto"/>
          </w:tcPr>
          <w:p w14:paraId="0A50F917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Assessment was authentic and contextually responsive</w:t>
            </w:r>
          </w:p>
        </w:tc>
        <w:tc>
          <w:tcPr>
            <w:tcW w:w="1846" w:type="dxa"/>
            <w:shd w:val="clear" w:color="auto" w:fill="auto"/>
          </w:tcPr>
          <w:p w14:paraId="5F70AA1D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Non-identified</w:t>
            </w:r>
          </w:p>
        </w:tc>
        <w:tc>
          <w:tcPr>
            <w:tcW w:w="1443" w:type="dxa"/>
            <w:shd w:val="clear" w:color="auto" w:fill="auto"/>
          </w:tcPr>
          <w:p w14:paraId="003B14AC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Confirmed</w:t>
            </w:r>
          </w:p>
          <w:p w14:paraId="7594C0CE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1388" w:type="dxa"/>
            <w:shd w:val="clear" w:color="auto" w:fill="auto"/>
          </w:tcPr>
          <w:p w14:paraId="66B59320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  <w:tc>
          <w:tcPr>
            <w:tcW w:w="1418" w:type="dxa"/>
            <w:shd w:val="clear" w:color="auto" w:fill="auto"/>
          </w:tcPr>
          <w:p w14:paraId="5EDA1741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Moderate</w:t>
            </w:r>
          </w:p>
        </w:tc>
      </w:tr>
      <w:tr w:rsidR="00C35639" w:rsidRPr="00BF720B" w14:paraId="783861EE" w14:textId="77777777" w:rsidTr="00C22CD3">
        <w:tc>
          <w:tcPr>
            <w:tcW w:w="570" w:type="dxa"/>
            <w:vMerge/>
            <w:shd w:val="clear" w:color="auto" w:fill="D9D9D9" w:themeFill="background1" w:themeFillShade="D9"/>
          </w:tcPr>
          <w:p w14:paraId="71A0C18F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19" w:type="dxa"/>
            <w:gridSpan w:val="5"/>
            <w:shd w:val="clear" w:color="auto" w:fill="D9D9D9" w:themeFill="background1" w:themeFillShade="D9"/>
          </w:tcPr>
          <w:p w14:paraId="3F2E8F33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Amalgamated into contribution claim 1</w:t>
            </w:r>
          </w:p>
        </w:tc>
      </w:tr>
      <w:tr w:rsidR="00C35639" w:rsidRPr="00BF720B" w14:paraId="6636BFD9" w14:textId="77777777" w:rsidTr="00C22CD3">
        <w:tc>
          <w:tcPr>
            <w:tcW w:w="570" w:type="dxa"/>
            <w:vMerge w:val="restart"/>
            <w:shd w:val="clear" w:color="auto" w:fill="auto"/>
          </w:tcPr>
          <w:p w14:paraId="2611CF77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24" w:type="dxa"/>
            <w:shd w:val="clear" w:color="auto" w:fill="auto"/>
          </w:tcPr>
          <w:p w14:paraId="1450C034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Improved institutional reputation</w:t>
            </w:r>
          </w:p>
        </w:tc>
        <w:tc>
          <w:tcPr>
            <w:tcW w:w="1846" w:type="dxa"/>
            <w:shd w:val="clear" w:color="auto" w:fill="auto"/>
          </w:tcPr>
          <w:p w14:paraId="78EA58AA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Primary</w:t>
            </w:r>
          </w:p>
        </w:tc>
        <w:tc>
          <w:tcPr>
            <w:tcW w:w="1443" w:type="dxa"/>
            <w:shd w:val="clear" w:color="auto" w:fill="auto"/>
          </w:tcPr>
          <w:p w14:paraId="5158606D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Confirmed</w:t>
            </w:r>
          </w:p>
        </w:tc>
        <w:tc>
          <w:tcPr>
            <w:tcW w:w="1388" w:type="dxa"/>
            <w:shd w:val="clear" w:color="auto" w:fill="auto"/>
          </w:tcPr>
          <w:p w14:paraId="46781A60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  <w:tc>
          <w:tcPr>
            <w:tcW w:w="1418" w:type="dxa"/>
            <w:shd w:val="clear" w:color="auto" w:fill="auto"/>
          </w:tcPr>
          <w:p w14:paraId="0898BA7B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</w:tc>
      </w:tr>
      <w:tr w:rsidR="00C35639" w:rsidRPr="00BF720B" w14:paraId="7E4AA807" w14:textId="77777777" w:rsidTr="00C22CD3">
        <w:tc>
          <w:tcPr>
            <w:tcW w:w="570" w:type="dxa"/>
            <w:vMerge/>
            <w:shd w:val="clear" w:color="auto" w:fill="auto"/>
          </w:tcPr>
          <w:p w14:paraId="5D6AC664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19" w:type="dxa"/>
            <w:gridSpan w:val="5"/>
            <w:shd w:val="clear" w:color="auto" w:fill="D9D9D9" w:themeFill="background1" w:themeFillShade="D9"/>
          </w:tcPr>
          <w:p w14:paraId="6449CD02" w14:textId="77777777" w:rsidR="00C35639" w:rsidRPr="00BF720B" w:rsidRDefault="00C35639" w:rsidP="00C22CD3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720B">
              <w:rPr>
                <w:rFonts w:ascii="Times New Roman" w:hAnsi="Times New Roman" w:cs="Times New Roman"/>
                <w:sz w:val="20"/>
                <w:szCs w:val="20"/>
              </w:rPr>
              <w:t>Discarded due to insufficient evidence</w:t>
            </w:r>
          </w:p>
        </w:tc>
      </w:tr>
    </w:tbl>
    <w:p w14:paraId="111D20BD" w14:textId="77777777" w:rsidR="00C35639" w:rsidRPr="00BF720B" w:rsidRDefault="00C35639" w:rsidP="00C3563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F720B"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r w:rsidRPr="00BF720B">
        <w:rPr>
          <w:rFonts w:ascii="Times New Roman" w:hAnsi="Times New Roman" w:cs="Times New Roman"/>
          <w:sz w:val="20"/>
          <w:szCs w:val="20"/>
        </w:rPr>
        <w:t>Classification was the categorisation in relation to how evidence explained causal link(s): primary (causal link identified in the ToC accounts for and explains observed outcomes), non-identified (causal link, different from that given in ToC accounts for and explains observed outcomes), co-mingled (non-identified and primary causal link both contribute to and explain observed outcomes).</w:t>
      </w:r>
    </w:p>
    <w:p w14:paraId="257DA071" w14:textId="77777777" w:rsidR="00C35639" w:rsidRPr="00BF720B" w:rsidRDefault="00C35639" w:rsidP="00C3563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F720B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BF720B">
        <w:rPr>
          <w:rFonts w:ascii="Times New Roman" w:hAnsi="Times New Roman" w:cs="Times New Roman"/>
          <w:sz w:val="20"/>
          <w:szCs w:val="20"/>
        </w:rPr>
        <w:t xml:space="preserve"> Influence and action is the determination if evidence confirmed, refuted, or contributed to the causal link(s).</w:t>
      </w:r>
    </w:p>
    <w:p w14:paraId="5F80E837" w14:textId="10735F15" w:rsidR="00C35639" w:rsidRPr="007D6D81" w:rsidRDefault="00C35639" w:rsidP="00C3563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F720B">
        <w:rPr>
          <w:rFonts w:ascii="Times New Roman" w:hAnsi="Times New Roman" w:cs="Times New Roman"/>
          <w:sz w:val="20"/>
          <w:szCs w:val="20"/>
        </w:rPr>
        <w:t xml:space="preserve"> </w:t>
      </w:r>
      <w:r w:rsidRPr="00BF720B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BF720B">
        <w:rPr>
          <w:rFonts w:ascii="Times New Roman" w:hAnsi="Times New Roman" w:cs="Times New Roman"/>
          <w:sz w:val="20"/>
          <w:szCs w:val="20"/>
        </w:rPr>
        <w:t xml:space="preserve"> Overall degree of influence included certainty (degree which observed outcome matched that predicted in theory of change), robustness (degree which causal link(s) was a significant contributor), range (degree which causal link(s) contributed to range of observed outcomes), prevalence (degree which causal link(s) contributed to observe outcomes across settings), applied using the matrix </w:t>
      </w:r>
      <w:r w:rsidRPr="007D6D81">
        <w:rPr>
          <w:rFonts w:ascii="Times New Roman" w:hAnsi="Times New Roman" w:cs="Times New Roman"/>
          <w:sz w:val="20"/>
          <w:szCs w:val="20"/>
        </w:rPr>
        <w:t>reported by Biggs et al. (2014) with the ratings of levels of low, moderate, and high used.</w:t>
      </w:r>
    </w:p>
    <w:p w14:paraId="6F5965A9" w14:textId="35135B0F" w:rsidR="00C35639" w:rsidRPr="007D6D81" w:rsidRDefault="00C35639" w:rsidP="00C3563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D6D81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7D6D81">
        <w:rPr>
          <w:rFonts w:ascii="Times New Roman" w:hAnsi="Times New Roman" w:cs="Times New Roman"/>
          <w:sz w:val="20"/>
          <w:szCs w:val="20"/>
        </w:rPr>
        <w:t xml:space="preserve"> Evidence-informed is the credibility and rigour of verifying evidence, applied using the matrix reported by (Biggs et al. 2014) with the ratings of low, moderate, and high used.</w:t>
      </w:r>
    </w:p>
    <w:p w14:paraId="0090EB2E" w14:textId="77777777" w:rsidR="00C35639" w:rsidRDefault="00C35639"/>
    <w:sectPr w:rsidR="00C35639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93F03F" w14:textId="77777777" w:rsidR="00C35639" w:rsidRDefault="00C35639" w:rsidP="00C35639">
      <w:pPr>
        <w:spacing w:after="0" w:line="240" w:lineRule="auto"/>
      </w:pPr>
      <w:r>
        <w:separator/>
      </w:r>
    </w:p>
  </w:endnote>
  <w:endnote w:type="continuationSeparator" w:id="0">
    <w:p w14:paraId="2DE76697" w14:textId="77777777" w:rsidR="00C35639" w:rsidRDefault="00C35639" w:rsidP="00C356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E9E64" w14:textId="0EBE8D08" w:rsidR="00C35639" w:rsidRPr="007D6D81" w:rsidRDefault="007D6D81" w:rsidP="007D6D81">
    <w:pPr>
      <w:spacing w:line="240" w:lineRule="auto"/>
      <w:rPr>
        <w:sz w:val="14"/>
        <w:szCs w:val="14"/>
      </w:rPr>
    </w:pPr>
    <w:r w:rsidRPr="007D6D81">
      <w:rPr>
        <w:rFonts w:ascii="Times New Roman" w:hAnsi="Times New Roman" w:cs="Times New Roman"/>
        <w:sz w:val="16"/>
        <w:szCs w:val="16"/>
      </w:rPr>
      <w:t xml:space="preserve">An evaluation of programmatic assessment across health professions education using contribution analysis, Advances in Health Science Education, Jamieson J, Palermo C, Hay M, Bacon, R., Lutze, J., &amp; Gibson S. Edith Cowan University and Monash University. </w:t>
    </w:r>
    <w:r>
      <w:rPr>
        <w:rFonts w:ascii="Times New Roman" w:hAnsi="Times New Roman" w:cs="Times New Roman"/>
        <w:sz w:val="16"/>
        <w:szCs w:val="16"/>
      </w:rPr>
      <w:t>j</w:t>
    </w:r>
    <w:r w:rsidRPr="007D6D81">
      <w:rPr>
        <w:rFonts w:ascii="Times New Roman" w:hAnsi="Times New Roman" w:cs="Times New Roman"/>
        <w:sz w:val="16"/>
        <w:szCs w:val="16"/>
      </w:rPr>
      <w:t>.jamieson@ecu.edu.au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545BB" w14:textId="77777777" w:rsidR="00C35639" w:rsidRDefault="00C35639" w:rsidP="00C35639">
      <w:pPr>
        <w:spacing w:after="0" w:line="240" w:lineRule="auto"/>
      </w:pPr>
      <w:r>
        <w:separator/>
      </w:r>
    </w:p>
  </w:footnote>
  <w:footnote w:type="continuationSeparator" w:id="0">
    <w:p w14:paraId="1FD959AE" w14:textId="77777777" w:rsidR="00C35639" w:rsidRDefault="00C35639" w:rsidP="00C356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APA 7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C35639"/>
    <w:rsid w:val="00236B6E"/>
    <w:rsid w:val="003232E2"/>
    <w:rsid w:val="005202FA"/>
    <w:rsid w:val="005C3591"/>
    <w:rsid w:val="007D6D81"/>
    <w:rsid w:val="007E4835"/>
    <w:rsid w:val="009E17C1"/>
    <w:rsid w:val="00A145A5"/>
    <w:rsid w:val="00C35639"/>
    <w:rsid w:val="00CC238A"/>
    <w:rsid w:val="00ED6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7C3DD"/>
  <w15:chartTrackingRefBased/>
  <w15:docId w15:val="{BF0BB05E-C32A-4B80-9AE1-D9CFD2CB1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639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3563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C3563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35639"/>
    <w:rPr>
      <w:rFonts w:ascii="Calibri" w:hAnsi="Calibri" w:cs="Calibri"/>
      <w:noProof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C3563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35639"/>
    <w:rPr>
      <w:rFonts w:ascii="Calibri" w:hAnsi="Calibri" w:cs="Calibri"/>
      <w:noProof/>
      <w:kern w:val="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C356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563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356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3563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35639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56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5639"/>
    <w:rPr>
      <w:b/>
      <w:bCs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356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5639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356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5639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467</Words>
  <Characters>2662</Characters>
  <Application>Microsoft Office Word</Application>
  <DocSecurity>0</DocSecurity>
  <Lines>22</Lines>
  <Paragraphs>6</Paragraphs>
  <ScaleCrop>false</ScaleCrop>
  <Company/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Janica JAMIESON</dc:creator>
  <cp:keywords/>
  <dc:description/>
  <cp:lastModifiedBy>Janica JAMIESON</cp:lastModifiedBy>
  <cp:revision>4</cp:revision>
  <dcterms:created xsi:type="dcterms:W3CDTF">2024-02-27T03:33:00Z</dcterms:created>
  <dcterms:modified xsi:type="dcterms:W3CDTF">2024-03-28T06:08:00Z</dcterms:modified>
</cp:coreProperties>
</file>