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07094" w14:textId="77777777" w:rsidR="00286496" w:rsidRDefault="00286496" w:rsidP="00286496">
      <w:pPr>
        <w:widowControl/>
        <w:suppressLineNumbers/>
        <w:adjustRightInd w:val="0"/>
        <w:snapToGrid w:val="0"/>
        <w:spacing w:line="360" w:lineRule="auto"/>
        <w:jc w:val="center"/>
        <w:rPr>
          <w:b/>
          <w:bCs/>
          <w:color w:val="000000" w:themeColor="text1"/>
          <w:sz w:val="32"/>
          <w:szCs w:val="32"/>
        </w:rPr>
      </w:pPr>
      <w:r>
        <w:rPr>
          <w:b/>
          <w:bCs/>
          <w:color w:val="000000" w:themeColor="text1"/>
          <w:sz w:val="32"/>
          <w:szCs w:val="32"/>
        </w:rPr>
        <w:t>Supplementary</w:t>
      </w:r>
      <w:r>
        <w:rPr>
          <w:b/>
          <w:bCs/>
          <w:color w:val="000000" w:themeColor="text1"/>
          <w:sz w:val="20"/>
          <w:szCs w:val="20"/>
        </w:rPr>
        <w:t xml:space="preserve"> </w:t>
      </w:r>
      <w:r>
        <w:rPr>
          <w:b/>
          <w:bCs/>
          <w:color w:val="000000" w:themeColor="text1"/>
          <w:sz w:val="32"/>
          <w:szCs w:val="32"/>
        </w:rPr>
        <w:t>Documents</w:t>
      </w:r>
    </w:p>
    <w:p w14:paraId="580BB5CE" w14:textId="77777777" w:rsidR="00286496" w:rsidRDefault="00286496" w:rsidP="00286496">
      <w:pPr>
        <w:suppressLineNumbers/>
        <w:spacing w:line="360" w:lineRule="auto"/>
        <w:rPr>
          <w:b/>
          <w:bCs/>
          <w:color w:val="000000" w:themeColor="text1"/>
          <w:sz w:val="32"/>
          <w:szCs w:val="32"/>
        </w:rPr>
      </w:pPr>
      <w:bookmarkStart w:id="0" w:name="_Hlk76321753"/>
    </w:p>
    <w:p w14:paraId="544A8A15" w14:textId="77777777" w:rsidR="00286496" w:rsidRPr="00BA5A37" w:rsidRDefault="00286496" w:rsidP="00286496">
      <w:pPr>
        <w:suppressLineNumbers/>
        <w:snapToGrid w:val="0"/>
        <w:jc w:val="left"/>
        <w:rPr>
          <w:b/>
          <w:bCs/>
          <w:color w:val="000000" w:themeColor="text1"/>
          <w:sz w:val="24"/>
          <w:szCs w:val="24"/>
        </w:rPr>
      </w:pPr>
      <w:bookmarkStart w:id="1" w:name="_Hlk121220229"/>
      <w:bookmarkEnd w:id="0"/>
      <w:r w:rsidRPr="00BA5A37">
        <w:rPr>
          <w:b/>
          <w:bCs/>
          <w:color w:val="000000" w:themeColor="text1"/>
          <w:sz w:val="24"/>
          <w:szCs w:val="24"/>
        </w:rPr>
        <w:t>Supplementary Contexts</w:t>
      </w:r>
    </w:p>
    <w:p w14:paraId="15813075" w14:textId="191E56B6" w:rsidR="00F726EC" w:rsidRDefault="00F726EC" w:rsidP="00286496">
      <w:pPr>
        <w:suppressLineNumbers/>
        <w:snapToGrid w:val="0"/>
        <w:jc w:val="left"/>
        <w:rPr>
          <w:color w:val="000000" w:themeColor="text1"/>
          <w:sz w:val="20"/>
          <w:szCs w:val="20"/>
        </w:rPr>
      </w:pPr>
      <w:bookmarkStart w:id="2" w:name="_Hlk121153119"/>
      <w:bookmarkStart w:id="3" w:name="_Hlk121220236"/>
      <w:bookmarkEnd w:id="1"/>
      <w:r w:rsidRPr="00F726EC">
        <w:rPr>
          <w:color w:val="000000" w:themeColor="text1"/>
          <w:sz w:val="20"/>
          <w:szCs w:val="20"/>
        </w:rPr>
        <w:t>Secondary study aims</w:t>
      </w:r>
    </w:p>
    <w:p w14:paraId="3BF13E7D" w14:textId="251B6ED2" w:rsidR="001467B1" w:rsidRDefault="001467B1" w:rsidP="00286496">
      <w:pPr>
        <w:suppressLineNumbers/>
        <w:snapToGrid w:val="0"/>
        <w:jc w:val="left"/>
        <w:rPr>
          <w:color w:val="000000" w:themeColor="text1"/>
          <w:sz w:val="20"/>
          <w:szCs w:val="20"/>
        </w:rPr>
      </w:pPr>
      <w:bookmarkStart w:id="4" w:name="_Hlk121221697"/>
      <w:r w:rsidRPr="001467B1">
        <w:rPr>
          <w:color w:val="000000" w:themeColor="text1"/>
          <w:sz w:val="20"/>
          <w:szCs w:val="20"/>
        </w:rPr>
        <w:t>Exclusion criteria of the study population</w:t>
      </w:r>
    </w:p>
    <w:bookmarkEnd w:id="3"/>
    <w:bookmarkEnd w:id="4"/>
    <w:p w14:paraId="7F7264C2" w14:textId="1039D3DB" w:rsidR="00286496" w:rsidRPr="00BA5A37" w:rsidRDefault="00286496" w:rsidP="00286496">
      <w:pPr>
        <w:suppressLineNumbers/>
        <w:snapToGrid w:val="0"/>
        <w:jc w:val="left"/>
        <w:rPr>
          <w:color w:val="000000" w:themeColor="text1"/>
          <w:sz w:val="20"/>
          <w:szCs w:val="20"/>
        </w:rPr>
      </w:pPr>
      <w:r w:rsidRPr="00BA5A37">
        <w:rPr>
          <w:color w:val="000000" w:themeColor="text1"/>
          <w:sz w:val="20"/>
          <w:szCs w:val="20"/>
        </w:rPr>
        <w:t>Low-dose computed tomography (LDCT) scan protocol</w:t>
      </w:r>
    </w:p>
    <w:p w14:paraId="62906062" w14:textId="56788116" w:rsidR="00286496" w:rsidRDefault="00286496" w:rsidP="00286496">
      <w:pPr>
        <w:suppressLineNumbers/>
        <w:snapToGrid w:val="0"/>
        <w:jc w:val="left"/>
        <w:rPr>
          <w:color w:val="000000" w:themeColor="text1"/>
          <w:sz w:val="20"/>
          <w:szCs w:val="20"/>
        </w:rPr>
      </w:pPr>
      <w:r w:rsidRPr="00BA5A37">
        <w:rPr>
          <w:color w:val="000000" w:themeColor="text1"/>
          <w:sz w:val="20"/>
          <w:szCs w:val="20"/>
        </w:rPr>
        <w:t>Management of Pulmonary Nodules</w:t>
      </w:r>
    </w:p>
    <w:p w14:paraId="67FD0E71" w14:textId="6AE28B17" w:rsidR="005203DF" w:rsidRPr="00BA5A37" w:rsidRDefault="005203DF" w:rsidP="00286496">
      <w:pPr>
        <w:suppressLineNumbers/>
        <w:snapToGrid w:val="0"/>
        <w:jc w:val="left"/>
        <w:rPr>
          <w:color w:val="000000" w:themeColor="text1"/>
          <w:sz w:val="20"/>
          <w:szCs w:val="20"/>
        </w:rPr>
      </w:pPr>
      <w:r w:rsidRPr="005203DF">
        <w:rPr>
          <w:color w:val="000000" w:themeColor="text1"/>
          <w:sz w:val="20"/>
          <w:szCs w:val="20"/>
        </w:rPr>
        <w:t>Biospecimen collection and handling</w:t>
      </w:r>
    </w:p>
    <w:bookmarkEnd w:id="2"/>
    <w:p w14:paraId="57CE7DD2" w14:textId="77777777" w:rsidR="00286496" w:rsidRPr="00BA5A37" w:rsidRDefault="00286496" w:rsidP="00286496">
      <w:pPr>
        <w:suppressLineNumbers/>
        <w:snapToGrid w:val="0"/>
        <w:jc w:val="left"/>
        <w:rPr>
          <w:color w:val="000000" w:themeColor="text1"/>
          <w:sz w:val="24"/>
          <w:szCs w:val="24"/>
        </w:rPr>
      </w:pPr>
    </w:p>
    <w:p w14:paraId="27BDC28C" w14:textId="77777777" w:rsidR="00286496" w:rsidRPr="00BA5A37" w:rsidRDefault="00286496" w:rsidP="00286496">
      <w:pPr>
        <w:suppressLineNumbers/>
        <w:snapToGrid w:val="0"/>
        <w:jc w:val="left"/>
        <w:rPr>
          <w:b/>
          <w:bCs/>
          <w:color w:val="000000" w:themeColor="text1"/>
          <w:sz w:val="24"/>
          <w:szCs w:val="24"/>
        </w:rPr>
      </w:pPr>
      <w:r w:rsidRPr="00BA5A37">
        <w:rPr>
          <w:b/>
          <w:bCs/>
          <w:color w:val="000000" w:themeColor="text1"/>
          <w:sz w:val="24"/>
          <w:szCs w:val="24"/>
        </w:rPr>
        <w:t>Supplementary Tables</w:t>
      </w:r>
    </w:p>
    <w:p w14:paraId="35DD45DC" w14:textId="3F3A529D" w:rsidR="00286496" w:rsidRPr="00BA5A37" w:rsidRDefault="00286496" w:rsidP="00286496">
      <w:pPr>
        <w:suppressLineNumbers/>
        <w:snapToGrid w:val="0"/>
        <w:jc w:val="left"/>
        <w:rPr>
          <w:color w:val="000000" w:themeColor="text1"/>
          <w:sz w:val="20"/>
          <w:szCs w:val="20"/>
        </w:rPr>
      </w:pPr>
      <w:r w:rsidRPr="00BA5A37">
        <w:rPr>
          <w:b/>
          <w:bCs/>
          <w:color w:val="000000" w:themeColor="text1"/>
          <w:sz w:val="20"/>
          <w:szCs w:val="20"/>
        </w:rPr>
        <w:t>Supplementary Table 1</w:t>
      </w:r>
      <w:r w:rsidRPr="00BA5A37">
        <w:rPr>
          <w:color w:val="000000" w:themeColor="text1"/>
          <w:sz w:val="20"/>
          <w:szCs w:val="20"/>
        </w:rPr>
        <w:t xml:space="preserve"> </w:t>
      </w:r>
      <w:r w:rsidR="00760CE3" w:rsidRPr="00760CE3">
        <w:rPr>
          <w:color w:val="000000" w:themeColor="text1"/>
          <w:sz w:val="20"/>
          <w:szCs w:val="20"/>
        </w:rPr>
        <w:t xml:space="preserve">Input </w:t>
      </w:r>
      <w:r w:rsidR="00400261">
        <w:rPr>
          <w:color w:val="000000" w:themeColor="text1"/>
          <w:sz w:val="20"/>
          <w:szCs w:val="20"/>
        </w:rPr>
        <w:t>p</w:t>
      </w:r>
      <w:r w:rsidR="00760CE3" w:rsidRPr="00760CE3">
        <w:rPr>
          <w:color w:val="000000" w:themeColor="text1"/>
          <w:sz w:val="20"/>
          <w:szCs w:val="20"/>
        </w:rPr>
        <w:t>arameters</w:t>
      </w:r>
      <w:r w:rsidR="00400261">
        <w:rPr>
          <w:color w:val="000000" w:themeColor="text1"/>
          <w:sz w:val="20"/>
          <w:szCs w:val="20"/>
        </w:rPr>
        <w:t xml:space="preserve"> for sample size calculations</w:t>
      </w:r>
    </w:p>
    <w:p w14:paraId="52906DC2" w14:textId="77777777" w:rsidR="00286496" w:rsidRDefault="00286496" w:rsidP="00286496">
      <w:pPr>
        <w:suppressLineNumbers/>
        <w:snapToGrid w:val="0"/>
        <w:jc w:val="left"/>
        <w:rPr>
          <w:b/>
          <w:bCs/>
          <w:color w:val="000000" w:themeColor="text1"/>
          <w:sz w:val="24"/>
          <w:szCs w:val="24"/>
        </w:rPr>
      </w:pPr>
    </w:p>
    <w:p w14:paraId="09CF9581" w14:textId="77777777" w:rsidR="00286496" w:rsidRPr="00BA5A37" w:rsidRDefault="00286496" w:rsidP="00286496">
      <w:pPr>
        <w:suppressLineNumbers/>
        <w:snapToGrid w:val="0"/>
        <w:jc w:val="left"/>
        <w:rPr>
          <w:b/>
          <w:bCs/>
          <w:color w:val="000000" w:themeColor="text1"/>
          <w:sz w:val="24"/>
          <w:szCs w:val="24"/>
        </w:rPr>
      </w:pPr>
      <w:r w:rsidRPr="00BA5A37">
        <w:rPr>
          <w:b/>
          <w:bCs/>
          <w:color w:val="000000" w:themeColor="text1"/>
          <w:sz w:val="24"/>
          <w:szCs w:val="24"/>
        </w:rPr>
        <w:t>Supplementary Figures</w:t>
      </w:r>
    </w:p>
    <w:p w14:paraId="0AFEBAAE" w14:textId="11084743" w:rsidR="00286496" w:rsidRPr="00BA5A37" w:rsidRDefault="00286496" w:rsidP="00286496">
      <w:pPr>
        <w:suppressLineNumbers/>
        <w:snapToGrid w:val="0"/>
        <w:jc w:val="left"/>
        <w:rPr>
          <w:color w:val="000000" w:themeColor="text1"/>
          <w:sz w:val="20"/>
          <w:szCs w:val="20"/>
        </w:rPr>
      </w:pPr>
      <w:r w:rsidRPr="00BA5A37">
        <w:rPr>
          <w:b/>
          <w:bCs/>
          <w:color w:val="000000" w:themeColor="text1"/>
          <w:sz w:val="20"/>
          <w:szCs w:val="20"/>
        </w:rPr>
        <w:t xml:space="preserve">Supplementary Figure </w:t>
      </w:r>
      <w:r w:rsidR="002360DF">
        <w:rPr>
          <w:b/>
          <w:bCs/>
          <w:color w:val="000000" w:themeColor="text1"/>
          <w:sz w:val="20"/>
          <w:szCs w:val="20"/>
        </w:rPr>
        <w:t>1</w:t>
      </w:r>
      <w:r w:rsidR="00F077E9" w:rsidRPr="00BA5A37">
        <w:rPr>
          <w:color w:val="000000" w:themeColor="text1"/>
          <w:sz w:val="20"/>
          <w:szCs w:val="20"/>
        </w:rPr>
        <w:t xml:space="preserve"> </w:t>
      </w:r>
      <w:r>
        <w:rPr>
          <w:color w:val="000000" w:themeColor="text1"/>
          <w:sz w:val="20"/>
          <w:szCs w:val="20"/>
        </w:rPr>
        <w:t xml:space="preserve">Management of pulmonary nodules </w:t>
      </w:r>
    </w:p>
    <w:p w14:paraId="2F74DAD0" w14:textId="73E59C6D" w:rsidR="00286496" w:rsidRDefault="00286496" w:rsidP="00286496">
      <w:pPr>
        <w:suppressLineNumbers/>
        <w:snapToGrid w:val="0"/>
        <w:jc w:val="left"/>
        <w:rPr>
          <w:sz w:val="28"/>
          <w:szCs w:val="28"/>
        </w:rPr>
      </w:pPr>
      <w:r>
        <w:rPr>
          <w:sz w:val="28"/>
          <w:szCs w:val="28"/>
        </w:rPr>
        <w:br w:type="page"/>
      </w:r>
    </w:p>
    <w:p w14:paraId="30FB1B9B" w14:textId="77777777" w:rsidR="00286496" w:rsidRDefault="00286496" w:rsidP="00286496">
      <w:pPr>
        <w:widowControl/>
        <w:adjustRightInd w:val="0"/>
        <w:snapToGrid w:val="0"/>
        <w:jc w:val="center"/>
        <w:rPr>
          <w:b/>
          <w:bCs/>
          <w:color w:val="000000" w:themeColor="text1"/>
          <w:sz w:val="28"/>
          <w:szCs w:val="28"/>
        </w:rPr>
      </w:pPr>
      <w:r>
        <w:rPr>
          <w:b/>
          <w:bCs/>
          <w:color w:val="000000" w:themeColor="text1"/>
          <w:sz w:val="28"/>
          <w:szCs w:val="28"/>
        </w:rPr>
        <w:lastRenderedPageBreak/>
        <w:t>Supplementary Contexts</w:t>
      </w:r>
    </w:p>
    <w:p w14:paraId="396A129E" w14:textId="0F1F2831" w:rsidR="00030D08" w:rsidRDefault="00030D08" w:rsidP="00286496">
      <w:pPr>
        <w:adjustRightInd w:val="0"/>
        <w:rPr>
          <w:sz w:val="20"/>
          <w:szCs w:val="20"/>
        </w:rPr>
      </w:pPr>
    </w:p>
    <w:p w14:paraId="51F50920" w14:textId="46E85BF6" w:rsidR="00F726EC" w:rsidRDefault="00F726EC" w:rsidP="00286496">
      <w:pPr>
        <w:adjustRightInd w:val="0"/>
        <w:rPr>
          <w:b/>
          <w:bCs/>
          <w:color w:val="000000" w:themeColor="text1"/>
          <w:sz w:val="24"/>
          <w:szCs w:val="24"/>
        </w:rPr>
      </w:pPr>
      <w:bookmarkStart w:id="5" w:name="_Hlk121220144"/>
      <w:r>
        <w:rPr>
          <w:b/>
          <w:bCs/>
          <w:color w:val="000000" w:themeColor="text1"/>
          <w:sz w:val="24"/>
          <w:szCs w:val="24"/>
        </w:rPr>
        <w:t>Secondary s</w:t>
      </w:r>
      <w:r w:rsidRPr="00F726EC">
        <w:rPr>
          <w:b/>
          <w:bCs/>
          <w:color w:val="000000" w:themeColor="text1"/>
          <w:sz w:val="24"/>
          <w:szCs w:val="24"/>
        </w:rPr>
        <w:t>tudy aims</w:t>
      </w:r>
    </w:p>
    <w:bookmarkEnd w:id="5"/>
    <w:p w14:paraId="6AA2404D" w14:textId="39A6495D" w:rsidR="00F726EC" w:rsidRDefault="00F726EC" w:rsidP="00286496">
      <w:pPr>
        <w:adjustRightInd w:val="0"/>
        <w:rPr>
          <w:color w:val="000000"/>
          <w:sz w:val="20"/>
          <w:szCs w:val="20"/>
        </w:rPr>
      </w:pPr>
      <w:r w:rsidRPr="00F726EC">
        <w:rPr>
          <w:color w:val="000000"/>
          <w:sz w:val="20"/>
          <w:szCs w:val="20"/>
        </w:rPr>
        <w:t>The secondary objectives were: 1) To compare differences in CRC-specific mortality reduction between one-time colonoscopy and annual FIT; 2) To determine differences in population preference for an invasive (colonoscopy) versus non-invasive (FIT) screening test when given the opportunity to choose; 3) To assess screening variables, other than mortality, for each of the screening techniques for lung cancer and CRC including sensitivity, specificity, and the positive and negative predictive values; 4) To assess the compliance (i.e., intention to participate, reasons for drop-off, and compliance with colonoscopy for follow-up to a positive FIT) and cost-effectiveness of each screening technique in the high-risk population in urban China; 5) To compare the stage-specific frequencies of diagnosis, survival, and other clinical-pathological characteristics of cancer cases identified in LDCT screening and the LDCT control of CRC screening; 6) To establish a large cancer screening cohort with long-term follow-up in urban China to (I) identify epidemiological risk factors for lung cancer and CRC incidence and mortality in Chinese urban residents and (II) follow the development and transformation process of lung nodules and colorectal tumors, such as adenoma, to identify important events that inform surgical intervention; 7) To establish an image library of LDCT scans and colonoscopies; and 8) To develop a large biobank for use in future studies of etiology and cancer progression.</w:t>
      </w:r>
    </w:p>
    <w:p w14:paraId="3B593F90" w14:textId="00B18FB4" w:rsidR="001467B1" w:rsidRDefault="001467B1" w:rsidP="00286496">
      <w:pPr>
        <w:adjustRightInd w:val="0"/>
        <w:rPr>
          <w:color w:val="000000"/>
          <w:sz w:val="20"/>
          <w:szCs w:val="20"/>
        </w:rPr>
      </w:pPr>
    </w:p>
    <w:p w14:paraId="30934D94" w14:textId="6596BAA3" w:rsidR="001467B1" w:rsidRPr="001467B1" w:rsidRDefault="001467B1" w:rsidP="00286496">
      <w:pPr>
        <w:adjustRightInd w:val="0"/>
        <w:rPr>
          <w:b/>
          <w:bCs/>
          <w:color w:val="000000" w:themeColor="text1"/>
          <w:sz w:val="24"/>
          <w:szCs w:val="24"/>
        </w:rPr>
      </w:pPr>
      <w:r w:rsidRPr="001467B1">
        <w:rPr>
          <w:b/>
          <w:bCs/>
          <w:color w:val="000000" w:themeColor="text1"/>
          <w:sz w:val="24"/>
          <w:szCs w:val="24"/>
        </w:rPr>
        <w:t>Exclusion criteria</w:t>
      </w:r>
      <w:r w:rsidRPr="001467B1">
        <w:rPr>
          <w:b/>
          <w:bCs/>
          <w:color w:val="000000" w:themeColor="text1"/>
          <w:sz w:val="24"/>
          <w:szCs w:val="24"/>
        </w:rPr>
        <w:t xml:space="preserve"> of the study population</w:t>
      </w:r>
    </w:p>
    <w:p w14:paraId="36E28B90" w14:textId="6DC819D1" w:rsidR="001467B1" w:rsidRPr="00F726EC" w:rsidRDefault="001467B1" w:rsidP="00286496">
      <w:pPr>
        <w:adjustRightInd w:val="0"/>
        <w:rPr>
          <w:rFonts w:hint="eastAsia"/>
          <w:color w:val="000000"/>
          <w:sz w:val="20"/>
          <w:szCs w:val="20"/>
        </w:rPr>
      </w:pPr>
      <w:r w:rsidRPr="001467B1">
        <w:rPr>
          <w:color w:val="000000"/>
          <w:sz w:val="20"/>
          <w:szCs w:val="20"/>
        </w:rPr>
        <w:t>Exclusion criteria include the following: inability to complete the informed consent due to physical or mental illness; inability to raise one’s arms over the head while lying on one’s back; a metal implant or device on the chest or back (e.g., heart stents or a cardiac pacemaker); requirement of supplemental oxygen for routine activities; a history of malignancy or cancer treatment (excluding basal cell carcinoma of the skin and cervical carcinoma in situ);inclusion in any other lung cancer or CRC screening or chemoprevention programs in the past five years; a chest CT scan in the past three years; surgical resection of lung tissue; unexplained weight loss of five kilograms or more within the past 12 months or unexplained hemoptysis; diagnosis of serious disease in an irreversible stage, such as severe cardiac-cerebral vascular diseases, heart failure, kidney failure, or severe liver cirrhosis.</w:t>
      </w:r>
    </w:p>
    <w:p w14:paraId="5A146CF8" w14:textId="77777777" w:rsidR="00F726EC" w:rsidRDefault="00F726EC" w:rsidP="00286496">
      <w:pPr>
        <w:adjustRightInd w:val="0"/>
        <w:rPr>
          <w:b/>
          <w:bCs/>
          <w:color w:val="000000" w:themeColor="text1"/>
          <w:sz w:val="24"/>
          <w:szCs w:val="24"/>
        </w:rPr>
      </w:pPr>
    </w:p>
    <w:p w14:paraId="21A651AC" w14:textId="22B37822" w:rsidR="00286496" w:rsidRPr="00D57E5A" w:rsidRDefault="00286496" w:rsidP="00286496">
      <w:pPr>
        <w:adjustRightInd w:val="0"/>
        <w:rPr>
          <w:b/>
          <w:bCs/>
          <w:color w:val="000000" w:themeColor="text1"/>
          <w:sz w:val="24"/>
          <w:szCs w:val="24"/>
        </w:rPr>
      </w:pPr>
      <w:r w:rsidRPr="00D57E5A">
        <w:rPr>
          <w:b/>
          <w:bCs/>
          <w:color w:val="000000" w:themeColor="text1"/>
          <w:sz w:val="24"/>
          <w:szCs w:val="24"/>
        </w:rPr>
        <w:t>Low-dose computed tomography (LDCT) scan protocol</w:t>
      </w:r>
    </w:p>
    <w:p w14:paraId="0498095B" w14:textId="7E05786E" w:rsidR="00286496" w:rsidRPr="00BA5A37" w:rsidRDefault="00286496" w:rsidP="00F964CE">
      <w:pPr>
        <w:adjustRightInd w:val="0"/>
        <w:rPr>
          <w:color w:val="000000" w:themeColor="text1"/>
          <w:sz w:val="20"/>
          <w:szCs w:val="20"/>
        </w:rPr>
      </w:pPr>
      <w:r w:rsidRPr="00BA5A37">
        <w:rPr>
          <w:color w:val="000000"/>
          <w:sz w:val="20"/>
          <w:szCs w:val="20"/>
        </w:rPr>
        <w:t xml:space="preserve">LDCT images were performed with variable numbers of detectors (16~256), from the apex to the base of the lung, in a single breath-hold and without the administration of intravenous contrast. Breath-hold training was performed before the CT scan. All images were documented using a picture archiving and communication systems (PACS). </w:t>
      </w:r>
      <w:r w:rsidRPr="00BA5A37">
        <w:rPr>
          <w:sz w:val="20"/>
          <w:szCs w:val="20"/>
          <w:lang w:eastAsia="en-US"/>
        </w:rPr>
        <w:t>The effective radiation dose ranged from 0</w:t>
      </w:r>
      <w:r w:rsidRPr="00BA5A37">
        <w:rPr>
          <w:sz w:val="20"/>
          <w:szCs w:val="20"/>
        </w:rPr>
        <w:t>·</w:t>
      </w:r>
      <w:r w:rsidRPr="00BA5A37">
        <w:rPr>
          <w:sz w:val="20"/>
          <w:szCs w:val="20"/>
          <w:lang w:eastAsia="en-US"/>
        </w:rPr>
        <w:t>3 m</w:t>
      </w:r>
      <w:r w:rsidRPr="00BA5A37">
        <w:rPr>
          <w:sz w:val="20"/>
          <w:szCs w:val="20"/>
        </w:rPr>
        <w:t>Sv</w:t>
      </w:r>
      <w:r w:rsidRPr="00BA5A37">
        <w:rPr>
          <w:sz w:val="20"/>
          <w:szCs w:val="20"/>
          <w:lang w:eastAsia="en-US"/>
        </w:rPr>
        <w:t xml:space="preserve"> to 1</w:t>
      </w:r>
      <w:r w:rsidRPr="00BA5A37">
        <w:rPr>
          <w:sz w:val="20"/>
          <w:szCs w:val="20"/>
        </w:rPr>
        <w:t>·</w:t>
      </w:r>
      <w:r w:rsidRPr="00BA5A37">
        <w:rPr>
          <w:sz w:val="20"/>
          <w:szCs w:val="20"/>
          <w:lang w:eastAsia="en-US"/>
        </w:rPr>
        <w:t>5 mSv</w:t>
      </w:r>
      <w:r w:rsidRPr="00BA5A37">
        <w:rPr>
          <w:sz w:val="20"/>
          <w:szCs w:val="20"/>
        </w:rPr>
        <w:t>.</w:t>
      </w:r>
      <w:r w:rsidRPr="00BA5A37">
        <w:rPr>
          <w:sz w:val="20"/>
          <w:szCs w:val="20"/>
          <w:lang w:eastAsia="en-US"/>
        </w:rPr>
        <w:t xml:space="preserve"> </w:t>
      </w:r>
      <w:r w:rsidR="00F964CE" w:rsidRPr="00F964CE">
        <w:rPr>
          <w:color w:val="000000"/>
          <w:sz w:val="20"/>
          <w:szCs w:val="20"/>
        </w:rPr>
        <w:t>The LDCT image acquisition settings are: lung window (WL: -650~-600 HU, WW: 1500 ~ 1600 HU) and mediastinal window (WL: 25~40 HU, WW: 350~380 HU). All pulmonary nodules will be classified into three types according to density: solid, part-solid, and non-solid. Nodule size will be reported according to its diameter, which is the average of its length and width. Length and width will be measured on a single CT image (axial, sagittal, or coronal) that shows the maximum size of the nodule. Length is the longest</w:t>
      </w:r>
      <w:r w:rsidR="00F964CE" w:rsidRPr="00F964CE">
        <w:rPr>
          <w:rFonts w:hint="eastAsia"/>
          <w:color w:val="000000"/>
          <w:sz w:val="20"/>
          <w:szCs w:val="20"/>
        </w:rPr>
        <w:t xml:space="preserve"> dimension of the nodule and width is the longest perpendicular to the length. A positive screening result is defined as meeting any of the following conditions: solid nodules or part-solid nodules w</w:t>
      </w:r>
      <w:r w:rsidR="00F964CE" w:rsidRPr="00F964CE">
        <w:rPr>
          <w:color w:val="000000"/>
          <w:sz w:val="20"/>
          <w:szCs w:val="20"/>
        </w:rPr>
        <w:t>ith size ≥ 5 mm, non-solid nodules with size ≥ 8 mm, a solid endobronchial nodule, or any imaging findings considered suspicious for malignant lesions. For all nodules, the anatomical location (lobe), size, density, and margin characteristics will be recorded.</w:t>
      </w:r>
    </w:p>
    <w:p w14:paraId="57ABA1AD" w14:textId="77777777" w:rsidR="00286496" w:rsidRPr="00002216" w:rsidRDefault="00286496" w:rsidP="00286496">
      <w:pPr>
        <w:adjustRightInd w:val="0"/>
        <w:rPr>
          <w:color w:val="000000" w:themeColor="text1"/>
          <w:sz w:val="24"/>
          <w:szCs w:val="24"/>
        </w:rPr>
      </w:pPr>
    </w:p>
    <w:p w14:paraId="6E665DD6" w14:textId="77777777" w:rsidR="00286496" w:rsidRPr="00D57E5A" w:rsidRDefault="00286496" w:rsidP="00286496">
      <w:pPr>
        <w:adjustRightInd w:val="0"/>
        <w:rPr>
          <w:b/>
          <w:bCs/>
          <w:color w:val="000000" w:themeColor="text1"/>
          <w:sz w:val="24"/>
          <w:szCs w:val="24"/>
        </w:rPr>
      </w:pPr>
      <w:r w:rsidRPr="00D57E5A">
        <w:rPr>
          <w:b/>
          <w:bCs/>
          <w:color w:val="000000" w:themeColor="text1"/>
          <w:sz w:val="24"/>
          <w:szCs w:val="24"/>
        </w:rPr>
        <w:t>Management of Pulmonary Nodules</w:t>
      </w:r>
    </w:p>
    <w:p w14:paraId="682ABB79" w14:textId="77777777" w:rsidR="00286496" w:rsidRPr="00BA5A37" w:rsidRDefault="00286496" w:rsidP="00286496">
      <w:pPr>
        <w:rPr>
          <w:b/>
          <w:bCs/>
          <w:color w:val="000000"/>
          <w:sz w:val="20"/>
          <w:szCs w:val="20"/>
        </w:rPr>
      </w:pPr>
      <w:r w:rsidRPr="00BA5A37">
        <w:rPr>
          <w:sz w:val="20"/>
          <w:szCs w:val="20"/>
          <w:lang w:eastAsia="en-US"/>
        </w:rPr>
        <w:t xml:space="preserve">Nodules were considered benign if they were classified as calcified </w:t>
      </w:r>
      <w:r w:rsidRPr="00BA5A37">
        <w:rPr>
          <w:sz w:val="20"/>
          <w:szCs w:val="20"/>
        </w:rPr>
        <w:t>according to</w:t>
      </w:r>
      <w:r w:rsidRPr="00BA5A37">
        <w:rPr>
          <w:sz w:val="20"/>
          <w:szCs w:val="20"/>
          <w:lang w:eastAsia="en-US"/>
        </w:rPr>
        <w:t xml:space="preserve"> their criteria (diffuse, central, laminated), or if they contained sufficient fat to be classified as hematoma. </w:t>
      </w:r>
      <w:r w:rsidRPr="00BA5A37">
        <w:rPr>
          <w:sz w:val="20"/>
          <w:szCs w:val="20"/>
        </w:rPr>
        <w:t xml:space="preserve">A nodule is classified as a non-calcified nodule (NCN) if it fails to meet the usual criteria for benign, calcified nodules. </w:t>
      </w:r>
      <w:r w:rsidRPr="00BA5A37">
        <w:rPr>
          <w:sz w:val="20"/>
          <w:szCs w:val="20"/>
          <w:lang w:eastAsia="en-US"/>
        </w:rPr>
        <w:t xml:space="preserve">Consistency was considered solid if the nodule obscured the entire lung parenchyma within the nodule, part-solid if it obscured part of the lung parenchyma within the nodule, and nonsolid if it did not obscure the lung parenchyma within the nodule. </w:t>
      </w:r>
      <w:r w:rsidRPr="00BA5A37">
        <w:rPr>
          <w:sz w:val="20"/>
          <w:szCs w:val="20"/>
        </w:rPr>
        <w:t>The nodule size was expressed in diameter,</w:t>
      </w:r>
      <w:r w:rsidRPr="00BA5A37">
        <w:rPr>
          <w:sz w:val="20"/>
          <w:szCs w:val="20"/>
          <w:lang w:eastAsia="en-US"/>
        </w:rPr>
        <w:t xml:space="preserve"> which was defined as the average </w:t>
      </w:r>
      <w:r w:rsidRPr="00BA5A37">
        <w:rPr>
          <w:sz w:val="20"/>
          <w:szCs w:val="20"/>
        </w:rPr>
        <w:t xml:space="preserve">of </w:t>
      </w:r>
      <w:r w:rsidRPr="00BA5A37">
        <w:rPr>
          <w:sz w:val="20"/>
          <w:szCs w:val="20"/>
          <w:lang w:eastAsia="en-US"/>
        </w:rPr>
        <w:t>length (</w:t>
      </w:r>
      <w:r w:rsidRPr="00BA5A37">
        <w:rPr>
          <w:sz w:val="20"/>
          <w:szCs w:val="20"/>
        </w:rPr>
        <w:t>the longest dimension)</w:t>
      </w:r>
      <w:r w:rsidRPr="00BA5A37">
        <w:rPr>
          <w:sz w:val="20"/>
          <w:szCs w:val="20"/>
          <w:lang w:eastAsia="en-US"/>
        </w:rPr>
        <w:t xml:space="preserve"> and width (the </w:t>
      </w:r>
      <w:r w:rsidRPr="00BA5A37">
        <w:rPr>
          <w:sz w:val="20"/>
          <w:szCs w:val="20"/>
        </w:rPr>
        <w:t>longest dimension perpendicular to the length)</w:t>
      </w:r>
      <w:r w:rsidRPr="00BA5A37">
        <w:rPr>
          <w:sz w:val="20"/>
          <w:szCs w:val="20"/>
          <w:lang w:eastAsia="en-US"/>
        </w:rPr>
        <w:t xml:space="preserve"> of the nodule. </w:t>
      </w:r>
      <w:r w:rsidRPr="00BA5A37">
        <w:rPr>
          <w:sz w:val="20"/>
          <w:szCs w:val="20"/>
        </w:rPr>
        <w:t>Length and width were measured on the same CT image (axial, sagittal, or coronal) which showed the maximum size of the nodule.</w:t>
      </w:r>
    </w:p>
    <w:p w14:paraId="4A66FDFA" w14:textId="77777777" w:rsidR="00286496" w:rsidRPr="00BA5A37" w:rsidRDefault="00286496" w:rsidP="00286496">
      <w:pPr>
        <w:rPr>
          <w:sz w:val="20"/>
          <w:szCs w:val="20"/>
        </w:rPr>
      </w:pPr>
    </w:p>
    <w:p w14:paraId="16C45209" w14:textId="6EEF0CD1" w:rsidR="002170C9" w:rsidRDefault="002360DF" w:rsidP="00286496">
      <w:pPr>
        <w:rPr>
          <w:color w:val="000000"/>
          <w:sz w:val="20"/>
          <w:szCs w:val="20"/>
        </w:rPr>
      </w:pPr>
      <w:r w:rsidRPr="00430552">
        <w:rPr>
          <w:rFonts w:hint="eastAsia"/>
          <w:color w:val="000000"/>
          <w:sz w:val="20"/>
          <w:szCs w:val="20"/>
        </w:rPr>
        <w:t>Guidelines for the management of pulmonary nodules are based on LDCT findings. Participants with any</w:t>
      </w:r>
      <w:r w:rsidRPr="00430552">
        <w:rPr>
          <w:color w:val="000000"/>
          <w:sz w:val="20"/>
          <w:szCs w:val="20"/>
        </w:rPr>
        <w:t xml:space="preserve"> type of nodule diameter ≥ 15 mm will be recommended to accept one of the following strategies: 1) antibiotic treatment for 10–14 days and a follow-up LDCT in one month if the baseline LDCT image shows inflammation</w:t>
      </w:r>
      <w:r w:rsidR="00EB3D80">
        <w:rPr>
          <w:color w:val="000000"/>
          <w:sz w:val="20"/>
          <w:szCs w:val="20"/>
        </w:rPr>
        <w:t>,</w:t>
      </w:r>
      <w:r w:rsidRPr="00430552">
        <w:rPr>
          <w:color w:val="000000"/>
          <w:sz w:val="20"/>
          <w:szCs w:val="20"/>
        </w:rPr>
        <w:t xml:space="preserve"> 2) a PET-CT scan if the baseline image indicates malignant lesions</w:t>
      </w:r>
      <w:r w:rsidR="00EB3D80">
        <w:rPr>
          <w:color w:val="000000"/>
          <w:sz w:val="20"/>
          <w:szCs w:val="20"/>
        </w:rPr>
        <w:t>, or 3) biopsy</w:t>
      </w:r>
      <w:r w:rsidRPr="00430552">
        <w:rPr>
          <w:color w:val="000000"/>
          <w:sz w:val="20"/>
          <w:szCs w:val="20"/>
        </w:rPr>
        <w:t xml:space="preserve">. Participants with solid nodules, partly solid nodules ≥ 5 mm, or non-solid nodules ≥ 8 mm will be recommended to undergo a LDCT scan three months later. If the nodule is stable or decreases in size, follow-up screening of </w:t>
      </w:r>
      <w:r w:rsidR="005B4347">
        <w:rPr>
          <w:color w:val="000000"/>
          <w:sz w:val="20"/>
          <w:szCs w:val="20"/>
        </w:rPr>
        <w:t>next-round</w:t>
      </w:r>
      <w:r w:rsidRPr="00430552">
        <w:rPr>
          <w:color w:val="000000"/>
          <w:sz w:val="20"/>
          <w:szCs w:val="20"/>
        </w:rPr>
        <w:t xml:space="preserve"> LDCT </w:t>
      </w:r>
      <w:r w:rsidR="005B4347">
        <w:rPr>
          <w:color w:val="000000"/>
          <w:sz w:val="20"/>
          <w:szCs w:val="20"/>
        </w:rPr>
        <w:t xml:space="preserve">scans </w:t>
      </w:r>
      <w:r w:rsidRPr="00430552">
        <w:rPr>
          <w:color w:val="000000"/>
          <w:sz w:val="20"/>
          <w:szCs w:val="20"/>
        </w:rPr>
        <w:t>will be recommended. If the nodule increases in size, two experienced physicians will review the case and make a decision on implementing clinical intervention.</w:t>
      </w:r>
      <w:r w:rsidR="00EB3D80">
        <w:rPr>
          <w:color w:val="000000"/>
          <w:sz w:val="20"/>
          <w:szCs w:val="20"/>
        </w:rPr>
        <w:t xml:space="preserve"> </w:t>
      </w:r>
      <w:r w:rsidR="00286496" w:rsidRPr="00BA5A37">
        <w:rPr>
          <w:sz w:val="20"/>
          <w:szCs w:val="20"/>
        </w:rPr>
        <w:t xml:space="preserve">If the noncalcified nodules found were too small to meet the criteria for a positive result, the result was considered semipositive and participants were followed up 12 months later. The details were available in </w:t>
      </w:r>
      <w:r w:rsidR="00286496" w:rsidRPr="00BA5A37">
        <w:rPr>
          <w:color w:val="000000"/>
          <w:sz w:val="20"/>
          <w:szCs w:val="20"/>
          <w:lang w:eastAsia="en-US"/>
        </w:rPr>
        <w:t xml:space="preserve">Supplementary </w:t>
      </w:r>
      <w:r w:rsidR="00286496" w:rsidRPr="00BA5A37">
        <w:rPr>
          <w:color w:val="000000"/>
          <w:sz w:val="20"/>
          <w:szCs w:val="20"/>
        </w:rPr>
        <w:t xml:space="preserve">Figure </w:t>
      </w:r>
      <w:r>
        <w:rPr>
          <w:color w:val="000000"/>
          <w:sz w:val="20"/>
          <w:szCs w:val="20"/>
        </w:rPr>
        <w:t>1</w:t>
      </w:r>
      <w:r w:rsidR="00286496" w:rsidRPr="00BA5A37">
        <w:rPr>
          <w:color w:val="000000"/>
          <w:sz w:val="20"/>
          <w:szCs w:val="20"/>
        </w:rPr>
        <w:t>.</w:t>
      </w:r>
    </w:p>
    <w:p w14:paraId="5234A083" w14:textId="2AB84872" w:rsidR="00430552" w:rsidRDefault="00430552" w:rsidP="00286496">
      <w:pPr>
        <w:rPr>
          <w:color w:val="000000"/>
          <w:sz w:val="20"/>
          <w:szCs w:val="20"/>
        </w:rPr>
      </w:pPr>
    </w:p>
    <w:p w14:paraId="5A04D0FB" w14:textId="52A4EA01" w:rsidR="00F16F57" w:rsidRPr="00F16F57" w:rsidRDefault="00F16F57" w:rsidP="00F16F57">
      <w:pPr>
        <w:adjustRightInd w:val="0"/>
        <w:rPr>
          <w:b/>
          <w:bCs/>
          <w:color w:val="000000" w:themeColor="text1"/>
          <w:sz w:val="24"/>
          <w:szCs w:val="24"/>
        </w:rPr>
      </w:pPr>
      <w:r w:rsidRPr="00F16F57">
        <w:rPr>
          <w:b/>
          <w:bCs/>
          <w:color w:val="000000" w:themeColor="text1"/>
          <w:sz w:val="24"/>
          <w:szCs w:val="24"/>
        </w:rPr>
        <w:t>Biospecimen collection and handling</w:t>
      </w:r>
    </w:p>
    <w:p w14:paraId="71D31B8E" w14:textId="019D2837" w:rsidR="00A3622D" w:rsidRDefault="00F16F57" w:rsidP="00F726EC">
      <w:pPr>
        <w:rPr>
          <w:b/>
          <w:bCs/>
          <w:sz w:val="24"/>
          <w:szCs w:val="24"/>
        </w:rPr>
      </w:pPr>
      <w:r w:rsidRPr="00F16F57">
        <w:rPr>
          <w:color w:val="000000"/>
          <w:sz w:val="20"/>
          <w:szCs w:val="20"/>
        </w:rPr>
        <w:t xml:space="preserve">Up to 10 ml of blood (including 5 ml of ethylenediaminetetraacetic acid anticoagulated blood and 5 ml of non-anticoagulated blood) </w:t>
      </w:r>
      <w:r w:rsidRPr="00F16F57">
        <w:rPr>
          <w:color w:val="000000"/>
          <w:sz w:val="20"/>
          <w:szCs w:val="20"/>
        </w:rPr>
        <w:lastRenderedPageBreak/>
        <w:t xml:space="preserve">will be collected from participants who are required to be fasting during their visit to the hospital. Under standard operation protocols (SOPs), blood samples will be centrifuged, aliquoted, and stored at −80°C. For stool samples, collection devices (i.e., sample collection vials, ice bags, isothermal bags, and operation brochures) will be distributed. On the day before undergoing a colonoscopy procedure, participants will be requested to collect raw stool samples before taking bowel-cleaning drugs. Participants will be asked to store the samples in the freezer or in isothermal bags with ice bags until transported to the hospital. Samples will be stored at −80°C immediately on receipt. Biopsy specimens will be fixed in 10% buffered formalin, embedded in paraffin, and stored at room temperature. </w:t>
      </w:r>
      <w:r>
        <w:rPr>
          <w:color w:val="000000"/>
          <w:sz w:val="20"/>
          <w:szCs w:val="20"/>
        </w:rPr>
        <w:t>All t</w:t>
      </w:r>
      <w:r w:rsidRPr="00F16F57">
        <w:rPr>
          <w:color w:val="000000"/>
          <w:sz w:val="20"/>
          <w:szCs w:val="20"/>
        </w:rPr>
        <w:t xml:space="preserve">he procedures that biospecimens are collected, centrifuged, aliquoted, locally stored, cold chain transported, and stored in the </w:t>
      </w:r>
      <w:r>
        <w:rPr>
          <w:color w:val="000000"/>
          <w:sz w:val="20"/>
          <w:szCs w:val="20"/>
        </w:rPr>
        <w:t xml:space="preserve">China </w:t>
      </w:r>
      <w:r w:rsidRPr="00F16F57">
        <w:rPr>
          <w:color w:val="000000"/>
          <w:sz w:val="20"/>
          <w:szCs w:val="20"/>
        </w:rPr>
        <w:t>NCC Biobank will be documented in detail.</w:t>
      </w:r>
    </w:p>
    <w:p w14:paraId="6C2A44AC" w14:textId="1F9864A0" w:rsidR="00286496" w:rsidRPr="00C42BE4" w:rsidRDefault="00286496" w:rsidP="00706075">
      <w:pPr>
        <w:widowControl/>
        <w:suppressLineNumbers/>
        <w:jc w:val="left"/>
        <w:rPr>
          <w:color w:val="FF0000"/>
          <w:sz w:val="20"/>
        </w:rPr>
      </w:pPr>
      <w:r w:rsidRPr="00002216">
        <w:rPr>
          <w:sz w:val="24"/>
          <w:szCs w:val="24"/>
        </w:rPr>
        <w:br w:type="page"/>
      </w:r>
    </w:p>
    <w:p w14:paraId="2C99670F" w14:textId="77777777" w:rsidR="00286496" w:rsidRDefault="00286496" w:rsidP="00286496">
      <w:pPr>
        <w:adjustRightInd w:val="0"/>
        <w:spacing w:line="360" w:lineRule="auto"/>
        <w:rPr>
          <w:color w:val="000000" w:themeColor="text1"/>
          <w:sz w:val="20"/>
          <w:szCs w:val="20"/>
        </w:rPr>
        <w:sectPr w:rsidR="00286496" w:rsidSect="0007076A">
          <w:footerReference w:type="default" r:id="rId7"/>
          <w:pgSz w:w="12240" w:h="15840"/>
          <w:pgMar w:top="720" w:right="720" w:bottom="720" w:left="720" w:header="720" w:footer="720" w:gutter="0"/>
          <w:lnNumType w:countBy="1"/>
          <w:cols w:space="720"/>
          <w:docGrid w:linePitch="360"/>
        </w:sectPr>
      </w:pPr>
    </w:p>
    <w:p w14:paraId="14136592" w14:textId="76C58AD1" w:rsidR="00286496" w:rsidRDefault="00286496" w:rsidP="00286496">
      <w:pPr>
        <w:widowControl/>
        <w:adjustRightInd w:val="0"/>
        <w:snapToGrid w:val="0"/>
        <w:spacing w:line="360" w:lineRule="auto"/>
        <w:jc w:val="center"/>
        <w:rPr>
          <w:b/>
          <w:bCs/>
          <w:color w:val="000000" w:themeColor="text1"/>
          <w:sz w:val="28"/>
          <w:szCs w:val="28"/>
        </w:rPr>
      </w:pPr>
      <w:bookmarkStart w:id="6" w:name="_Toc25128"/>
      <w:bookmarkStart w:id="7" w:name="OLE_LINK3"/>
      <w:bookmarkStart w:id="8" w:name="OLE_LINK2"/>
      <w:r>
        <w:rPr>
          <w:b/>
          <w:bCs/>
          <w:color w:val="000000" w:themeColor="text1"/>
          <w:sz w:val="28"/>
          <w:szCs w:val="28"/>
        </w:rPr>
        <w:lastRenderedPageBreak/>
        <w:t>Supplementary Table</w:t>
      </w:r>
      <w:bookmarkStart w:id="9" w:name="_GoBack"/>
      <w:bookmarkEnd w:id="9"/>
    </w:p>
    <w:p w14:paraId="1DE9B31D" w14:textId="791B5A2A" w:rsidR="00760CE3" w:rsidRPr="00510850" w:rsidRDefault="00286496" w:rsidP="00760CE3">
      <w:pPr>
        <w:widowControl/>
        <w:jc w:val="center"/>
        <w:outlineLvl w:val="0"/>
        <w:rPr>
          <w:sz w:val="24"/>
          <w:szCs w:val="24"/>
        </w:rPr>
      </w:pPr>
      <w:bookmarkStart w:id="10" w:name="_Hlk76321764"/>
      <w:r w:rsidRPr="00760CE3">
        <w:rPr>
          <w:b/>
          <w:bCs/>
          <w:color w:val="000000" w:themeColor="text1"/>
          <w:sz w:val="20"/>
          <w:szCs w:val="20"/>
        </w:rPr>
        <w:t>Supplementary Table 1</w:t>
      </w:r>
      <w:bookmarkStart w:id="11" w:name="_Hlk65181184"/>
      <w:bookmarkEnd w:id="6"/>
      <w:bookmarkEnd w:id="7"/>
      <w:bookmarkEnd w:id="8"/>
      <w:bookmarkEnd w:id="10"/>
      <w:r w:rsidR="00760CE3" w:rsidRPr="00760CE3">
        <w:rPr>
          <w:b/>
          <w:bCs/>
          <w:sz w:val="20"/>
          <w:szCs w:val="20"/>
        </w:rPr>
        <w:t xml:space="preserve"> - Input </w:t>
      </w:r>
      <w:r w:rsidR="00400261">
        <w:rPr>
          <w:b/>
          <w:bCs/>
          <w:sz w:val="20"/>
          <w:szCs w:val="20"/>
        </w:rPr>
        <w:t>p</w:t>
      </w:r>
      <w:r w:rsidR="00760CE3" w:rsidRPr="00760CE3">
        <w:rPr>
          <w:b/>
          <w:bCs/>
          <w:sz w:val="20"/>
          <w:szCs w:val="20"/>
        </w:rPr>
        <w:t>arameters</w:t>
      </w:r>
      <w:r w:rsidR="00400261">
        <w:rPr>
          <w:b/>
          <w:bCs/>
          <w:sz w:val="20"/>
          <w:szCs w:val="20"/>
        </w:rPr>
        <w:t xml:space="preserve"> for sample size calculations</w:t>
      </w:r>
    </w:p>
    <w:tbl>
      <w:tblPr>
        <w:tblStyle w:val="TableGrid"/>
        <w:tblW w:w="9895" w:type="dxa"/>
        <w:jc w:val="center"/>
        <w:tblLook w:val="04A0" w:firstRow="1" w:lastRow="0" w:firstColumn="1" w:lastColumn="0" w:noHBand="0" w:noVBand="1"/>
      </w:tblPr>
      <w:tblGrid>
        <w:gridCol w:w="895"/>
        <w:gridCol w:w="7650"/>
        <w:gridCol w:w="1350"/>
      </w:tblGrid>
      <w:tr w:rsidR="00760CE3" w:rsidRPr="00760CE3" w14:paraId="6122A75C" w14:textId="77777777" w:rsidTr="00A00387">
        <w:trPr>
          <w:jc w:val="center"/>
        </w:trPr>
        <w:tc>
          <w:tcPr>
            <w:tcW w:w="895" w:type="dxa"/>
          </w:tcPr>
          <w:p w14:paraId="29892093" w14:textId="77777777" w:rsidR="00760CE3" w:rsidRPr="00760CE3" w:rsidRDefault="00760CE3" w:rsidP="00CC6D4B">
            <w:pPr>
              <w:autoSpaceDE w:val="0"/>
              <w:autoSpaceDN w:val="0"/>
              <w:adjustRightInd w:val="0"/>
              <w:rPr>
                <w:sz w:val="20"/>
                <w:szCs w:val="20"/>
              </w:rPr>
            </w:pPr>
          </w:p>
        </w:tc>
        <w:tc>
          <w:tcPr>
            <w:tcW w:w="7650" w:type="dxa"/>
          </w:tcPr>
          <w:p w14:paraId="0CB3745B" w14:textId="77777777" w:rsidR="00760CE3" w:rsidRPr="00760CE3" w:rsidRDefault="00760CE3" w:rsidP="00CC6D4B">
            <w:pPr>
              <w:autoSpaceDE w:val="0"/>
              <w:autoSpaceDN w:val="0"/>
              <w:adjustRightInd w:val="0"/>
              <w:rPr>
                <w:sz w:val="20"/>
                <w:szCs w:val="20"/>
              </w:rPr>
            </w:pPr>
            <w:r w:rsidRPr="00760CE3">
              <w:rPr>
                <w:sz w:val="20"/>
                <w:szCs w:val="20"/>
              </w:rPr>
              <w:t>Parameters</w:t>
            </w:r>
          </w:p>
        </w:tc>
        <w:tc>
          <w:tcPr>
            <w:tcW w:w="1350" w:type="dxa"/>
          </w:tcPr>
          <w:p w14:paraId="5B838F70" w14:textId="77777777" w:rsidR="00760CE3" w:rsidRPr="00760CE3" w:rsidRDefault="00760CE3" w:rsidP="00CC6D4B">
            <w:pPr>
              <w:autoSpaceDE w:val="0"/>
              <w:autoSpaceDN w:val="0"/>
              <w:adjustRightInd w:val="0"/>
              <w:rPr>
                <w:sz w:val="20"/>
                <w:szCs w:val="20"/>
              </w:rPr>
            </w:pPr>
            <w:r w:rsidRPr="00760CE3">
              <w:rPr>
                <w:sz w:val="20"/>
                <w:szCs w:val="20"/>
              </w:rPr>
              <w:t>Value</w:t>
            </w:r>
          </w:p>
        </w:tc>
      </w:tr>
      <w:tr w:rsidR="00760CE3" w:rsidRPr="00760CE3" w14:paraId="1DA1ECBC" w14:textId="77777777" w:rsidTr="00A00387">
        <w:trPr>
          <w:jc w:val="center"/>
        </w:trPr>
        <w:tc>
          <w:tcPr>
            <w:tcW w:w="895" w:type="dxa"/>
          </w:tcPr>
          <w:p w14:paraId="097B4EF0" w14:textId="77777777" w:rsidR="00760CE3" w:rsidRPr="00760CE3" w:rsidRDefault="00760CE3" w:rsidP="00CC6D4B">
            <w:pPr>
              <w:autoSpaceDE w:val="0"/>
              <w:autoSpaceDN w:val="0"/>
              <w:adjustRightInd w:val="0"/>
              <w:rPr>
                <w:sz w:val="20"/>
                <w:szCs w:val="20"/>
              </w:rPr>
            </w:pPr>
            <w:r w:rsidRPr="00760CE3">
              <w:rPr>
                <w:sz w:val="20"/>
                <w:szCs w:val="20"/>
              </w:rPr>
              <w:t>1</w:t>
            </w:r>
          </w:p>
        </w:tc>
        <w:tc>
          <w:tcPr>
            <w:tcW w:w="7650" w:type="dxa"/>
          </w:tcPr>
          <w:p w14:paraId="5A9010D9" w14:textId="77777777" w:rsidR="00760CE3" w:rsidRPr="00760CE3" w:rsidRDefault="00760CE3" w:rsidP="00CC6D4B">
            <w:pPr>
              <w:autoSpaceDE w:val="0"/>
              <w:autoSpaceDN w:val="0"/>
              <w:adjustRightInd w:val="0"/>
              <w:rPr>
                <w:sz w:val="20"/>
                <w:szCs w:val="20"/>
              </w:rPr>
            </w:pPr>
            <w:r w:rsidRPr="00760CE3">
              <w:rPr>
                <w:sz w:val="20"/>
                <w:szCs w:val="20"/>
              </w:rPr>
              <w:t>Incidence (estimated from China public health data)</w:t>
            </w:r>
          </w:p>
        </w:tc>
        <w:tc>
          <w:tcPr>
            <w:tcW w:w="1350" w:type="dxa"/>
          </w:tcPr>
          <w:p w14:paraId="63E32F7E" w14:textId="77777777" w:rsidR="00760CE3" w:rsidRPr="00760CE3" w:rsidRDefault="00760CE3" w:rsidP="00CC6D4B">
            <w:pPr>
              <w:autoSpaceDE w:val="0"/>
              <w:autoSpaceDN w:val="0"/>
              <w:adjustRightInd w:val="0"/>
              <w:rPr>
                <w:sz w:val="20"/>
                <w:szCs w:val="20"/>
              </w:rPr>
            </w:pPr>
            <w:r w:rsidRPr="00760CE3">
              <w:rPr>
                <w:sz w:val="20"/>
                <w:szCs w:val="20"/>
              </w:rPr>
              <w:t>0.002</w:t>
            </w:r>
          </w:p>
        </w:tc>
      </w:tr>
      <w:tr w:rsidR="00760CE3" w:rsidRPr="00760CE3" w14:paraId="1C34587C" w14:textId="77777777" w:rsidTr="00A00387">
        <w:trPr>
          <w:jc w:val="center"/>
        </w:trPr>
        <w:tc>
          <w:tcPr>
            <w:tcW w:w="895" w:type="dxa"/>
          </w:tcPr>
          <w:p w14:paraId="6803BAB7" w14:textId="77777777" w:rsidR="00760CE3" w:rsidRPr="00760CE3" w:rsidRDefault="00760CE3" w:rsidP="00CC6D4B">
            <w:pPr>
              <w:autoSpaceDE w:val="0"/>
              <w:autoSpaceDN w:val="0"/>
              <w:adjustRightInd w:val="0"/>
              <w:rPr>
                <w:sz w:val="20"/>
                <w:szCs w:val="20"/>
              </w:rPr>
            </w:pPr>
            <w:r w:rsidRPr="00760CE3">
              <w:rPr>
                <w:sz w:val="20"/>
                <w:szCs w:val="20"/>
              </w:rPr>
              <w:t>2</w:t>
            </w:r>
          </w:p>
        </w:tc>
        <w:tc>
          <w:tcPr>
            <w:tcW w:w="7650" w:type="dxa"/>
          </w:tcPr>
          <w:p w14:paraId="721EF730" w14:textId="77777777" w:rsidR="00760CE3" w:rsidRPr="00760CE3" w:rsidRDefault="00760CE3" w:rsidP="00CC6D4B">
            <w:pPr>
              <w:autoSpaceDE w:val="0"/>
              <w:autoSpaceDN w:val="0"/>
              <w:adjustRightInd w:val="0"/>
              <w:rPr>
                <w:sz w:val="20"/>
                <w:szCs w:val="20"/>
              </w:rPr>
            </w:pPr>
            <w:r w:rsidRPr="00760CE3">
              <w:rPr>
                <w:sz w:val="20"/>
                <w:szCs w:val="20"/>
              </w:rPr>
              <w:t xml:space="preserve">Mean sojourn time in preclinical-stage (Sp) </w:t>
            </w:r>
          </w:p>
          <w:p w14:paraId="28FDDE2E" w14:textId="77777777" w:rsidR="00760CE3" w:rsidRPr="00760CE3" w:rsidRDefault="00760CE3" w:rsidP="00CC6D4B">
            <w:pPr>
              <w:autoSpaceDE w:val="0"/>
              <w:autoSpaceDN w:val="0"/>
              <w:adjustRightInd w:val="0"/>
              <w:rPr>
                <w:sz w:val="20"/>
                <w:szCs w:val="20"/>
              </w:rPr>
            </w:pPr>
            <w:r w:rsidRPr="00760CE3">
              <w:rPr>
                <w:sz w:val="20"/>
                <w:szCs w:val="20"/>
              </w:rPr>
              <w:t>(estimated from the screening-detected cases in the intervention arm of the National Lung Screening Trial (NLST))</w:t>
            </w:r>
          </w:p>
        </w:tc>
        <w:tc>
          <w:tcPr>
            <w:tcW w:w="1350" w:type="dxa"/>
          </w:tcPr>
          <w:p w14:paraId="2E415A5C" w14:textId="77777777" w:rsidR="00760CE3" w:rsidRPr="00760CE3" w:rsidRDefault="00760CE3" w:rsidP="00CC6D4B">
            <w:pPr>
              <w:autoSpaceDE w:val="0"/>
              <w:autoSpaceDN w:val="0"/>
              <w:adjustRightInd w:val="0"/>
              <w:rPr>
                <w:sz w:val="20"/>
                <w:szCs w:val="20"/>
              </w:rPr>
            </w:pPr>
            <w:r w:rsidRPr="00760CE3">
              <w:rPr>
                <w:sz w:val="20"/>
                <w:szCs w:val="20"/>
              </w:rPr>
              <w:t>1.732</w:t>
            </w:r>
          </w:p>
        </w:tc>
      </w:tr>
      <w:tr w:rsidR="00760CE3" w:rsidRPr="00760CE3" w14:paraId="64400C43" w14:textId="77777777" w:rsidTr="00A00387">
        <w:trPr>
          <w:jc w:val="center"/>
        </w:trPr>
        <w:tc>
          <w:tcPr>
            <w:tcW w:w="895" w:type="dxa"/>
          </w:tcPr>
          <w:p w14:paraId="1F335774" w14:textId="77777777" w:rsidR="00760CE3" w:rsidRPr="00760CE3" w:rsidRDefault="00760CE3" w:rsidP="00CC6D4B">
            <w:pPr>
              <w:autoSpaceDE w:val="0"/>
              <w:autoSpaceDN w:val="0"/>
              <w:adjustRightInd w:val="0"/>
              <w:rPr>
                <w:sz w:val="20"/>
                <w:szCs w:val="20"/>
              </w:rPr>
            </w:pPr>
            <w:r w:rsidRPr="00760CE3">
              <w:rPr>
                <w:sz w:val="20"/>
                <w:szCs w:val="20"/>
              </w:rPr>
              <w:t>3.</w:t>
            </w:r>
          </w:p>
        </w:tc>
        <w:tc>
          <w:tcPr>
            <w:tcW w:w="7650" w:type="dxa"/>
          </w:tcPr>
          <w:p w14:paraId="0FAEBEC8" w14:textId="77777777" w:rsidR="00760CE3" w:rsidRPr="00760CE3" w:rsidRDefault="00760CE3" w:rsidP="00CC6D4B">
            <w:pPr>
              <w:autoSpaceDE w:val="0"/>
              <w:autoSpaceDN w:val="0"/>
              <w:adjustRightInd w:val="0"/>
              <w:rPr>
                <w:sz w:val="20"/>
                <w:szCs w:val="20"/>
              </w:rPr>
            </w:pPr>
            <w:r w:rsidRPr="00760CE3">
              <w:rPr>
                <w:sz w:val="20"/>
                <w:szCs w:val="20"/>
              </w:rPr>
              <w:t>Prevalence (computed as (input parameter 1) × (input parameter 2))</w:t>
            </w:r>
          </w:p>
        </w:tc>
        <w:tc>
          <w:tcPr>
            <w:tcW w:w="1350" w:type="dxa"/>
          </w:tcPr>
          <w:p w14:paraId="3DD9B6A1" w14:textId="77777777" w:rsidR="00760CE3" w:rsidRPr="00760CE3" w:rsidRDefault="00760CE3" w:rsidP="00CC6D4B">
            <w:pPr>
              <w:autoSpaceDE w:val="0"/>
              <w:autoSpaceDN w:val="0"/>
              <w:adjustRightInd w:val="0"/>
              <w:rPr>
                <w:sz w:val="20"/>
                <w:szCs w:val="20"/>
              </w:rPr>
            </w:pPr>
            <w:r w:rsidRPr="00760CE3">
              <w:rPr>
                <w:sz w:val="20"/>
                <w:szCs w:val="20"/>
              </w:rPr>
              <w:t>0.003464</w:t>
            </w:r>
          </w:p>
        </w:tc>
      </w:tr>
      <w:tr w:rsidR="00760CE3" w:rsidRPr="00760CE3" w14:paraId="135816D6" w14:textId="77777777" w:rsidTr="00A00387">
        <w:trPr>
          <w:jc w:val="center"/>
        </w:trPr>
        <w:tc>
          <w:tcPr>
            <w:tcW w:w="895" w:type="dxa"/>
          </w:tcPr>
          <w:p w14:paraId="08235503" w14:textId="77777777" w:rsidR="00760CE3" w:rsidRPr="00760CE3" w:rsidRDefault="00760CE3" w:rsidP="00CC6D4B">
            <w:pPr>
              <w:autoSpaceDE w:val="0"/>
              <w:autoSpaceDN w:val="0"/>
              <w:adjustRightInd w:val="0"/>
              <w:rPr>
                <w:sz w:val="20"/>
                <w:szCs w:val="20"/>
              </w:rPr>
            </w:pPr>
            <w:r w:rsidRPr="00760CE3">
              <w:rPr>
                <w:sz w:val="20"/>
                <w:szCs w:val="20"/>
              </w:rPr>
              <w:t>4</w:t>
            </w:r>
          </w:p>
        </w:tc>
        <w:tc>
          <w:tcPr>
            <w:tcW w:w="7650" w:type="dxa"/>
          </w:tcPr>
          <w:p w14:paraId="4E81126E" w14:textId="77777777" w:rsidR="00760CE3" w:rsidRPr="00760CE3" w:rsidRDefault="00760CE3" w:rsidP="00CC6D4B">
            <w:pPr>
              <w:autoSpaceDE w:val="0"/>
              <w:autoSpaceDN w:val="0"/>
              <w:adjustRightInd w:val="0"/>
              <w:rPr>
                <w:sz w:val="20"/>
                <w:szCs w:val="20"/>
              </w:rPr>
            </w:pPr>
            <w:r w:rsidRPr="00760CE3">
              <w:rPr>
                <w:sz w:val="20"/>
                <w:szCs w:val="20"/>
              </w:rPr>
              <w:t xml:space="preserve">Median survival time from the point of clinical detection for clinically detected incidence cases </w:t>
            </w:r>
          </w:p>
          <w:p w14:paraId="48ACE498" w14:textId="77777777" w:rsidR="00760CE3" w:rsidRPr="00760CE3" w:rsidRDefault="00760CE3" w:rsidP="00CC6D4B">
            <w:pPr>
              <w:autoSpaceDE w:val="0"/>
              <w:autoSpaceDN w:val="0"/>
              <w:adjustRightInd w:val="0"/>
              <w:rPr>
                <w:sz w:val="20"/>
                <w:szCs w:val="20"/>
              </w:rPr>
            </w:pPr>
            <w:r w:rsidRPr="00760CE3">
              <w:rPr>
                <w:sz w:val="20"/>
                <w:szCs w:val="20"/>
              </w:rPr>
              <w:t>(estimated from survival times of clinically detected cases in the control arm of the NLST)</w:t>
            </w:r>
          </w:p>
        </w:tc>
        <w:tc>
          <w:tcPr>
            <w:tcW w:w="1350" w:type="dxa"/>
          </w:tcPr>
          <w:p w14:paraId="2BCA84DF" w14:textId="77777777" w:rsidR="00760CE3" w:rsidRPr="00760CE3" w:rsidRDefault="00760CE3" w:rsidP="00CC6D4B">
            <w:pPr>
              <w:autoSpaceDE w:val="0"/>
              <w:autoSpaceDN w:val="0"/>
              <w:adjustRightInd w:val="0"/>
              <w:rPr>
                <w:sz w:val="20"/>
                <w:szCs w:val="20"/>
              </w:rPr>
            </w:pPr>
            <w:r w:rsidRPr="00760CE3">
              <w:rPr>
                <w:sz w:val="20"/>
                <w:szCs w:val="20"/>
              </w:rPr>
              <w:t>1.76 year</w:t>
            </w:r>
          </w:p>
        </w:tc>
      </w:tr>
      <w:tr w:rsidR="00760CE3" w:rsidRPr="00760CE3" w14:paraId="289A074D" w14:textId="77777777" w:rsidTr="00A00387">
        <w:trPr>
          <w:jc w:val="center"/>
        </w:trPr>
        <w:tc>
          <w:tcPr>
            <w:tcW w:w="895" w:type="dxa"/>
          </w:tcPr>
          <w:p w14:paraId="3570CF95" w14:textId="77777777" w:rsidR="00760CE3" w:rsidRPr="00760CE3" w:rsidRDefault="00760CE3" w:rsidP="00CC6D4B">
            <w:pPr>
              <w:autoSpaceDE w:val="0"/>
              <w:autoSpaceDN w:val="0"/>
              <w:adjustRightInd w:val="0"/>
              <w:rPr>
                <w:sz w:val="20"/>
                <w:szCs w:val="20"/>
              </w:rPr>
            </w:pPr>
            <w:r w:rsidRPr="00760CE3">
              <w:rPr>
                <w:sz w:val="20"/>
                <w:szCs w:val="20"/>
              </w:rPr>
              <w:t>5</w:t>
            </w:r>
          </w:p>
        </w:tc>
        <w:tc>
          <w:tcPr>
            <w:tcW w:w="7650" w:type="dxa"/>
          </w:tcPr>
          <w:p w14:paraId="43D857AD" w14:textId="77777777" w:rsidR="00760CE3" w:rsidRPr="00760CE3" w:rsidRDefault="00760CE3" w:rsidP="00CC6D4B">
            <w:pPr>
              <w:autoSpaceDE w:val="0"/>
              <w:autoSpaceDN w:val="0"/>
              <w:adjustRightInd w:val="0"/>
              <w:rPr>
                <w:sz w:val="20"/>
                <w:szCs w:val="20"/>
              </w:rPr>
            </w:pPr>
            <w:r w:rsidRPr="00760CE3">
              <w:rPr>
                <w:sz w:val="20"/>
                <w:szCs w:val="20"/>
              </w:rPr>
              <w:t xml:space="preserve">Median survival time from the point of clinical detection for clinically detected prevalence cases </w:t>
            </w:r>
          </w:p>
          <w:p w14:paraId="5DA86BCD" w14:textId="77777777" w:rsidR="00760CE3" w:rsidRPr="00760CE3" w:rsidRDefault="00760CE3" w:rsidP="00CC6D4B">
            <w:pPr>
              <w:autoSpaceDE w:val="0"/>
              <w:autoSpaceDN w:val="0"/>
              <w:adjustRightInd w:val="0"/>
              <w:rPr>
                <w:sz w:val="20"/>
                <w:szCs w:val="20"/>
              </w:rPr>
            </w:pPr>
            <w:r w:rsidRPr="00760CE3">
              <w:rPr>
                <w:sz w:val="20"/>
                <w:szCs w:val="20"/>
              </w:rPr>
              <w:t>(computed as (input parameter 4) × 1.05)</w:t>
            </w:r>
          </w:p>
        </w:tc>
        <w:tc>
          <w:tcPr>
            <w:tcW w:w="1350" w:type="dxa"/>
          </w:tcPr>
          <w:p w14:paraId="213C7D27" w14:textId="77777777" w:rsidR="00760CE3" w:rsidRPr="00760CE3" w:rsidRDefault="00760CE3" w:rsidP="00CC6D4B">
            <w:pPr>
              <w:autoSpaceDE w:val="0"/>
              <w:autoSpaceDN w:val="0"/>
              <w:adjustRightInd w:val="0"/>
              <w:rPr>
                <w:sz w:val="20"/>
                <w:szCs w:val="20"/>
              </w:rPr>
            </w:pPr>
            <w:r w:rsidRPr="00760CE3">
              <w:rPr>
                <w:sz w:val="20"/>
                <w:szCs w:val="20"/>
              </w:rPr>
              <w:t>1.85 year</w:t>
            </w:r>
          </w:p>
        </w:tc>
      </w:tr>
      <w:tr w:rsidR="00760CE3" w:rsidRPr="00760CE3" w14:paraId="1C29B177" w14:textId="77777777" w:rsidTr="00A00387">
        <w:trPr>
          <w:jc w:val="center"/>
        </w:trPr>
        <w:tc>
          <w:tcPr>
            <w:tcW w:w="895" w:type="dxa"/>
          </w:tcPr>
          <w:p w14:paraId="3816EF69" w14:textId="77777777" w:rsidR="00760CE3" w:rsidRPr="00760CE3" w:rsidRDefault="00760CE3" w:rsidP="00CC6D4B">
            <w:pPr>
              <w:autoSpaceDE w:val="0"/>
              <w:autoSpaceDN w:val="0"/>
              <w:adjustRightInd w:val="0"/>
              <w:rPr>
                <w:sz w:val="20"/>
                <w:szCs w:val="20"/>
              </w:rPr>
            </w:pPr>
            <w:r w:rsidRPr="00760CE3">
              <w:rPr>
                <w:sz w:val="20"/>
                <w:szCs w:val="20"/>
              </w:rPr>
              <w:t>6</w:t>
            </w:r>
          </w:p>
        </w:tc>
        <w:tc>
          <w:tcPr>
            <w:tcW w:w="7650" w:type="dxa"/>
          </w:tcPr>
          <w:p w14:paraId="62EB7233" w14:textId="77777777" w:rsidR="00760CE3" w:rsidRPr="00760CE3" w:rsidRDefault="00760CE3" w:rsidP="00CC6D4B">
            <w:pPr>
              <w:autoSpaceDE w:val="0"/>
              <w:autoSpaceDN w:val="0"/>
              <w:adjustRightInd w:val="0"/>
              <w:rPr>
                <w:sz w:val="20"/>
                <w:szCs w:val="20"/>
              </w:rPr>
            </w:pPr>
            <w:r w:rsidRPr="00760CE3">
              <w:rPr>
                <w:sz w:val="20"/>
                <w:szCs w:val="20"/>
              </w:rPr>
              <w:t xml:space="preserve">Median survival time from the point at which clinical detection would have occurred for incidence cases detected by LDCT </w:t>
            </w:r>
          </w:p>
          <w:p w14:paraId="7D88ED4F" w14:textId="77777777" w:rsidR="00760CE3" w:rsidRPr="00760CE3" w:rsidRDefault="00760CE3" w:rsidP="00CC6D4B">
            <w:pPr>
              <w:autoSpaceDE w:val="0"/>
              <w:autoSpaceDN w:val="0"/>
              <w:adjustRightInd w:val="0"/>
              <w:rPr>
                <w:sz w:val="20"/>
                <w:szCs w:val="20"/>
              </w:rPr>
            </w:pPr>
            <w:r w:rsidRPr="00760CE3">
              <w:rPr>
                <w:sz w:val="20"/>
                <w:szCs w:val="20"/>
              </w:rPr>
              <w:t>(estimated from survival times of cases detected by LDCT in the intervention arm of the NLST. A lead time of 1.5 years was assumed)</w:t>
            </w:r>
          </w:p>
        </w:tc>
        <w:tc>
          <w:tcPr>
            <w:tcW w:w="1350" w:type="dxa"/>
          </w:tcPr>
          <w:p w14:paraId="0904E74A" w14:textId="77777777" w:rsidR="00760CE3" w:rsidRPr="00760CE3" w:rsidRDefault="00760CE3" w:rsidP="00CC6D4B">
            <w:pPr>
              <w:autoSpaceDE w:val="0"/>
              <w:autoSpaceDN w:val="0"/>
              <w:adjustRightInd w:val="0"/>
              <w:rPr>
                <w:sz w:val="20"/>
                <w:szCs w:val="20"/>
              </w:rPr>
            </w:pPr>
            <w:r w:rsidRPr="00760CE3">
              <w:rPr>
                <w:sz w:val="20"/>
                <w:szCs w:val="20"/>
              </w:rPr>
              <w:t>10.00 year</w:t>
            </w:r>
          </w:p>
        </w:tc>
      </w:tr>
      <w:tr w:rsidR="00760CE3" w:rsidRPr="00760CE3" w14:paraId="7CEAD40A" w14:textId="77777777" w:rsidTr="00A00387">
        <w:trPr>
          <w:jc w:val="center"/>
        </w:trPr>
        <w:tc>
          <w:tcPr>
            <w:tcW w:w="895" w:type="dxa"/>
          </w:tcPr>
          <w:p w14:paraId="0689E2D3" w14:textId="77777777" w:rsidR="00760CE3" w:rsidRPr="00760CE3" w:rsidRDefault="00760CE3" w:rsidP="00CC6D4B">
            <w:pPr>
              <w:autoSpaceDE w:val="0"/>
              <w:autoSpaceDN w:val="0"/>
              <w:adjustRightInd w:val="0"/>
              <w:rPr>
                <w:sz w:val="20"/>
                <w:szCs w:val="20"/>
              </w:rPr>
            </w:pPr>
            <w:r w:rsidRPr="00760CE3">
              <w:rPr>
                <w:sz w:val="20"/>
                <w:szCs w:val="20"/>
              </w:rPr>
              <w:t>7</w:t>
            </w:r>
          </w:p>
        </w:tc>
        <w:tc>
          <w:tcPr>
            <w:tcW w:w="7650" w:type="dxa"/>
          </w:tcPr>
          <w:p w14:paraId="72CF5BCA" w14:textId="77777777" w:rsidR="00760CE3" w:rsidRPr="00760CE3" w:rsidRDefault="00760CE3" w:rsidP="00CC6D4B">
            <w:pPr>
              <w:autoSpaceDE w:val="0"/>
              <w:autoSpaceDN w:val="0"/>
              <w:adjustRightInd w:val="0"/>
              <w:rPr>
                <w:sz w:val="20"/>
                <w:szCs w:val="20"/>
              </w:rPr>
            </w:pPr>
            <w:r w:rsidRPr="00760CE3">
              <w:rPr>
                <w:sz w:val="20"/>
                <w:szCs w:val="20"/>
              </w:rPr>
              <w:t xml:space="preserve">Median survival time from the point at which clinical detection would have occurred for prevalence cases detected by LDCT </w:t>
            </w:r>
          </w:p>
          <w:p w14:paraId="18015BDB" w14:textId="77777777" w:rsidR="00760CE3" w:rsidRPr="00760CE3" w:rsidRDefault="00760CE3" w:rsidP="00CC6D4B">
            <w:pPr>
              <w:autoSpaceDE w:val="0"/>
              <w:autoSpaceDN w:val="0"/>
              <w:adjustRightInd w:val="0"/>
              <w:rPr>
                <w:sz w:val="20"/>
                <w:szCs w:val="20"/>
              </w:rPr>
            </w:pPr>
            <w:r w:rsidRPr="00760CE3">
              <w:rPr>
                <w:sz w:val="20"/>
                <w:szCs w:val="20"/>
              </w:rPr>
              <w:t xml:space="preserve">(estimated from survival times of cases detected at prevalence LDCT screening in the NLST. A lead time of 1.5 years was assumed. Computed as input (input parameter 6) × 1.05) </w:t>
            </w:r>
          </w:p>
        </w:tc>
        <w:tc>
          <w:tcPr>
            <w:tcW w:w="1350" w:type="dxa"/>
          </w:tcPr>
          <w:p w14:paraId="072DA3A0" w14:textId="77777777" w:rsidR="00760CE3" w:rsidRPr="00760CE3" w:rsidRDefault="00760CE3" w:rsidP="00CC6D4B">
            <w:pPr>
              <w:autoSpaceDE w:val="0"/>
              <w:autoSpaceDN w:val="0"/>
              <w:adjustRightInd w:val="0"/>
              <w:rPr>
                <w:sz w:val="20"/>
                <w:szCs w:val="20"/>
              </w:rPr>
            </w:pPr>
            <w:r w:rsidRPr="00760CE3">
              <w:rPr>
                <w:sz w:val="20"/>
                <w:szCs w:val="20"/>
              </w:rPr>
              <w:t>10.50 year</w:t>
            </w:r>
          </w:p>
        </w:tc>
      </w:tr>
      <w:tr w:rsidR="00760CE3" w:rsidRPr="00760CE3" w14:paraId="23BF63C5" w14:textId="77777777" w:rsidTr="00A00387">
        <w:trPr>
          <w:jc w:val="center"/>
        </w:trPr>
        <w:tc>
          <w:tcPr>
            <w:tcW w:w="895" w:type="dxa"/>
          </w:tcPr>
          <w:p w14:paraId="57D57632" w14:textId="77777777" w:rsidR="00760CE3" w:rsidRPr="00760CE3" w:rsidRDefault="00760CE3" w:rsidP="00CC6D4B">
            <w:pPr>
              <w:autoSpaceDE w:val="0"/>
              <w:autoSpaceDN w:val="0"/>
              <w:adjustRightInd w:val="0"/>
              <w:rPr>
                <w:sz w:val="20"/>
                <w:szCs w:val="20"/>
              </w:rPr>
            </w:pPr>
            <w:r w:rsidRPr="00760CE3">
              <w:rPr>
                <w:sz w:val="20"/>
                <w:szCs w:val="20"/>
              </w:rPr>
              <w:t>8</w:t>
            </w:r>
          </w:p>
        </w:tc>
        <w:tc>
          <w:tcPr>
            <w:tcW w:w="7650" w:type="dxa"/>
          </w:tcPr>
          <w:p w14:paraId="33245207" w14:textId="77777777" w:rsidR="00760CE3" w:rsidRPr="00760CE3" w:rsidRDefault="00760CE3" w:rsidP="00CC6D4B">
            <w:pPr>
              <w:widowControl/>
              <w:autoSpaceDE w:val="0"/>
              <w:autoSpaceDN w:val="0"/>
              <w:adjustRightInd w:val="0"/>
              <w:jc w:val="left"/>
              <w:rPr>
                <w:sz w:val="20"/>
                <w:szCs w:val="20"/>
              </w:rPr>
            </w:pPr>
            <w:r w:rsidRPr="00760CE3">
              <w:rPr>
                <w:sz w:val="20"/>
                <w:szCs w:val="20"/>
              </w:rPr>
              <w:t>Probability of the screening exam finding a case in Sp conditional on being in Sp (sensitivity in Sp).</w:t>
            </w:r>
          </w:p>
        </w:tc>
        <w:tc>
          <w:tcPr>
            <w:tcW w:w="1350" w:type="dxa"/>
          </w:tcPr>
          <w:p w14:paraId="136BA5AC" w14:textId="77777777" w:rsidR="00760CE3" w:rsidRPr="00760CE3" w:rsidRDefault="00760CE3" w:rsidP="00CC6D4B">
            <w:pPr>
              <w:autoSpaceDE w:val="0"/>
              <w:autoSpaceDN w:val="0"/>
              <w:adjustRightInd w:val="0"/>
              <w:rPr>
                <w:sz w:val="20"/>
                <w:szCs w:val="20"/>
              </w:rPr>
            </w:pPr>
            <w:r w:rsidRPr="00760CE3">
              <w:rPr>
                <w:sz w:val="20"/>
                <w:szCs w:val="20"/>
              </w:rPr>
              <w:t>0.791</w:t>
            </w:r>
          </w:p>
        </w:tc>
      </w:tr>
      <w:tr w:rsidR="00760CE3" w:rsidRPr="00760CE3" w14:paraId="4112E67F" w14:textId="77777777" w:rsidTr="00A00387">
        <w:trPr>
          <w:jc w:val="center"/>
        </w:trPr>
        <w:tc>
          <w:tcPr>
            <w:tcW w:w="895" w:type="dxa"/>
          </w:tcPr>
          <w:p w14:paraId="00633D75" w14:textId="77777777" w:rsidR="00760CE3" w:rsidRPr="00760CE3" w:rsidRDefault="00760CE3" w:rsidP="00CC6D4B">
            <w:pPr>
              <w:autoSpaceDE w:val="0"/>
              <w:autoSpaceDN w:val="0"/>
              <w:adjustRightInd w:val="0"/>
              <w:rPr>
                <w:sz w:val="20"/>
                <w:szCs w:val="20"/>
              </w:rPr>
            </w:pPr>
            <w:r w:rsidRPr="00760CE3">
              <w:rPr>
                <w:sz w:val="20"/>
                <w:szCs w:val="20"/>
              </w:rPr>
              <w:t>9</w:t>
            </w:r>
          </w:p>
        </w:tc>
        <w:tc>
          <w:tcPr>
            <w:tcW w:w="7650" w:type="dxa"/>
          </w:tcPr>
          <w:p w14:paraId="7A397084" w14:textId="77777777" w:rsidR="00760CE3" w:rsidRPr="00760CE3" w:rsidRDefault="00760CE3" w:rsidP="00CC6D4B">
            <w:pPr>
              <w:autoSpaceDE w:val="0"/>
              <w:autoSpaceDN w:val="0"/>
              <w:adjustRightInd w:val="0"/>
              <w:rPr>
                <w:sz w:val="20"/>
                <w:szCs w:val="20"/>
              </w:rPr>
            </w:pPr>
            <w:r w:rsidRPr="00760CE3">
              <w:rPr>
                <w:sz w:val="20"/>
                <w:szCs w:val="20"/>
              </w:rPr>
              <w:t>Compliance rate for LDCT screening in arms 1</w:t>
            </w:r>
          </w:p>
        </w:tc>
        <w:tc>
          <w:tcPr>
            <w:tcW w:w="1350" w:type="dxa"/>
          </w:tcPr>
          <w:p w14:paraId="089E6EF2" w14:textId="77777777" w:rsidR="00760CE3" w:rsidRPr="00760CE3" w:rsidRDefault="00760CE3" w:rsidP="00CC6D4B">
            <w:pPr>
              <w:autoSpaceDE w:val="0"/>
              <w:autoSpaceDN w:val="0"/>
              <w:adjustRightInd w:val="0"/>
              <w:rPr>
                <w:sz w:val="20"/>
                <w:szCs w:val="20"/>
              </w:rPr>
            </w:pPr>
            <w:r w:rsidRPr="00760CE3">
              <w:rPr>
                <w:sz w:val="20"/>
                <w:szCs w:val="20"/>
              </w:rPr>
              <w:t>0.70</w:t>
            </w:r>
          </w:p>
        </w:tc>
      </w:tr>
    </w:tbl>
    <w:p w14:paraId="0D2172E7" w14:textId="77777777" w:rsidR="00760CE3" w:rsidRPr="00C9490F" w:rsidRDefault="00760CE3" w:rsidP="00760CE3">
      <w:pPr>
        <w:spacing w:line="360" w:lineRule="auto"/>
        <w:jc w:val="left"/>
        <w:rPr>
          <w:b/>
          <w:bCs/>
          <w:i/>
          <w:iCs/>
          <w:sz w:val="24"/>
          <w:szCs w:val="24"/>
        </w:rPr>
      </w:pPr>
    </w:p>
    <w:p w14:paraId="332B9F49" w14:textId="77777777" w:rsidR="00286496" w:rsidRDefault="00286496" w:rsidP="00286496">
      <w:pPr>
        <w:adjustRightInd w:val="0"/>
        <w:snapToGrid w:val="0"/>
        <w:jc w:val="center"/>
        <w:rPr>
          <w:b/>
          <w:bCs/>
          <w:color w:val="000000" w:themeColor="text1"/>
          <w:sz w:val="20"/>
          <w:szCs w:val="20"/>
        </w:rPr>
      </w:pPr>
    </w:p>
    <w:bookmarkEnd w:id="11"/>
    <w:p w14:paraId="77F4B1E4" w14:textId="77777777" w:rsidR="00286496" w:rsidRDefault="00286496" w:rsidP="00286496">
      <w:pPr>
        <w:widowControl/>
        <w:jc w:val="left"/>
        <w:rPr>
          <w:b/>
          <w:bCs/>
          <w:color w:val="000000" w:themeColor="text1"/>
          <w:sz w:val="20"/>
          <w:szCs w:val="20"/>
        </w:rPr>
      </w:pPr>
      <w:r>
        <w:rPr>
          <w:b/>
          <w:bCs/>
          <w:color w:val="000000" w:themeColor="text1"/>
          <w:sz w:val="20"/>
          <w:szCs w:val="20"/>
        </w:rPr>
        <w:br w:type="page"/>
      </w:r>
    </w:p>
    <w:p w14:paraId="2116A364" w14:textId="794F6AEA" w:rsidR="00E737B0" w:rsidRDefault="00770E55" w:rsidP="00286496">
      <w:pPr>
        <w:adjustRightInd w:val="0"/>
        <w:snapToGrid w:val="0"/>
        <w:jc w:val="center"/>
        <w:outlineLvl w:val="0"/>
        <w:rPr>
          <w:b/>
          <w:bCs/>
          <w:color w:val="000000" w:themeColor="text1"/>
          <w:sz w:val="28"/>
          <w:szCs w:val="28"/>
        </w:rPr>
      </w:pPr>
      <w:bookmarkStart w:id="12" w:name="_Hlk76321866"/>
      <w:bookmarkStart w:id="13" w:name="_Toc20444"/>
      <w:r>
        <w:rPr>
          <w:b/>
          <w:bCs/>
          <w:color w:val="000000" w:themeColor="text1"/>
          <w:sz w:val="28"/>
          <w:szCs w:val="28"/>
        </w:rPr>
        <w:lastRenderedPageBreak/>
        <w:t>Supplementary Figure</w:t>
      </w:r>
    </w:p>
    <w:bookmarkEnd w:id="12"/>
    <w:p w14:paraId="7C86EEF8" w14:textId="049BC833" w:rsidR="00E737B0" w:rsidRDefault="00E737B0">
      <w:pPr>
        <w:adjustRightInd w:val="0"/>
        <w:snapToGrid w:val="0"/>
        <w:jc w:val="left"/>
        <w:outlineLvl w:val="0"/>
        <w:rPr>
          <w:b/>
          <w:bCs/>
          <w:color w:val="000000" w:themeColor="text1"/>
          <w:sz w:val="20"/>
          <w:szCs w:val="20"/>
        </w:rPr>
      </w:pPr>
    </w:p>
    <w:bookmarkEnd w:id="13"/>
    <w:p w14:paraId="5F8A9069" w14:textId="675C05D8" w:rsidR="00E737B0" w:rsidRDefault="00E737B0" w:rsidP="007079DC">
      <w:pPr>
        <w:adjustRightInd w:val="0"/>
        <w:snapToGrid w:val="0"/>
        <w:jc w:val="left"/>
        <w:outlineLvl w:val="0"/>
      </w:pPr>
    </w:p>
    <w:p w14:paraId="0D885026" w14:textId="77777777" w:rsidR="00E737B0" w:rsidRDefault="00E737B0">
      <w:pPr>
        <w:widowControl/>
        <w:jc w:val="left"/>
        <w:rPr>
          <w:color w:val="000000" w:themeColor="text1"/>
          <w:sz w:val="20"/>
          <w:szCs w:val="20"/>
        </w:rPr>
      </w:pPr>
    </w:p>
    <w:p w14:paraId="417768EB" w14:textId="5E92976B" w:rsidR="00E737B0" w:rsidRDefault="008D265D">
      <w:pPr>
        <w:adjustRightInd w:val="0"/>
        <w:snapToGrid w:val="0"/>
        <w:jc w:val="left"/>
        <w:rPr>
          <w:b/>
          <w:bCs/>
          <w:color w:val="000000" w:themeColor="text1"/>
          <w:sz w:val="20"/>
          <w:szCs w:val="20"/>
        </w:rPr>
      </w:pPr>
      <w:bookmarkStart w:id="14" w:name="_Toc15532"/>
      <w:bookmarkStart w:id="15" w:name="_Hlk76321932"/>
      <w:r w:rsidRPr="00682531">
        <w:rPr>
          <w:b/>
          <w:bCs/>
          <w:noProof/>
          <w:color w:val="000000" w:themeColor="text1"/>
          <w:sz w:val="20"/>
          <w:szCs w:val="20"/>
        </w:rPr>
        <w:drawing>
          <wp:inline distT="0" distB="0" distL="0" distR="0" wp14:anchorId="38C7CDBF" wp14:editId="1D30F5EC">
            <wp:extent cx="6732468" cy="45720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42070" cy="4578521"/>
                    </a:xfrm>
                    <a:prstGeom prst="rect">
                      <a:avLst/>
                    </a:prstGeom>
                  </pic:spPr>
                </pic:pic>
              </a:graphicData>
            </a:graphic>
          </wp:inline>
        </w:drawing>
      </w:r>
    </w:p>
    <w:p w14:paraId="617608C9" w14:textId="77777777" w:rsidR="008D265D" w:rsidRDefault="008D265D" w:rsidP="008D265D">
      <w:pPr>
        <w:adjustRightInd w:val="0"/>
        <w:snapToGrid w:val="0"/>
        <w:jc w:val="left"/>
        <w:outlineLvl w:val="0"/>
        <w:rPr>
          <w:b/>
          <w:bCs/>
          <w:color w:val="000000" w:themeColor="text1"/>
          <w:sz w:val="20"/>
          <w:szCs w:val="20"/>
        </w:rPr>
      </w:pPr>
      <w:bookmarkStart w:id="16" w:name="_Toc22737"/>
      <w:bookmarkStart w:id="17" w:name="_Hlk76321924"/>
    </w:p>
    <w:p w14:paraId="6361869D" w14:textId="7C988E4C" w:rsidR="008D265D" w:rsidRDefault="008D265D" w:rsidP="008D265D">
      <w:pPr>
        <w:adjustRightInd w:val="0"/>
        <w:snapToGrid w:val="0"/>
        <w:jc w:val="left"/>
        <w:outlineLvl w:val="0"/>
        <w:rPr>
          <w:b/>
          <w:bCs/>
          <w:color w:val="000000" w:themeColor="text1"/>
          <w:sz w:val="20"/>
          <w:szCs w:val="20"/>
        </w:rPr>
      </w:pPr>
      <w:r>
        <w:rPr>
          <w:b/>
          <w:bCs/>
          <w:color w:val="000000" w:themeColor="text1"/>
          <w:sz w:val="20"/>
          <w:szCs w:val="20"/>
        </w:rPr>
        <w:t xml:space="preserve">Supplementary Figure </w:t>
      </w:r>
      <w:bookmarkEnd w:id="16"/>
      <w:r w:rsidR="002360DF">
        <w:rPr>
          <w:b/>
          <w:bCs/>
          <w:color w:val="000000" w:themeColor="text1"/>
          <w:sz w:val="20"/>
          <w:szCs w:val="20"/>
        </w:rPr>
        <w:t>1</w:t>
      </w:r>
      <w:r w:rsidR="00692CF2">
        <w:rPr>
          <w:b/>
          <w:bCs/>
          <w:color w:val="000000" w:themeColor="text1"/>
          <w:sz w:val="20"/>
          <w:szCs w:val="20"/>
        </w:rPr>
        <w:t xml:space="preserve"> </w:t>
      </w:r>
      <w:r>
        <w:rPr>
          <w:b/>
          <w:bCs/>
          <w:color w:val="000000" w:themeColor="text1"/>
          <w:sz w:val="20"/>
          <w:szCs w:val="20"/>
        </w:rPr>
        <w:t>Management of pulmonary nodules</w:t>
      </w:r>
    </w:p>
    <w:bookmarkEnd w:id="17"/>
    <w:p w14:paraId="2F761505" w14:textId="77777777" w:rsidR="008D265D" w:rsidRDefault="008D265D" w:rsidP="008D265D">
      <w:pPr>
        <w:adjustRightInd w:val="0"/>
        <w:snapToGrid w:val="0"/>
        <w:jc w:val="left"/>
        <w:rPr>
          <w:color w:val="000000" w:themeColor="text1"/>
          <w:sz w:val="20"/>
          <w:szCs w:val="20"/>
        </w:rPr>
      </w:pPr>
    </w:p>
    <w:p w14:paraId="60112E71" w14:textId="77777777" w:rsidR="008D265D" w:rsidRDefault="008D265D" w:rsidP="008D265D">
      <w:pPr>
        <w:rPr>
          <w:color w:val="000000" w:themeColor="text1"/>
          <w:sz w:val="20"/>
          <w:szCs w:val="20"/>
          <w:lang w:val="en-CA"/>
        </w:rPr>
      </w:pPr>
      <w:r>
        <w:rPr>
          <w:color w:val="000000" w:themeColor="text1"/>
          <w:sz w:val="20"/>
          <w:szCs w:val="20"/>
          <w:lang w:val="en-CA"/>
        </w:rPr>
        <w:t xml:space="preserve">S: </w:t>
      </w:r>
      <w:r>
        <w:rPr>
          <w:color w:val="000000" w:themeColor="text1"/>
          <w:sz w:val="20"/>
          <w:szCs w:val="20"/>
        </w:rPr>
        <w:t>Solid</w:t>
      </w:r>
      <w:r>
        <w:rPr>
          <w:color w:val="000000" w:themeColor="text1"/>
          <w:sz w:val="20"/>
          <w:szCs w:val="20"/>
          <w:lang w:val="en-CA"/>
        </w:rPr>
        <w:t xml:space="preserve"> </w:t>
      </w:r>
      <w:r>
        <w:rPr>
          <w:color w:val="000000" w:themeColor="text1"/>
          <w:sz w:val="20"/>
          <w:szCs w:val="20"/>
        </w:rPr>
        <w:t>nodule</w:t>
      </w:r>
      <w:r>
        <w:rPr>
          <w:color w:val="000000" w:themeColor="text1"/>
          <w:sz w:val="20"/>
          <w:szCs w:val="20"/>
          <w:lang w:val="en-CA"/>
        </w:rPr>
        <w:t xml:space="preserve">; PS: </w:t>
      </w:r>
      <w:r>
        <w:rPr>
          <w:color w:val="000000" w:themeColor="text1"/>
          <w:sz w:val="20"/>
          <w:szCs w:val="20"/>
        </w:rPr>
        <w:t>Part-solid</w:t>
      </w:r>
      <w:r>
        <w:rPr>
          <w:color w:val="000000" w:themeColor="text1"/>
          <w:sz w:val="20"/>
          <w:szCs w:val="20"/>
          <w:lang w:val="en-CA"/>
        </w:rPr>
        <w:t xml:space="preserve"> </w:t>
      </w:r>
      <w:r>
        <w:rPr>
          <w:color w:val="000000" w:themeColor="text1"/>
          <w:sz w:val="20"/>
          <w:szCs w:val="20"/>
        </w:rPr>
        <w:t>nodule;</w:t>
      </w:r>
      <w:r>
        <w:rPr>
          <w:color w:val="000000" w:themeColor="text1"/>
          <w:sz w:val="20"/>
          <w:szCs w:val="20"/>
          <w:lang w:val="en-CA"/>
        </w:rPr>
        <w:t xml:space="preserve"> NS: </w:t>
      </w:r>
      <w:r>
        <w:rPr>
          <w:color w:val="000000" w:themeColor="text1"/>
          <w:sz w:val="20"/>
          <w:szCs w:val="20"/>
        </w:rPr>
        <w:t>Nonsolid</w:t>
      </w:r>
      <w:r>
        <w:rPr>
          <w:color w:val="000000" w:themeColor="text1"/>
          <w:sz w:val="20"/>
          <w:szCs w:val="20"/>
          <w:lang w:val="en-CA"/>
        </w:rPr>
        <w:t xml:space="preserve"> </w:t>
      </w:r>
      <w:r>
        <w:rPr>
          <w:color w:val="000000" w:themeColor="text1"/>
          <w:sz w:val="20"/>
          <w:szCs w:val="20"/>
        </w:rPr>
        <w:t>nodule</w:t>
      </w:r>
    </w:p>
    <w:p w14:paraId="0E2F85C9" w14:textId="6AAA6757" w:rsidR="008D265D" w:rsidRDefault="008D265D" w:rsidP="008D265D">
      <w:pPr>
        <w:adjustRightInd w:val="0"/>
        <w:snapToGrid w:val="0"/>
        <w:jc w:val="left"/>
        <w:rPr>
          <w:color w:val="000000" w:themeColor="text1"/>
          <w:sz w:val="20"/>
          <w:szCs w:val="20"/>
        </w:rPr>
      </w:pPr>
      <w:r w:rsidRPr="004C1AF0">
        <w:rPr>
          <w:rFonts w:hint="eastAsia"/>
          <w:color w:val="000000" w:themeColor="text1"/>
          <w:sz w:val="20"/>
          <w:szCs w:val="20"/>
          <w:vertAlign w:val="superscript"/>
        </w:rPr>
        <w:t>a</w:t>
      </w:r>
      <w:r w:rsidRPr="004C1AF0">
        <w:rPr>
          <w:color w:val="000000" w:themeColor="text1"/>
          <w:sz w:val="20"/>
          <w:szCs w:val="20"/>
          <w:vertAlign w:val="superscript"/>
        </w:rPr>
        <w:t xml:space="preserve"> </w:t>
      </w:r>
      <w:r>
        <w:rPr>
          <w:color w:val="000000" w:themeColor="text1"/>
          <w:sz w:val="20"/>
          <w:szCs w:val="20"/>
        </w:rPr>
        <w:t>no</w:t>
      </w:r>
      <w:r>
        <w:rPr>
          <w:color w:val="000000" w:themeColor="text1"/>
          <w:sz w:val="20"/>
          <w:szCs w:val="20"/>
          <w:lang w:val="en-CA"/>
        </w:rPr>
        <w:t xml:space="preserve"> </w:t>
      </w:r>
      <w:r>
        <w:rPr>
          <w:color w:val="000000" w:themeColor="text1"/>
          <w:sz w:val="20"/>
          <w:szCs w:val="20"/>
        </w:rPr>
        <w:t>non-calcified</w:t>
      </w:r>
      <w:r>
        <w:rPr>
          <w:color w:val="000000" w:themeColor="text1"/>
          <w:sz w:val="20"/>
          <w:szCs w:val="20"/>
          <w:lang w:val="en-CA"/>
        </w:rPr>
        <w:t xml:space="preserve"> </w:t>
      </w:r>
      <w:r>
        <w:rPr>
          <w:color w:val="000000" w:themeColor="text1"/>
          <w:sz w:val="20"/>
          <w:szCs w:val="20"/>
        </w:rPr>
        <w:t>nodules</w:t>
      </w:r>
      <w:r>
        <w:rPr>
          <w:color w:val="000000" w:themeColor="text1"/>
          <w:sz w:val="20"/>
          <w:szCs w:val="20"/>
          <w:lang w:val="en-CA"/>
        </w:rPr>
        <w:t xml:space="preserve"> </w:t>
      </w:r>
      <w:r>
        <w:rPr>
          <w:color w:val="000000" w:themeColor="text1"/>
          <w:sz w:val="20"/>
          <w:szCs w:val="20"/>
        </w:rPr>
        <w:t xml:space="preserve">detected; </w:t>
      </w:r>
      <w:r w:rsidRPr="00C1190F">
        <w:rPr>
          <w:rFonts w:hint="eastAsia"/>
          <w:color w:val="000000" w:themeColor="text1"/>
          <w:sz w:val="20"/>
          <w:szCs w:val="20"/>
          <w:vertAlign w:val="superscript"/>
        </w:rPr>
        <w:t>b</w:t>
      </w:r>
      <w:r w:rsidR="00C1190F">
        <w:rPr>
          <w:color w:val="000000" w:themeColor="text1"/>
          <w:sz w:val="20"/>
          <w:szCs w:val="20"/>
          <w:vertAlign w:val="superscript"/>
        </w:rPr>
        <w:t xml:space="preserve"> </w:t>
      </w:r>
      <w:r>
        <w:rPr>
          <w:color w:val="000000" w:themeColor="text1"/>
          <w:sz w:val="20"/>
          <w:szCs w:val="20"/>
        </w:rPr>
        <w:t xml:space="preserve">the increasement of the diameter of the nodule </w:t>
      </w:r>
      <m:oMath>
        <m:r>
          <m:rPr>
            <m:sty m:val="p"/>
          </m:rPr>
          <w:rPr>
            <w:rFonts w:ascii="Cambria Math" w:hAnsi="Cambria Math"/>
            <w:color w:val="000000" w:themeColor="text1"/>
            <w:sz w:val="20"/>
            <w:szCs w:val="20"/>
          </w:rPr>
          <m:t>≥</m:t>
        </m:r>
      </m:oMath>
      <w:r>
        <w:rPr>
          <w:color w:val="000000" w:themeColor="text1"/>
          <w:sz w:val="20"/>
          <w:szCs w:val="20"/>
        </w:rPr>
        <w:t>2mm</w:t>
      </w:r>
      <w:bookmarkEnd w:id="14"/>
      <w:bookmarkEnd w:id="15"/>
    </w:p>
    <w:sectPr w:rsidR="008D265D">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E4E2F" w14:textId="77777777" w:rsidR="004445BA" w:rsidRDefault="004445BA">
      <w:r>
        <w:separator/>
      </w:r>
    </w:p>
  </w:endnote>
  <w:endnote w:type="continuationSeparator" w:id="0">
    <w:p w14:paraId="78E77718" w14:textId="77777777" w:rsidR="004445BA" w:rsidRDefault="00444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icrosoft YaHei UI">
    <w:panose1 w:val="020B0503020204020204"/>
    <w:charset w:val="86"/>
    <w:family w:val="swiss"/>
    <w:pitch w:val="variable"/>
    <w:sig w:usb0="80000287" w:usb1="28C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5923068"/>
    </w:sdtPr>
    <w:sdtEndPr/>
    <w:sdtContent>
      <w:p w14:paraId="3575ACE4" w14:textId="77777777" w:rsidR="0007076A" w:rsidRDefault="0007076A">
        <w:pPr>
          <w:jc w:val="right"/>
        </w:pPr>
        <w:r>
          <w:fldChar w:fldCharType="begin"/>
        </w:r>
        <w:r>
          <w:instrText xml:space="preserve"> PAGE   \* MERGEFORMAT </w:instrText>
        </w:r>
        <w:r>
          <w:fldChar w:fldCharType="separate"/>
        </w:r>
        <w:r>
          <w:t>20</w:t>
        </w:r>
        <w:r>
          <w:fldChar w:fldCharType="end"/>
        </w:r>
      </w:p>
    </w:sdtContent>
  </w:sdt>
  <w:p w14:paraId="7E766517" w14:textId="77777777" w:rsidR="0007076A" w:rsidRDefault="0007076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4776911"/>
    </w:sdtPr>
    <w:sdtEndPr/>
    <w:sdtContent>
      <w:p w14:paraId="29BA371A" w14:textId="77777777" w:rsidR="0007076A" w:rsidRDefault="0007076A">
        <w:pPr>
          <w:jc w:val="right"/>
        </w:pPr>
        <w:r>
          <w:fldChar w:fldCharType="begin"/>
        </w:r>
        <w:r>
          <w:instrText xml:space="preserve"> PAGE   \* MERGEFORMAT </w:instrText>
        </w:r>
        <w:r>
          <w:fldChar w:fldCharType="separate"/>
        </w:r>
        <w:r>
          <w:t>20</w:t>
        </w:r>
        <w:r>
          <w:fldChar w:fldCharType="end"/>
        </w:r>
      </w:p>
    </w:sdtContent>
  </w:sdt>
  <w:p w14:paraId="67E0AA19" w14:textId="77777777" w:rsidR="0007076A" w:rsidRDefault="000707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24682" w14:textId="77777777" w:rsidR="004445BA" w:rsidRDefault="004445BA">
      <w:r>
        <w:separator/>
      </w:r>
    </w:p>
  </w:footnote>
  <w:footnote w:type="continuationSeparator" w:id="0">
    <w:p w14:paraId="71146384" w14:textId="77777777" w:rsidR="004445BA" w:rsidRDefault="00444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B8E"/>
    <w:rsid w:val="00005D0A"/>
    <w:rsid w:val="00006A33"/>
    <w:rsid w:val="0000732C"/>
    <w:rsid w:val="000116BA"/>
    <w:rsid w:val="00017A67"/>
    <w:rsid w:val="00020A05"/>
    <w:rsid w:val="00030D08"/>
    <w:rsid w:val="00042449"/>
    <w:rsid w:val="000443E4"/>
    <w:rsid w:val="00063D85"/>
    <w:rsid w:val="0006568D"/>
    <w:rsid w:val="0006736F"/>
    <w:rsid w:val="0007069C"/>
    <w:rsid w:val="0007076A"/>
    <w:rsid w:val="0009158A"/>
    <w:rsid w:val="00096E69"/>
    <w:rsid w:val="000C17C0"/>
    <w:rsid w:val="000C516F"/>
    <w:rsid w:val="000D54E2"/>
    <w:rsid w:val="000F2724"/>
    <w:rsid w:val="000F5A63"/>
    <w:rsid w:val="001017A2"/>
    <w:rsid w:val="00102472"/>
    <w:rsid w:val="00105E19"/>
    <w:rsid w:val="001157FA"/>
    <w:rsid w:val="00127D8A"/>
    <w:rsid w:val="001428BC"/>
    <w:rsid w:val="0014460A"/>
    <w:rsid w:val="001467B1"/>
    <w:rsid w:val="001740B0"/>
    <w:rsid w:val="00177C60"/>
    <w:rsid w:val="001B318C"/>
    <w:rsid w:val="001B6924"/>
    <w:rsid w:val="001C2DE5"/>
    <w:rsid w:val="001C7BB3"/>
    <w:rsid w:val="001C7FCA"/>
    <w:rsid w:val="00211369"/>
    <w:rsid w:val="00214D3D"/>
    <w:rsid w:val="00215FAA"/>
    <w:rsid w:val="002170C9"/>
    <w:rsid w:val="00217EF8"/>
    <w:rsid w:val="00232FF6"/>
    <w:rsid w:val="002360DF"/>
    <w:rsid w:val="00245A31"/>
    <w:rsid w:val="00263258"/>
    <w:rsid w:val="00286496"/>
    <w:rsid w:val="002A2F4C"/>
    <w:rsid w:val="002C765B"/>
    <w:rsid w:val="002D3620"/>
    <w:rsid w:val="002D74A3"/>
    <w:rsid w:val="002E0BFE"/>
    <w:rsid w:val="002E4554"/>
    <w:rsid w:val="00301EB5"/>
    <w:rsid w:val="00310E26"/>
    <w:rsid w:val="00317129"/>
    <w:rsid w:val="0032218C"/>
    <w:rsid w:val="003248EB"/>
    <w:rsid w:val="00332E6B"/>
    <w:rsid w:val="003448E9"/>
    <w:rsid w:val="00347370"/>
    <w:rsid w:val="00360528"/>
    <w:rsid w:val="003667E8"/>
    <w:rsid w:val="00371000"/>
    <w:rsid w:val="00376A68"/>
    <w:rsid w:val="00395253"/>
    <w:rsid w:val="003A0479"/>
    <w:rsid w:val="003A2AA5"/>
    <w:rsid w:val="003B1416"/>
    <w:rsid w:val="003C5E56"/>
    <w:rsid w:val="003F14AD"/>
    <w:rsid w:val="00400261"/>
    <w:rsid w:val="00401636"/>
    <w:rsid w:val="00403217"/>
    <w:rsid w:val="0041063E"/>
    <w:rsid w:val="0041584E"/>
    <w:rsid w:val="004174DB"/>
    <w:rsid w:val="00430552"/>
    <w:rsid w:val="004327EC"/>
    <w:rsid w:val="00443B0B"/>
    <w:rsid w:val="004445BA"/>
    <w:rsid w:val="00446F7D"/>
    <w:rsid w:val="004523DE"/>
    <w:rsid w:val="00467D96"/>
    <w:rsid w:val="004721D7"/>
    <w:rsid w:val="00472471"/>
    <w:rsid w:val="00475124"/>
    <w:rsid w:val="00487B31"/>
    <w:rsid w:val="00493469"/>
    <w:rsid w:val="00497B8E"/>
    <w:rsid w:val="004A4137"/>
    <w:rsid w:val="004A6102"/>
    <w:rsid w:val="004B5296"/>
    <w:rsid w:val="004C086E"/>
    <w:rsid w:val="004C1AF0"/>
    <w:rsid w:val="004C3D25"/>
    <w:rsid w:val="004D419D"/>
    <w:rsid w:val="004F303D"/>
    <w:rsid w:val="004F5CB1"/>
    <w:rsid w:val="00507152"/>
    <w:rsid w:val="00512CDC"/>
    <w:rsid w:val="0051436B"/>
    <w:rsid w:val="00516DB9"/>
    <w:rsid w:val="00517050"/>
    <w:rsid w:val="005200F8"/>
    <w:rsid w:val="005203DF"/>
    <w:rsid w:val="005243CF"/>
    <w:rsid w:val="00535213"/>
    <w:rsid w:val="00537E21"/>
    <w:rsid w:val="005522E0"/>
    <w:rsid w:val="0055244B"/>
    <w:rsid w:val="00560066"/>
    <w:rsid w:val="0056170A"/>
    <w:rsid w:val="00571B21"/>
    <w:rsid w:val="0057372E"/>
    <w:rsid w:val="005808B9"/>
    <w:rsid w:val="0058096D"/>
    <w:rsid w:val="005828F7"/>
    <w:rsid w:val="0059610C"/>
    <w:rsid w:val="005A1905"/>
    <w:rsid w:val="005A44DE"/>
    <w:rsid w:val="005B4347"/>
    <w:rsid w:val="005C4ECD"/>
    <w:rsid w:val="005D2093"/>
    <w:rsid w:val="005F1D43"/>
    <w:rsid w:val="005F27E1"/>
    <w:rsid w:val="00601B79"/>
    <w:rsid w:val="00604BA6"/>
    <w:rsid w:val="006118D8"/>
    <w:rsid w:val="00611FBA"/>
    <w:rsid w:val="0061205A"/>
    <w:rsid w:val="00612EFD"/>
    <w:rsid w:val="006228C1"/>
    <w:rsid w:val="006238FC"/>
    <w:rsid w:val="00625A70"/>
    <w:rsid w:val="00630C45"/>
    <w:rsid w:val="0064493B"/>
    <w:rsid w:val="00646E32"/>
    <w:rsid w:val="00647A14"/>
    <w:rsid w:val="00683D66"/>
    <w:rsid w:val="006847B6"/>
    <w:rsid w:val="00692CF2"/>
    <w:rsid w:val="006A2B94"/>
    <w:rsid w:val="006A4830"/>
    <w:rsid w:val="006B67A8"/>
    <w:rsid w:val="006C2702"/>
    <w:rsid w:val="006C4594"/>
    <w:rsid w:val="006E2C7C"/>
    <w:rsid w:val="006E3B1E"/>
    <w:rsid w:val="00706075"/>
    <w:rsid w:val="007079DC"/>
    <w:rsid w:val="00707D28"/>
    <w:rsid w:val="00732A7E"/>
    <w:rsid w:val="00746EE1"/>
    <w:rsid w:val="00750BCA"/>
    <w:rsid w:val="00760CE3"/>
    <w:rsid w:val="00770E55"/>
    <w:rsid w:val="00794FAC"/>
    <w:rsid w:val="00795B4A"/>
    <w:rsid w:val="0079771A"/>
    <w:rsid w:val="007B1796"/>
    <w:rsid w:val="007B4361"/>
    <w:rsid w:val="007B46A8"/>
    <w:rsid w:val="007B4835"/>
    <w:rsid w:val="007B5112"/>
    <w:rsid w:val="007B7136"/>
    <w:rsid w:val="007D428E"/>
    <w:rsid w:val="007D685E"/>
    <w:rsid w:val="00810AEA"/>
    <w:rsid w:val="008112C6"/>
    <w:rsid w:val="00834239"/>
    <w:rsid w:val="008373FF"/>
    <w:rsid w:val="00837685"/>
    <w:rsid w:val="008460DF"/>
    <w:rsid w:val="00851318"/>
    <w:rsid w:val="0085221F"/>
    <w:rsid w:val="00856B33"/>
    <w:rsid w:val="008939AF"/>
    <w:rsid w:val="00895F8D"/>
    <w:rsid w:val="008A39D0"/>
    <w:rsid w:val="008A3E6E"/>
    <w:rsid w:val="008A4619"/>
    <w:rsid w:val="008B5668"/>
    <w:rsid w:val="008D265D"/>
    <w:rsid w:val="008D2CDB"/>
    <w:rsid w:val="008D4277"/>
    <w:rsid w:val="008E1CC6"/>
    <w:rsid w:val="008E2E09"/>
    <w:rsid w:val="008E67BE"/>
    <w:rsid w:val="008F7C1A"/>
    <w:rsid w:val="0091582E"/>
    <w:rsid w:val="009316D3"/>
    <w:rsid w:val="00935529"/>
    <w:rsid w:val="00937DA6"/>
    <w:rsid w:val="00946C50"/>
    <w:rsid w:val="009562E4"/>
    <w:rsid w:val="00961EBD"/>
    <w:rsid w:val="00993F5E"/>
    <w:rsid w:val="009A0C98"/>
    <w:rsid w:val="009A6568"/>
    <w:rsid w:val="009B25D6"/>
    <w:rsid w:val="009B691F"/>
    <w:rsid w:val="009C0459"/>
    <w:rsid w:val="009C5321"/>
    <w:rsid w:val="009D2651"/>
    <w:rsid w:val="009E42A0"/>
    <w:rsid w:val="009E4E0C"/>
    <w:rsid w:val="009E4F03"/>
    <w:rsid w:val="009E5F76"/>
    <w:rsid w:val="00A00387"/>
    <w:rsid w:val="00A11C2C"/>
    <w:rsid w:val="00A15933"/>
    <w:rsid w:val="00A3622D"/>
    <w:rsid w:val="00A56B68"/>
    <w:rsid w:val="00A81A1C"/>
    <w:rsid w:val="00A87EF1"/>
    <w:rsid w:val="00A9637F"/>
    <w:rsid w:val="00AA25CA"/>
    <w:rsid w:val="00AA52FB"/>
    <w:rsid w:val="00AB1AA8"/>
    <w:rsid w:val="00AB267B"/>
    <w:rsid w:val="00AC067C"/>
    <w:rsid w:val="00AC534D"/>
    <w:rsid w:val="00AD070F"/>
    <w:rsid w:val="00AE595C"/>
    <w:rsid w:val="00B11919"/>
    <w:rsid w:val="00B22050"/>
    <w:rsid w:val="00B31F0F"/>
    <w:rsid w:val="00B37CF7"/>
    <w:rsid w:val="00B520AB"/>
    <w:rsid w:val="00B57D29"/>
    <w:rsid w:val="00B8008F"/>
    <w:rsid w:val="00B92F51"/>
    <w:rsid w:val="00B94C7F"/>
    <w:rsid w:val="00BA0AEE"/>
    <w:rsid w:val="00BA3772"/>
    <w:rsid w:val="00BC5C9F"/>
    <w:rsid w:val="00BD00EC"/>
    <w:rsid w:val="00BE56BA"/>
    <w:rsid w:val="00BF4ACE"/>
    <w:rsid w:val="00C1190F"/>
    <w:rsid w:val="00C11B22"/>
    <w:rsid w:val="00C12F3A"/>
    <w:rsid w:val="00C42BE4"/>
    <w:rsid w:val="00C65EFC"/>
    <w:rsid w:val="00C66947"/>
    <w:rsid w:val="00C711D2"/>
    <w:rsid w:val="00C71D3E"/>
    <w:rsid w:val="00C76197"/>
    <w:rsid w:val="00C83DCD"/>
    <w:rsid w:val="00CA16D8"/>
    <w:rsid w:val="00CA7E23"/>
    <w:rsid w:val="00CB3394"/>
    <w:rsid w:val="00CB61C4"/>
    <w:rsid w:val="00CC6BE1"/>
    <w:rsid w:val="00CD7F6D"/>
    <w:rsid w:val="00CE437A"/>
    <w:rsid w:val="00CF2485"/>
    <w:rsid w:val="00D044CE"/>
    <w:rsid w:val="00D068E8"/>
    <w:rsid w:val="00D159B2"/>
    <w:rsid w:val="00D237AA"/>
    <w:rsid w:val="00D30886"/>
    <w:rsid w:val="00D37A92"/>
    <w:rsid w:val="00D46DD0"/>
    <w:rsid w:val="00D53A07"/>
    <w:rsid w:val="00D71CEF"/>
    <w:rsid w:val="00D72AAF"/>
    <w:rsid w:val="00D735A6"/>
    <w:rsid w:val="00D821DB"/>
    <w:rsid w:val="00D846D7"/>
    <w:rsid w:val="00D92382"/>
    <w:rsid w:val="00D9514B"/>
    <w:rsid w:val="00DA725E"/>
    <w:rsid w:val="00DB4202"/>
    <w:rsid w:val="00DB42BA"/>
    <w:rsid w:val="00DC1DE9"/>
    <w:rsid w:val="00DD3B91"/>
    <w:rsid w:val="00DE7902"/>
    <w:rsid w:val="00DF38F7"/>
    <w:rsid w:val="00E02C13"/>
    <w:rsid w:val="00E07B70"/>
    <w:rsid w:val="00E170D2"/>
    <w:rsid w:val="00E26F3D"/>
    <w:rsid w:val="00E45EFD"/>
    <w:rsid w:val="00E53619"/>
    <w:rsid w:val="00E541AA"/>
    <w:rsid w:val="00E56238"/>
    <w:rsid w:val="00E56927"/>
    <w:rsid w:val="00E60FE7"/>
    <w:rsid w:val="00E632C6"/>
    <w:rsid w:val="00E71023"/>
    <w:rsid w:val="00E737B0"/>
    <w:rsid w:val="00E84192"/>
    <w:rsid w:val="00E861E4"/>
    <w:rsid w:val="00EA051B"/>
    <w:rsid w:val="00EA5E36"/>
    <w:rsid w:val="00EB3D80"/>
    <w:rsid w:val="00EE2114"/>
    <w:rsid w:val="00EE2E9E"/>
    <w:rsid w:val="00F0005D"/>
    <w:rsid w:val="00F077E9"/>
    <w:rsid w:val="00F14114"/>
    <w:rsid w:val="00F1489D"/>
    <w:rsid w:val="00F16F57"/>
    <w:rsid w:val="00F26579"/>
    <w:rsid w:val="00F311DF"/>
    <w:rsid w:val="00F375D7"/>
    <w:rsid w:val="00F41A70"/>
    <w:rsid w:val="00F4662B"/>
    <w:rsid w:val="00F467A1"/>
    <w:rsid w:val="00F472DB"/>
    <w:rsid w:val="00F70488"/>
    <w:rsid w:val="00F726EC"/>
    <w:rsid w:val="00F83AD1"/>
    <w:rsid w:val="00F90442"/>
    <w:rsid w:val="00F945B8"/>
    <w:rsid w:val="00F964CE"/>
    <w:rsid w:val="00FA513D"/>
    <w:rsid w:val="00FA5176"/>
    <w:rsid w:val="00FB1DF7"/>
    <w:rsid w:val="00FC05D9"/>
    <w:rsid w:val="00FD71F8"/>
    <w:rsid w:val="00FE78D4"/>
    <w:rsid w:val="00FF110C"/>
    <w:rsid w:val="00FF7EE2"/>
    <w:rsid w:val="042413B9"/>
    <w:rsid w:val="143B142F"/>
    <w:rsid w:val="15F73EA7"/>
    <w:rsid w:val="2D89459A"/>
    <w:rsid w:val="39AA270F"/>
    <w:rsid w:val="570C58EF"/>
    <w:rsid w:val="5BE769C1"/>
    <w:rsid w:val="66AB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CE332A3"/>
  <w15:docId w15:val="{A3169FD2-A04A-4969-B216-C07FECBA5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annotation text" w:uiPriority="99" w:qFormat="1"/>
    <w:lsdException w:name="header" w:uiPriority="99"/>
    <w:lsdException w:name="footer" w:uiPriority="99"/>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HTML Variable" w:semiHidden="1" w:unhideWhenUsed="1"/>
    <w:lsdException w:name="Normal Table" w:semiHidden="1" w:uiPriority="99" w:unhideWhenUsed="1" w:qFormat="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sz w:val="21"/>
      <w:szCs w:val="22"/>
    </w:rPr>
  </w:style>
  <w:style w:type="paragraph" w:styleId="Heading1">
    <w:name w:val="heading 1"/>
    <w:basedOn w:val="Normal"/>
    <w:next w:val="Normal"/>
    <w:link w:val="Heading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qFormat/>
    <w:pPr>
      <w:jc w:val="left"/>
    </w:pPr>
  </w:style>
  <w:style w:type="paragraph" w:styleId="BalloonText">
    <w:name w:val="Balloon Text"/>
    <w:basedOn w:val="Normal"/>
    <w:link w:val="BalloonTextChar"/>
    <w:uiPriority w:val="99"/>
    <w:qFormat/>
    <w:rPr>
      <w:rFonts w:ascii="Microsoft YaHei UI" w:eastAsia="Microsoft YaHei UI"/>
      <w:sz w:val="18"/>
      <w:szCs w:val="18"/>
    </w:rPr>
  </w:style>
  <w:style w:type="paragraph" w:styleId="Footer">
    <w:name w:val="footer"/>
    <w:basedOn w:val="Normal"/>
    <w:link w:val="FooterChar"/>
    <w:uiPriority w:val="99"/>
    <w:pPr>
      <w:tabs>
        <w:tab w:val="center" w:pos="4153"/>
        <w:tab w:val="right" w:pos="8306"/>
      </w:tabs>
      <w:snapToGrid w:val="0"/>
      <w:jc w:val="left"/>
    </w:pPr>
    <w:rPr>
      <w:sz w:val="18"/>
      <w:szCs w:val="18"/>
    </w:rPr>
  </w:style>
  <w:style w:type="paragraph" w:styleId="Header">
    <w:name w:val="header"/>
    <w:basedOn w:val="Normal"/>
    <w:link w:val="HeaderChar"/>
    <w:uiPriority w:val="99"/>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CommentSubject">
    <w:name w:val="annotation subject"/>
    <w:basedOn w:val="CommentText"/>
    <w:next w:val="CommentText"/>
    <w:link w:val="CommentSubjectChar"/>
    <w:uiPriority w:val="99"/>
    <w:rPr>
      <w:b/>
      <w:b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qFormat/>
    <w:rPr>
      <w:sz w:val="21"/>
      <w:szCs w:val="21"/>
    </w:rPr>
  </w:style>
  <w:style w:type="character" w:customStyle="1" w:styleId="BalloonTextChar">
    <w:name w:val="Balloon Text Char"/>
    <w:basedOn w:val="DefaultParagraphFont"/>
    <w:link w:val="BalloonText"/>
    <w:uiPriority w:val="99"/>
    <w:qFormat/>
    <w:rPr>
      <w:rFonts w:ascii="Microsoft YaHei UI" w:eastAsia="Microsoft YaHei UI"/>
      <w:sz w:val="18"/>
      <w:szCs w:val="18"/>
    </w:rPr>
  </w:style>
  <w:style w:type="paragraph" w:customStyle="1" w:styleId="EndNoteBibliography">
    <w:name w:val="EndNote Bibliography"/>
    <w:basedOn w:val="Normal"/>
    <w:link w:val="EndNoteBibliography0"/>
    <w:qFormat/>
    <w:pPr>
      <w:jc w:val="left"/>
    </w:pPr>
    <w:rPr>
      <w:sz w:val="20"/>
    </w:rPr>
  </w:style>
  <w:style w:type="character" w:customStyle="1" w:styleId="EndNoteBibliography0">
    <w:name w:val="EndNote Bibliography 字符"/>
    <w:basedOn w:val="DefaultParagraphFont"/>
    <w:link w:val="EndNoteBibliography"/>
    <w:qFormat/>
    <w:rPr>
      <w:szCs w:val="22"/>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CommentTextChar">
    <w:name w:val="Comment Text Char"/>
    <w:basedOn w:val="DefaultParagraphFont"/>
    <w:link w:val="CommentText"/>
    <w:uiPriority w:val="99"/>
    <w:qFormat/>
    <w:rPr>
      <w:sz w:val="21"/>
      <w:szCs w:val="22"/>
    </w:rPr>
  </w:style>
  <w:style w:type="paragraph" w:styleId="ListParagraph">
    <w:name w:val="List Paragraph"/>
    <w:basedOn w:val="Normal"/>
    <w:uiPriority w:val="99"/>
    <w:qFormat/>
    <w:pPr>
      <w:ind w:firstLineChars="200" w:firstLine="420"/>
    </w:pPr>
  </w:style>
  <w:style w:type="character" w:customStyle="1" w:styleId="CommentSubjectChar">
    <w:name w:val="Comment Subject Char"/>
    <w:basedOn w:val="CommentTextChar"/>
    <w:link w:val="CommentSubject"/>
    <w:uiPriority w:val="99"/>
    <w:qFormat/>
    <w:rPr>
      <w:b/>
      <w:bCs/>
      <w:sz w:val="21"/>
      <w:szCs w:val="22"/>
    </w:rPr>
  </w:style>
  <w:style w:type="paragraph" w:customStyle="1" w:styleId="1">
    <w:name w:val="修订1"/>
    <w:hidden/>
    <w:uiPriority w:val="99"/>
    <w:semiHidden/>
    <w:qFormat/>
    <w:rPr>
      <w:sz w:val="21"/>
      <w:szCs w:val="22"/>
    </w:rPr>
  </w:style>
  <w:style w:type="paragraph" w:customStyle="1" w:styleId="WPSOffice1">
    <w:name w:val="WPSOffice手动目录 1"/>
    <w:qFormat/>
  </w:style>
  <w:style w:type="character" w:customStyle="1" w:styleId="Heading2Char">
    <w:name w:val="Heading 2 Char"/>
    <w:basedOn w:val="DefaultParagraphFont"/>
    <w:link w:val="Heading2"/>
    <w:semiHidden/>
    <w:qFormat/>
    <w:rPr>
      <w:rFonts w:asciiTheme="majorHAnsi" w:eastAsiaTheme="majorEastAsia" w:hAnsiTheme="majorHAnsi" w:cstheme="majorBidi"/>
      <w:b/>
      <w:bCs/>
      <w:sz w:val="32"/>
      <w:szCs w:val="32"/>
    </w:rPr>
  </w:style>
  <w:style w:type="character" w:customStyle="1" w:styleId="Heading1Char">
    <w:name w:val="Heading 1 Char"/>
    <w:basedOn w:val="DefaultParagraphFont"/>
    <w:link w:val="Heading1"/>
    <w:qFormat/>
    <w:rPr>
      <w:b/>
      <w:bCs/>
      <w:kern w:val="44"/>
      <w:sz w:val="44"/>
      <w:szCs w:val="44"/>
    </w:rPr>
  </w:style>
  <w:style w:type="character" w:styleId="LineNumber">
    <w:name w:val="line number"/>
    <w:basedOn w:val="DefaultParagraphFont"/>
    <w:rsid w:val="00286496"/>
  </w:style>
  <w:style w:type="numbering" w:customStyle="1" w:styleId="10">
    <w:name w:val="无列表1"/>
    <w:next w:val="NoList"/>
    <w:uiPriority w:val="99"/>
    <w:semiHidden/>
    <w:unhideWhenUsed/>
    <w:rsid w:val="006238FC"/>
  </w:style>
  <w:style w:type="table" w:customStyle="1" w:styleId="11">
    <w:name w:val="网格型1"/>
    <w:basedOn w:val="TableNormal"/>
    <w:next w:val="TableGrid"/>
    <w:uiPriority w:val="59"/>
    <w:rsid w:val="006238FC"/>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238FC"/>
    <w:pPr>
      <w:widowControl w:val="0"/>
      <w:autoSpaceDE w:val="0"/>
      <w:autoSpaceDN w:val="0"/>
      <w:adjustRightInd w:val="0"/>
    </w:pPr>
    <w:rPr>
      <w:color w:val="000000"/>
      <w:sz w:val="24"/>
      <w:szCs w:val="24"/>
    </w:rPr>
  </w:style>
  <w:style w:type="character" w:customStyle="1" w:styleId="title-text">
    <w:name w:val="title-text"/>
    <w:basedOn w:val="DefaultParagraphFont"/>
    <w:rsid w:val="006238FC"/>
  </w:style>
  <w:style w:type="paragraph" w:customStyle="1" w:styleId="EndNoteBibliographyTitle">
    <w:name w:val="EndNote Bibliography Title"/>
    <w:basedOn w:val="Normal"/>
    <w:link w:val="EndNoteBibliographyTitle0"/>
    <w:rsid w:val="006238FC"/>
    <w:pPr>
      <w:framePr w:hSpace="180" w:wrap="around" w:vAnchor="text" w:hAnchor="margin" w:y="-1799"/>
      <w:jc w:val="center"/>
    </w:pPr>
    <w:rPr>
      <w:rFonts w:ascii="Calibri" w:hAnsi="Calibri" w:cs="Calibri"/>
      <w:noProof/>
      <w:kern w:val="2"/>
      <w:sz w:val="20"/>
    </w:rPr>
  </w:style>
  <w:style w:type="character" w:customStyle="1" w:styleId="EndNoteBibliographyTitle0">
    <w:name w:val="EndNote Bibliography Title 字符"/>
    <w:basedOn w:val="DefaultParagraphFont"/>
    <w:link w:val="EndNoteBibliographyTitle"/>
    <w:rsid w:val="006238FC"/>
    <w:rPr>
      <w:rFonts w:ascii="Calibri" w:hAnsi="Calibri" w:cs="Calibri"/>
      <w:noProof/>
      <w:kern w:val="2"/>
      <w:szCs w:val="22"/>
    </w:rPr>
  </w:style>
  <w:style w:type="table" w:styleId="TableGrid">
    <w:name w:val="Table Grid"/>
    <w:basedOn w:val="TableNormal"/>
    <w:uiPriority w:val="39"/>
    <w:rsid w:val="006238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24716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1371</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86153</dc:creator>
  <cp:lastModifiedBy>caowei</cp:lastModifiedBy>
  <cp:revision>15</cp:revision>
  <cp:lastPrinted>2021-07-04T12:24:00Z</cp:lastPrinted>
  <dcterms:created xsi:type="dcterms:W3CDTF">2022-12-05T09:16:00Z</dcterms:created>
  <dcterms:modified xsi:type="dcterms:W3CDTF">2022-12-06T08:05:00Z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