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634B" w:rsidRDefault="004679F7" w:rsidP="00B1634B">
      <w:pPr>
        <w:spacing w:after="0" w:line="360" w:lineRule="auto"/>
        <w:rPr>
          <w:b/>
        </w:rPr>
      </w:pPr>
      <w:r w:rsidRPr="003C101A">
        <w:rPr>
          <w:b/>
        </w:rPr>
        <w:t>Supplementary material</w:t>
      </w:r>
    </w:p>
    <w:p w:rsidR="003C101A" w:rsidRPr="003C101A" w:rsidRDefault="003C101A" w:rsidP="00B1634B">
      <w:pPr>
        <w:spacing w:after="0" w:line="360" w:lineRule="auto"/>
        <w:rPr>
          <w:b/>
        </w:rPr>
      </w:pPr>
    </w:p>
    <w:p w:rsidR="004679F7" w:rsidRPr="003C101A" w:rsidRDefault="004679F7" w:rsidP="00B1634B">
      <w:pPr>
        <w:spacing w:after="0" w:line="360" w:lineRule="auto"/>
        <w:rPr>
          <w:b/>
        </w:rPr>
      </w:pPr>
      <w:r w:rsidRPr="003C101A">
        <w:rPr>
          <w:b/>
        </w:rPr>
        <w:t xml:space="preserve">Annex 1. Sample size calculations for </w:t>
      </w:r>
      <w:r w:rsidR="002F1663" w:rsidRPr="003C101A">
        <w:rPr>
          <w:b/>
        </w:rPr>
        <w:t>the trial secondary objectives</w:t>
      </w:r>
    </w:p>
    <w:p w:rsidR="003C101A" w:rsidRDefault="003C101A" w:rsidP="00B1634B">
      <w:pPr>
        <w:spacing w:after="0" w:line="360" w:lineRule="auto"/>
      </w:pPr>
    </w:p>
    <w:p w:rsidR="004679F7" w:rsidRPr="00605A4A" w:rsidRDefault="004679F7" w:rsidP="00B1634B">
      <w:pPr>
        <w:widowControl w:val="0"/>
        <w:spacing w:after="0" w:line="360" w:lineRule="auto"/>
        <w:jc w:val="both"/>
        <w:rPr>
          <w:rFonts w:ascii="Calibri" w:eastAsia="Arial" w:hAnsi="Calibri" w:cs="Calibri"/>
          <w:b/>
          <w:i/>
        </w:rPr>
      </w:pPr>
      <w:r w:rsidRPr="00605A4A">
        <w:rPr>
          <w:rFonts w:ascii="Calibri" w:eastAsia="Arial" w:hAnsi="Calibri" w:cs="Calibri"/>
          <w:b/>
          <w:i/>
        </w:rPr>
        <w:t>Assessment of the effect of additional doses of IPTi-SP on malaria risk</w:t>
      </w:r>
    </w:p>
    <w:p w:rsidR="00F42494" w:rsidRDefault="00F42494" w:rsidP="00F42494">
      <w:pPr>
        <w:widowControl w:val="0"/>
        <w:spacing w:after="0" w:line="360" w:lineRule="auto"/>
        <w:jc w:val="both"/>
        <w:rPr>
          <w:rFonts w:ascii="Calibri" w:eastAsia="Arial" w:hAnsi="Calibri" w:cs="Calibri"/>
        </w:rPr>
      </w:pPr>
      <w:r w:rsidRPr="00605A4A">
        <w:rPr>
          <w:rFonts w:ascii="Calibri" w:eastAsia="Arial" w:hAnsi="Calibri" w:cs="Calibri"/>
        </w:rPr>
        <w:t>Two cohorts of 250 children, 35 days after each IPTi-SP dose</w:t>
      </w:r>
      <w:r>
        <w:rPr>
          <w:rFonts w:ascii="Calibri" w:eastAsia="Arial" w:hAnsi="Calibri" w:cs="Calibri"/>
        </w:rPr>
        <w:t>, provide</w:t>
      </w:r>
      <w:r w:rsidRPr="00605A4A">
        <w:rPr>
          <w:rFonts w:ascii="Calibri" w:eastAsia="Arial" w:hAnsi="Calibri" w:cs="Calibri"/>
        </w:rPr>
        <w:t xml:space="preserve"> a power &gt;80%</w:t>
      </w:r>
      <w:r>
        <w:rPr>
          <w:rFonts w:ascii="Calibri" w:eastAsia="Arial" w:hAnsi="Calibri" w:cs="Calibri"/>
        </w:rPr>
        <w:t>, which was assumed to evaluate the prophylactic effects of SP. Power was compiled using a two-tailed Type I error rate of 0.05, and the</w:t>
      </w:r>
      <w:r w:rsidRPr="00605A4A">
        <w:rPr>
          <w:rFonts w:ascii="Calibri" w:eastAsia="Arial" w:hAnsi="Calibri" w:cs="Calibri"/>
        </w:rPr>
        <w:t xml:space="preserve"> required sample size needed to attain 80% power was extracted via linear interpolation using the Monte Carlo approach. A sample size of 500 </w:t>
      </w:r>
      <w:r>
        <w:rPr>
          <w:rFonts w:ascii="Calibri" w:eastAsia="Arial" w:hAnsi="Calibri" w:cs="Calibri"/>
        </w:rPr>
        <w:t>of the trial</w:t>
      </w:r>
      <w:r w:rsidRPr="00605A4A">
        <w:rPr>
          <w:rFonts w:ascii="Calibri" w:eastAsia="Arial" w:hAnsi="Calibri" w:cs="Calibri"/>
        </w:rPr>
        <w:t xml:space="preserve"> participants ensure</w:t>
      </w:r>
      <w:r>
        <w:rPr>
          <w:rFonts w:ascii="Calibri" w:eastAsia="Arial" w:hAnsi="Calibri" w:cs="Calibri"/>
        </w:rPr>
        <w:t>s</w:t>
      </w:r>
      <w:r w:rsidRPr="00605A4A">
        <w:rPr>
          <w:rFonts w:ascii="Calibri" w:eastAsia="Arial" w:hAnsi="Calibri" w:cs="Calibri"/>
        </w:rPr>
        <w:t xml:space="preserve"> approximately 250 children from each trial arm. Withdrawn participants from any cohort </w:t>
      </w:r>
      <w:r>
        <w:rPr>
          <w:rFonts w:ascii="Calibri" w:eastAsia="Arial" w:hAnsi="Calibri" w:cs="Calibri"/>
        </w:rPr>
        <w:t>are to</w:t>
      </w:r>
      <w:r w:rsidRPr="00605A4A">
        <w:rPr>
          <w:rFonts w:ascii="Calibri" w:eastAsia="Arial" w:hAnsi="Calibri" w:cs="Calibri"/>
        </w:rPr>
        <w:t xml:space="preserve"> be replaced with additional participants to maintain the sample size until the end of follow-up</w:t>
      </w:r>
      <w:r w:rsidR="00CA4C45">
        <w:rPr>
          <w:rFonts w:ascii="Calibri" w:eastAsia="Arial" w:hAnsi="Calibri" w:cs="Calibri"/>
        </w:rPr>
        <w:t>.</w:t>
      </w:r>
    </w:p>
    <w:p w:rsidR="00F42494" w:rsidRPr="00605A4A" w:rsidRDefault="00F42494" w:rsidP="00B1634B">
      <w:pPr>
        <w:widowControl w:val="0"/>
        <w:spacing w:after="0" w:line="360" w:lineRule="auto"/>
        <w:jc w:val="both"/>
        <w:rPr>
          <w:rFonts w:ascii="Calibri" w:eastAsia="Arial" w:hAnsi="Calibri" w:cs="Calibri"/>
        </w:rPr>
      </w:pPr>
    </w:p>
    <w:p w:rsidR="008C7B7D" w:rsidRDefault="008C7B7D" w:rsidP="008C7B7D">
      <w:pPr>
        <w:widowControl w:val="0"/>
        <w:spacing w:after="0" w:line="360" w:lineRule="auto"/>
        <w:jc w:val="both"/>
        <w:rPr>
          <w:rFonts w:ascii="Calibri" w:eastAsia="Arial" w:hAnsi="Calibri" w:cs="Calibri"/>
          <w:b/>
          <w:i/>
        </w:rPr>
      </w:pPr>
      <w:r>
        <w:rPr>
          <w:rFonts w:ascii="Calibri" w:eastAsia="Arial" w:hAnsi="Calibri" w:cs="Calibri"/>
          <w:b/>
          <w:i/>
        </w:rPr>
        <w:t>P</w:t>
      </w:r>
      <w:r w:rsidRPr="00605A4A">
        <w:rPr>
          <w:rFonts w:ascii="Calibri" w:eastAsia="Arial" w:hAnsi="Calibri" w:cs="Calibri"/>
          <w:b/>
          <w:i/>
        </w:rPr>
        <w:t xml:space="preserve">arasite resistance to </w:t>
      </w:r>
      <w:r>
        <w:rPr>
          <w:rFonts w:ascii="Calibri" w:eastAsia="Arial" w:hAnsi="Calibri" w:cs="Calibri"/>
          <w:b/>
          <w:i/>
        </w:rPr>
        <w:t>SP</w:t>
      </w:r>
    </w:p>
    <w:p w:rsidR="008C7B7D" w:rsidRDefault="008C7B7D" w:rsidP="008C7B7D">
      <w:pPr>
        <w:widowControl w:val="0"/>
        <w:spacing w:after="0" w:line="360" w:lineRule="auto"/>
        <w:jc w:val="both"/>
        <w:rPr>
          <w:rFonts w:ascii="Calibri" w:eastAsia="Arial" w:hAnsi="Calibri" w:cs="Calibri"/>
        </w:rPr>
      </w:pPr>
      <w:r w:rsidRPr="00605A4A">
        <w:rPr>
          <w:rFonts w:ascii="Calibri" w:eastAsia="Arial" w:hAnsi="Calibri" w:cs="Calibri"/>
        </w:rPr>
        <w:t xml:space="preserve">Assuming a 10% prevalence of </w:t>
      </w:r>
      <w:proofErr w:type="spellStart"/>
      <w:r w:rsidRPr="00605A4A">
        <w:rPr>
          <w:rFonts w:ascii="Calibri" w:eastAsia="Arial" w:hAnsi="Calibri" w:cs="Calibri"/>
          <w:i/>
        </w:rPr>
        <w:t>dhfr</w:t>
      </w:r>
      <w:proofErr w:type="spellEnd"/>
      <w:r w:rsidRPr="00605A4A">
        <w:rPr>
          <w:rFonts w:ascii="Calibri" w:eastAsia="Arial" w:hAnsi="Calibri" w:cs="Calibri"/>
          <w:i/>
        </w:rPr>
        <w:t>/</w:t>
      </w:r>
      <w:proofErr w:type="spellStart"/>
      <w:r w:rsidRPr="00605A4A">
        <w:rPr>
          <w:rFonts w:ascii="Calibri" w:eastAsia="Arial" w:hAnsi="Calibri" w:cs="Calibri"/>
          <w:i/>
        </w:rPr>
        <w:t>dhps</w:t>
      </w:r>
      <w:proofErr w:type="spellEnd"/>
      <w:r w:rsidRPr="00605A4A">
        <w:rPr>
          <w:rFonts w:ascii="Calibri" w:eastAsia="Arial" w:hAnsi="Calibri" w:cs="Calibri"/>
        </w:rPr>
        <w:t xml:space="preserve"> quintuple mutants of resistance</w:t>
      </w:r>
      <w:r w:rsidR="00CA4C45">
        <w:rPr>
          <w:rFonts w:ascii="Calibri" w:eastAsia="Arial" w:hAnsi="Calibri" w:cs="Calibri"/>
        </w:rPr>
        <w:t xml:space="preserve"> </w:t>
      </w:r>
      <w:sdt>
        <w:sdtPr>
          <w:rPr>
            <w:rFonts w:ascii="Calibri" w:hAnsi="Calibri" w:cs="Calibri"/>
            <w:color w:val="000000"/>
          </w:rPr>
          <w:tag w:val="MENDELEY_CITATION_v3_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"/>
          <w:id w:val="-660072131"/>
          <w:placeholder>
            <w:docPart w:val="C6B2F3A241924D1584BEFDCA011A5189"/>
          </w:placeholder>
        </w:sdtPr>
        <w:sdtEndPr/>
        <w:sdtContent>
          <w:r w:rsidRPr="000A7C02">
            <w:rPr>
              <w:rFonts w:ascii="Calibri" w:hAnsi="Calibri" w:cs="Calibri"/>
              <w:color w:val="000000"/>
            </w:rPr>
            <w:t>(1)</w:t>
          </w:r>
        </w:sdtContent>
      </w:sdt>
      <w:r w:rsidR="00CA4C45">
        <w:rPr>
          <w:rFonts w:ascii="Calibri" w:hAnsi="Calibri" w:cs="Calibri"/>
          <w:color w:val="000000"/>
        </w:rPr>
        <w:t>,</w:t>
      </w:r>
      <w:r w:rsidRPr="00605A4A">
        <w:rPr>
          <w:rFonts w:ascii="Calibri" w:eastAsia="Arial" w:hAnsi="Calibri" w:cs="Calibri"/>
        </w:rPr>
        <w:t xml:space="preserve"> a sample size of 270 children </w:t>
      </w:r>
      <w:r>
        <w:rPr>
          <w:rFonts w:ascii="Calibri" w:eastAsia="Arial" w:hAnsi="Calibri" w:cs="Calibri"/>
        </w:rPr>
        <w:t>was estimated to provide</w:t>
      </w:r>
      <w:r w:rsidRPr="00605A4A">
        <w:rPr>
          <w:rFonts w:ascii="Calibri" w:eastAsia="Arial" w:hAnsi="Calibri" w:cs="Calibri"/>
        </w:rPr>
        <w:t xml:space="preserve"> 80% power to detect an increase of 8.4% or higher in the prevalence of resistance, using a two-sided significance test with alpha 0.05. Assuming </w:t>
      </w:r>
      <w:r>
        <w:rPr>
          <w:rFonts w:ascii="Calibri" w:eastAsia="Arial" w:hAnsi="Calibri" w:cs="Calibri"/>
        </w:rPr>
        <w:t>a 10% loss of samples or an uninterpretable analysis, the number of children to be included is</w:t>
      </w:r>
      <w:r w:rsidRPr="00605A4A">
        <w:rPr>
          <w:rFonts w:ascii="Calibri" w:eastAsia="Arial" w:hAnsi="Calibri" w:cs="Calibri"/>
        </w:rPr>
        <w:t xml:space="preserve"> 300 each for both baseline and </w:t>
      </w:r>
      <w:proofErr w:type="spellStart"/>
      <w:r w:rsidRPr="00605A4A">
        <w:rPr>
          <w:rFonts w:ascii="Calibri" w:eastAsia="Arial" w:hAnsi="Calibri" w:cs="Calibri"/>
        </w:rPr>
        <w:t>endline</w:t>
      </w:r>
      <w:proofErr w:type="spellEnd"/>
      <w:r w:rsidRPr="00605A4A">
        <w:rPr>
          <w:rFonts w:ascii="Calibri" w:eastAsia="Arial" w:hAnsi="Calibri" w:cs="Calibri"/>
        </w:rPr>
        <w:t xml:space="preserve"> surveys.</w:t>
      </w:r>
    </w:p>
    <w:p w:rsidR="008C7B7D" w:rsidRPr="001E4C2A" w:rsidRDefault="008C7B7D" w:rsidP="008C7B7D">
      <w:pPr>
        <w:widowControl w:val="0"/>
        <w:spacing w:after="0" w:line="360" w:lineRule="auto"/>
        <w:jc w:val="both"/>
        <w:rPr>
          <w:rFonts w:ascii="Calibri" w:eastAsia="Arial" w:hAnsi="Calibri" w:cs="Calibri"/>
          <w:b/>
          <w:i/>
        </w:rPr>
      </w:pPr>
    </w:p>
    <w:p w:rsidR="008C7B7D" w:rsidRPr="00605A4A" w:rsidRDefault="008C7B7D" w:rsidP="008C7B7D">
      <w:pPr>
        <w:widowControl w:val="0"/>
        <w:spacing w:after="0" w:line="360" w:lineRule="auto"/>
        <w:jc w:val="both"/>
        <w:rPr>
          <w:rFonts w:ascii="Calibri" w:eastAsia="Arial" w:hAnsi="Calibri" w:cs="Calibri"/>
          <w:b/>
          <w:i/>
        </w:rPr>
      </w:pPr>
      <w:r>
        <w:rPr>
          <w:rFonts w:ascii="Calibri" w:eastAsia="Arial" w:hAnsi="Calibri" w:cs="Calibri"/>
          <w:b/>
          <w:i/>
        </w:rPr>
        <w:t>Parasite</w:t>
      </w:r>
      <w:r w:rsidRPr="00605A4A">
        <w:rPr>
          <w:rFonts w:ascii="Calibri" w:eastAsia="Arial" w:hAnsi="Calibri" w:cs="Calibri"/>
          <w:b/>
          <w:i/>
        </w:rPr>
        <w:t xml:space="preserve"> resistance to macrolides</w:t>
      </w:r>
    </w:p>
    <w:p w:rsidR="008C7B7D" w:rsidRPr="00605A4A" w:rsidRDefault="008C7B7D" w:rsidP="008C7B7D">
      <w:pPr>
        <w:widowControl w:val="0"/>
        <w:spacing w:after="0" w:line="360" w:lineRule="auto"/>
        <w:jc w:val="both"/>
        <w:rPr>
          <w:rFonts w:ascii="Calibri" w:eastAsia="Arial" w:hAnsi="Calibri" w:cs="Calibri"/>
        </w:rPr>
      </w:pPr>
      <w:r w:rsidRPr="00605A4A">
        <w:rPr>
          <w:rFonts w:ascii="Calibri" w:eastAsia="Arial" w:hAnsi="Calibri" w:cs="Calibri"/>
        </w:rPr>
        <w:t>Assuming a</w:t>
      </w:r>
      <w:r>
        <w:rPr>
          <w:rFonts w:ascii="Calibri" w:eastAsia="Arial" w:hAnsi="Calibri" w:cs="Calibri"/>
        </w:rPr>
        <w:t xml:space="preserve">n </w:t>
      </w:r>
      <w:r w:rsidRPr="00605A4A">
        <w:rPr>
          <w:rFonts w:ascii="Calibri" w:eastAsia="Arial" w:hAnsi="Calibri" w:cs="Calibri"/>
          <w:i/>
        </w:rPr>
        <w:t xml:space="preserve">S. pneumoniae </w:t>
      </w:r>
      <w:r w:rsidRPr="00605A4A">
        <w:rPr>
          <w:rFonts w:ascii="Calibri" w:eastAsia="Arial" w:hAnsi="Calibri" w:cs="Calibri"/>
        </w:rPr>
        <w:t>carriage rate of 75%</w:t>
      </w:r>
      <w:sdt>
        <w:sdtPr>
          <w:rPr>
            <w:rFonts w:ascii="Calibri" w:eastAsia="Arial" w:hAnsi="Calibri" w:cs="Calibri"/>
            <w:color w:val="000000"/>
          </w:rPr>
          <w:tag w:val="MENDELEY_CITATION_v3_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"/>
          <w:id w:val="-2020527298"/>
          <w:placeholder>
            <w:docPart w:val="C6B2F3A241924D1584BEFDCA011A5189"/>
          </w:placeholder>
        </w:sdtPr>
        <w:sdtEndPr/>
        <w:sdtContent>
          <w:r w:rsidR="00CA4C45">
            <w:rPr>
              <w:rFonts w:ascii="Calibri" w:eastAsia="Arial" w:hAnsi="Calibri" w:cs="Calibri"/>
              <w:color w:val="000000"/>
            </w:rPr>
            <w:t xml:space="preserve"> </w:t>
          </w:r>
          <w:r w:rsidRPr="000A7C02">
            <w:rPr>
              <w:rFonts w:ascii="Calibri" w:eastAsia="Arial" w:hAnsi="Calibri" w:cs="Calibri"/>
              <w:color w:val="000000"/>
            </w:rPr>
            <w:t>(2)</w:t>
          </w:r>
        </w:sdtContent>
      </w:sdt>
      <w:r w:rsidRPr="00605A4A">
        <w:rPr>
          <w:rFonts w:ascii="Calibri" w:eastAsia="Arial" w:hAnsi="Calibri" w:cs="Calibri"/>
        </w:rPr>
        <w:t xml:space="preserve">, a two-sided significance level of 0.05, and 80% statistical power, 327 children per arm </w:t>
      </w:r>
      <w:r>
        <w:rPr>
          <w:rFonts w:ascii="Calibri" w:eastAsia="Arial" w:hAnsi="Calibri" w:cs="Calibri"/>
        </w:rPr>
        <w:t>is</w:t>
      </w:r>
      <w:r w:rsidRPr="00605A4A">
        <w:rPr>
          <w:rFonts w:ascii="Calibri" w:eastAsia="Arial" w:hAnsi="Calibri" w:cs="Calibri"/>
        </w:rPr>
        <w:t xml:space="preserve"> required to detect a difference in the prevalence of AZI-resistant isolates between 3.0% and 9.0% in </w:t>
      </w:r>
      <w:r>
        <w:rPr>
          <w:rFonts w:ascii="Calibri" w:eastAsia="Arial" w:hAnsi="Calibri" w:cs="Calibri"/>
        </w:rPr>
        <w:t>the placebo and intervention groups, respectively. Allowing for a 30% loss to follow-up, 467 children per trial group is</w:t>
      </w:r>
      <w:r w:rsidRPr="00605A4A">
        <w:rPr>
          <w:rFonts w:ascii="Calibri" w:eastAsia="Arial" w:hAnsi="Calibri" w:cs="Calibri"/>
        </w:rPr>
        <w:t xml:space="preserve"> needed </w:t>
      </w:r>
      <w:sdt>
        <w:sdtPr>
          <w:rPr>
            <w:rFonts w:ascii="Calibri" w:eastAsia="Arial" w:hAnsi="Calibri" w:cs="Calibri"/>
            <w:color w:val="000000"/>
          </w:rPr>
          <w:tag w:val="MENDELEY_CITATION_v3_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"/>
          <w:id w:val="-269631958"/>
          <w:placeholder>
            <w:docPart w:val="C6B2F3A241924D1584BEFDCA011A5189"/>
          </w:placeholder>
        </w:sdtPr>
        <w:sdtEndPr/>
        <w:sdtContent>
          <w:r w:rsidRPr="000A7C02">
            <w:rPr>
              <w:rFonts w:eastAsia="Times New Roman"/>
              <w:color w:val="000000"/>
            </w:rPr>
            <w:t>(3)</w:t>
          </w:r>
        </w:sdtContent>
      </w:sdt>
      <w:r>
        <w:rPr>
          <w:rFonts w:ascii="Calibri" w:eastAsia="Arial" w:hAnsi="Calibri" w:cs="Calibri"/>
        </w:rPr>
        <w:t xml:space="preserve">. </w:t>
      </w:r>
      <w:r w:rsidRPr="00605A4A">
        <w:rPr>
          <w:rFonts w:ascii="Calibri" w:eastAsia="Arial" w:hAnsi="Calibri" w:cs="Calibri"/>
        </w:rPr>
        <w:t>To ensure an equal number of participants from both trial arms (AZI</w:t>
      </w:r>
      <w:r>
        <w:rPr>
          <w:rFonts w:ascii="Calibri" w:eastAsia="Arial" w:hAnsi="Calibri" w:cs="Calibri"/>
        </w:rPr>
        <w:t xml:space="preserve"> and</w:t>
      </w:r>
      <w:r w:rsidRPr="00605A4A">
        <w:rPr>
          <w:rFonts w:ascii="Calibri" w:eastAsia="Arial" w:hAnsi="Calibri" w:cs="Calibri"/>
        </w:rPr>
        <w:t xml:space="preserve"> placebo), the same number of participants</w:t>
      </w:r>
      <w:r>
        <w:rPr>
          <w:rFonts w:ascii="Calibri" w:eastAsia="Arial" w:hAnsi="Calibri" w:cs="Calibri"/>
        </w:rPr>
        <w:t xml:space="preserve"> are </w:t>
      </w:r>
      <w:r w:rsidRPr="00605A4A">
        <w:rPr>
          <w:rFonts w:ascii="Calibri" w:eastAsia="Arial" w:hAnsi="Calibri" w:cs="Calibri"/>
        </w:rPr>
        <w:t>be</w:t>
      </w:r>
      <w:r>
        <w:rPr>
          <w:rFonts w:ascii="Calibri" w:eastAsia="Arial" w:hAnsi="Calibri" w:cs="Calibri"/>
        </w:rPr>
        <w:t>ing</w:t>
      </w:r>
      <w:r w:rsidRPr="00605A4A">
        <w:rPr>
          <w:rFonts w:ascii="Calibri" w:eastAsia="Arial" w:hAnsi="Calibri" w:cs="Calibri"/>
        </w:rPr>
        <w:t xml:space="preserve"> selected from each trial treatment allocation letter (A-F). The final sample size of the nasopharyngeal sample</w:t>
      </w:r>
      <w:r>
        <w:rPr>
          <w:rFonts w:ascii="Calibri" w:eastAsia="Arial" w:hAnsi="Calibri" w:cs="Calibri"/>
        </w:rPr>
        <w:t xml:space="preserve"> is</w:t>
      </w:r>
      <w:r w:rsidRPr="00605A4A">
        <w:rPr>
          <w:rFonts w:ascii="Calibri" w:eastAsia="Arial" w:hAnsi="Calibri" w:cs="Calibri"/>
        </w:rPr>
        <w:t xml:space="preserve"> 936. </w:t>
      </w:r>
    </w:p>
    <w:p w:rsidR="008C7B7D" w:rsidRPr="00605A4A" w:rsidRDefault="008C7B7D" w:rsidP="008C7B7D">
      <w:pPr>
        <w:widowControl w:val="0"/>
        <w:spacing w:line="360" w:lineRule="auto"/>
        <w:jc w:val="both"/>
        <w:rPr>
          <w:rFonts w:ascii="Calibri" w:eastAsia="Arial" w:hAnsi="Calibri" w:cs="Calibri"/>
        </w:rPr>
      </w:pPr>
      <w:r w:rsidRPr="00605A4A">
        <w:rPr>
          <w:rFonts w:ascii="Calibri" w:eastAsia="Arial" w:hAnsi="Calibri" w:cs="Calibri"/>
        </w:rPr>
        <w:t>As a</w:t>
      </w:r>
      <w:r>
        <w:rPr>
          <w:rFonts w:ascii="Calibri" w:eastAsia="Arial" w:hAnsi="Calibri" w:cs="Calibri"/>
        </w:rPr>
        <w:t>n</w:t>
      </w:r>
      <w:r w:rsidRPr="00605A4A">
        <w:rPr>
          <w:rFonts w:ascii="Calibri" w:eastAsia="Arial" w:hAnsi="Calibri" w:cs="Calibri"/>
        </w:rPr>
        <w:t xml:space="preserve"> exploratory analysis, a sample size of 71 children per group is needed to detect a difference in the prevalence of AZI resistance in </w:t>
      </w:r>
      <w:r>
        <w:rPr>
          <w:rFonts w:ascii="Calibri" w:eastAsia="Arial" w:hAnsi="Calibri" w:cs="Calibri"/>
        </w:rPr>
        <w:t xml:space="preserve">the gut microbiota of 14.0% with 80% statistical power and a two-sided significance level of 0.05, assuming a prevalence of 3.0% and 17.0% in the placebo and AZI groups, respectively. Accounting for a 30% loss to follow-up, the sample size </w:t>
      </w:r>
      <w:r w:rsidRPr="00605A4A">
        <w:rPr>
          <w:rFonts w:ascii="Calibri" w:eastAsia="Arial" w:hAnsi="Calibri" w:cs="Calibri"/>
        </w:rPr>
        <w:t>is increased to 101 children per group. To ensure an equal number of participants from both trial arms (AZI and Placebo), an equal number of participants</w:t>
      </w:r>
      <w:r>
        <w:rPr>
          <w:rFonts w:ascii="Calibri" w:eastAsia="Arial" w:hAnsi="Calibri" w:cs="Calibri"/>
        </w:rPr>
        <w:t xml:space="preserve"> are being </w:t>
      </w:r>
      <w:r w:rsidRPr="00605A4A">
        <w:rPr>
          <w:rFonts w:ascii="Calibri" w:eastAsia="Arial" w:hAnsi="Calibri" w:cs="Calibri"/>
        </w:rPr>
        <w:t>selected from each treatment allocation letter (A-F). The final sample size for the rectal sample</w:t>
      </w:r>
      <w:r>
        <w:rPr>
          <w:rFonts w:ascii="Calibri" w:eastAsia="Arial" w:hAnsi="Calibri" w:cs="Calibri"/>
        </w:rPr>
        <w:t xml:space="preserve"> is</w:t>
      </w:r>
      <w:r w:rsidRPr="00605A4A">
        <w:rPr>
          <w:rFonts w:ascii="Calibri" w:eastAsia="Arial" w:hAnsi="Calibri" w:cs="Calibri"/>
        </w:rPr>
        <w:t xml:space="preserve"> 204.</w:t>
      </w:r>
    </w:p>
    <w:p w:rsidR="008C7B7D" w:rsidRPr="00605A4A" w:rsidRDefault="008C7B7D" w:rsidP="008C7B7D">
      <w:pPr>
        <w:widowControl w:val="0"/>
        <w:spacing w:line="360" w:lineRule="auto"/>
        <w:jc w:val="both"/>
        <w:rPr>
          <w:rFonts w:ascii="Calibri" w:eastAsia="Arial" w:hAnsi="Calibri" w:cs="Calibri"/>
        </w:rPr>
      </w:pPr>
    </w:p>
    <w:p w:rsidR="008C7B7D" w:rsidRPr="00605A4A" w:rsidRDefault="008C7B7D" w:rsidP="008C7B7D">
      <w:pPr>
        <w:widowControl w:val="0"/>
        <w:spacing w:after="0" w:line="360" w:lineRule="auto"/>
        <w:jc w:val="both"/>
        <w:rPr>
          <w:rFonts w:ascii="Calibri" w:eastAsia="Arial" w:hAnsi="Calibri" w:cs="Calibri"/>
          <w:b/>
          <w:i/>
        </w:rPr>
      </w:pPr>
      <w:r w:rsidRPr="00605A4A">
        <w:rPr>
          <w:rFonts w:ascii="Calibri" w:eastAsia="Arial" w:hAnsi="Calibri" w:cs="Calibri"/>
          <w:b/>
          <w:i/>
        </w:rPr>
        <w:t xml:space="preserve">Interactions of AZI with routine EPI </w:t>
      </w:r>
      <w:proofErr w:type="spellStart"/>
      <w:r w:rsidRPr="00605A4A">
        <w:rPr>
          <w:rFonts w:ascii="Calibri" w:eastAsia="Arial" w:hAnsi="Calibri" w:cs="Calibri"/>
          <w:b/>
          <w:i/>
        </w:rPr>
        <w:t>immunisations</w:t>
      </w:r>
      <w:proofErr w:type="spellEnd"/>
    </w:p>
    <w:p w:rsidR="008C7B7D" w:rsidRPr="00605A4A" w:rsidRDefault="008C7B7D" w:rsidP="008C7B7D">
      <w:pPr>
        <w:widowControl w:val="0"/>
        <w:spacing w:after="0" w:line="360" w:lineRule="auto"/>
        <w:jc w:val="both"/>
        <w:rPr>
          <w:rFonts w:ascii="Calibri" w:eastAsia="Arial" w:hAnsi="Calibri" w:cs="Calibri"/>
        </w:rPr>
      </w:pPr>
      <w:r w:rsidRPr="00605A4A">
        <w:rPr>
          <w:rFonts w:ascii="Calibri" w:eastAsia="Arial" w:hAnsi="Calibri" w:cs="Calibri"/>
        </w:rPr>
        <w:t>The sample size</w:t>
      </w:r>
      <w:r>
        <w:rPr>
          <w:rFonts w:ascii="Calibri" w:eastAsia="Arial" w:hAnsi="Calibri" w:cs="Calibri"/>
        </w:rPr>
        <w:t xml:space="preserve"> has been</w:t>
      </w:r>
      <w:r w:rsidRPr="00605A4A">
        <w:rPr>
          <w:rFonts w:ascii="Calibri" w:eastAsia="Arial" w:hAnsi="Calibri" w:cs="Calibri"/>
        </w:rPr>
        <w:t xml:space="preserve"> calculated for non-inferiority testing since the proportion of infants in </w:t>
      </w:r>
      <w:r>
        <w:rPr>
          <w:rFonts w:ascii="Calibri" w:eastAsia="Arial" w:hAnsi="Calibri" w:cs="Calibri"/>
        </w:rPr>
        <w:t xml:space="preserve">the Azithromycin and Control groups who did not develop seroprotective antibody concentrations </w:t>
      </w:r>
      <w:r w:rsidRPr="00605A4A">
        <w:rPr>
          <w:rFonts w:ascii="Calibri" w:eastAsia="Arial" w:hAnsi="Calibri" w:cs="Calibri"/>
        </w:rPr>
        <w:t>are expected to be similar</w:t>
      </w:r>
      <w:r>
        <w:rPr>
          <w:rFonts w:ascii="Calibri" w:eastAsia="Arial" w:hAnsi="Calibri" w:cs="Calibri"/>
        </w:rPr>
        <w:t xml:space="preserve"> </w:t>
      </w:r>
      <w:sdt>
        <w:sdtPr>
          <w:rPr>
            <w:rFonts w:ascii="Calibri" w:eastAsia="Arial" w:hAnsi="Calibri" w:cs="Calibri"/>
            <w:color w:val="000000"/>
          </w:rPr>
          <w:tag w:val="MENDELEY_CITATION_v3_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"/>
          <w:id w:val="-1246870671"/>
          <w:placeholder>
            <w:docPart w:val="C6B2F3A241924D1584BEFDCA011A5189"/>
          </w:placeholder>
        </w:sdtPr>
        <w:sdtEndPr/>
        <w:sdtContent>
          <w:r w:rsidRPr="000A7C02">
            <w:rPr>
              <w:rFonts w:ascii="Calibri" w:eastAsia="Arial" w:hAnsi="Calibri" w:cs="Calibri"/>
              <w:color w:val="000000"/>
            </w:rPr>
            <w:t>(4)</w:t>
          </w:r>
        </w:sdtContent>
      </w:sdt>
      <w:r w:rsidRPr="00605A4A">
        <w:rPr>
          <w:rFonts w:ascii="Calibri" w:eastAsia="Arial" w:hAnsi="Calibri" w:cs="Calibri"/>
          <w:color w:val="002060"/>
        </w:rPr>
        <w:t>.</w:t>
      </w:r>
      <w:r w:rsidRPr="00605A4A">
        <w:rPr>
          <w:rFonts w:ascii="Calibri" w:eastAsia="Arial" w:hAnsi="Calibri" w:cs="Calibri"/>
        </w:rPr>
        <w:t xml:space="preserve"> A sample size of at least 299 subjects per group</w:t>
      </w:r>
      <w:r>
        <w:rPr>
          <w:rFonts w:ascii="Calibri" w:eastAsia="Arial" w:hAnsi="Calibri" w:cs="Calibri"/>
        </w:rPr>
        <w:t xml:space="preserve"> is</w:t>
      </w:r>
      <w:r w:rsidRPr="00605A4A">
        <w:rPr>
          <w:rFonts w:ascii="Calibri" w:eastAsia="Arial" w:hAnsi="Calibri" w:cs="Calibri"/>
        </w:rPr>
        <w:t xml:space="preserve"> the minimum required to demonstrate non-inferiority (or non-superiority) for measles with an expected proportion of 5%, using a non-inferiority margin of 5%, 80% power</w:t>
      </w:r>
      <w:r>
        <w:rPr>
          <w:rFonts w:ascii="Calibri" w:eastAsia="Arial" w:hAnsi="Calibri" w:cs="Calibri"/>
        </w:rPr>
        <w:t>, and a one-sided al</w:t>
      </w:r>
      <w:r w:rsidRPr="00605A4A">
        <w:rPr>
          <w:rFonts w:ascii="Calibri" w:eastAsia="Arial" w:hAnsi="Calibri" w:cs="Calibri"/>
        </w:rPr>
        <w:t xml:space="preserve">pha error of 0.025. The sample size to assess the response to yellow fever and rubella </w:t>
      </w:r>
      <w:r>
        <w:rPr>
          <w:rFonts w:ascii="Calibri" w:eastAsia="Arial" w:hAnsi="Calibri" w:cs="Calibri"/>
        </w:rPr>
        <w:t>is</w:t>
      </w:r>
      <w:r w:rsidRPr="00605A4A">
        <w:rPr>
          <w:rFonts w:ascii="Calibri" w:eastAsia="Arial" w:hAnsi="Calibri" w:cs="Calibri"/>
        </w:rPr>
        <w:t xml:space="preserve"> 124</w:t>
      </w:r>
      <w:r>
        <w:rPr>
          <w:rFonts w:ascii="Calibri" w:eastAsia="Arial" w:hAnsi="Calibri" w:cs="Calibri"/>
        </w:rPr>
        <w:t xml:space="preserve">, assuming a 2% non-response rate in the control group. Assuming that 10% of children are expected to be lost to follow-up, </w:t>
      </w:r>
      <w:r w:rsidRPr="00605A4A">
        <w:rPr>
          <w:rFonts w:ascii="Calibri" w:eastAsia="Arial" w:hAnsi="Calibri" w:cs="Calibri"/>
        </w:rPr>
        <w:t>sample size</w:t>
      </w:r>
      <w:r>
        <w:rPr>
          <w:rFonts w:ascii="Calibri" w:eastAsia="Arial" w:hAnsi="Calibri" w:cs="Calibri"/>
        </w:rPr>
        <w:t>s of 332 and 138 participants per arm are</w:t>
      </w:r>
      <w:r w:rsidRPr="00605A4A">
        <w:rPr>
          <w:rFonts w:ascii="Calibri" w:eastAsia="Arial" w:hAnsi="Calibri" w:cs="Calibri"/>
        </w:rPr>
        <w:t xml:space="preserve"> be</w:t>
      </w:r>
      <w:r>
        <w:rPr>
          <w:rFonts w:ascii="Calibri" w:eastAsia="Arial" w:hAnsi="Calibri" w:cs="Calibri"/>
        </w:rPr>
        <w:t>ing</w:t>
      </w:r>
      <w:r w:rsidRPr="00605A4A">
        <w:rPr>
          <w:rFonts w:ascii="Calibri" w:eastAsia="Arial" w:hAnsi="Calibri" w:cs="Calibri"/>
        </w:rPr>
        <w:t xml:space="preserve"> recruited for measles and yellow-fever/rubella</w:t>
      </w:r>
      <w:r>
        <w:rPr>
          <w:rFonts w:ascii="Calibri" w:eastAsia="Arial" w:hAnsi="Calibri" w:cs="Calibri"/>
        </w:rPr>
        <w:t xml:space="preserve">, respectively. To ensure </w:t>
      </w:r>
      <w:r w:rsidRPr="00605A4A">
        <w:rPr>
          <w:rFonts w:ascii="Calibri" w:eastAsia="Arial" w:hAnsi="Calibri" w:cs="Calibri"/>
        </w:rPr>
        <w:t xml:space="preserve">equal distribution in the number of participants per allocation letter, 333 infants </w:t>
      </w:r>
      <w:r>
        <w:rPr>
          <w:rFonts w:ascii="Calibri" w:eastAsia="Arial" w:hAnsi="Calibri" w:cs="Calibri"/>
        </w:rPr>
        <w:t>are</w:t>
      </w:r>
      <w:r w:rsidRPr="00605A4A">
        <w:rPr>
          <w:rFonts w:ascii="Calibri" w:eastAsia="Arial" w:hAnsi="Calibri" w:cs="Calibri"/>
        </w:rPr>
        <w:t xml:space="preserve"> required per arm for measles. </w:t>
      </w:r>
    </w:p>
    <w:p w:rsidR="000A7C02" w:rsidRDefault="000A7C02" w:rsidP="004679F7">
      <w:pPr>
        <w:rPr>
          <w:b/>
        </w:rPr>
      </w:pPr>
    </w:p>
    <w:p w:rsidR="004679F7" w:rsidRDefault="000A7C02" w:rsidP="004679F7">
      <w:pPr>
        <w:rPr>
          <w:b/>
        </w:rPr>
      </w:pPr>
      <w:r>
        <w:rPr>
          <w:b/>
        </w:rPr>
        <w:t xml:space="preserve">References: </w:t>
      </w:r>
    </w:p>
    <w:sdt>
      <w:sdtPr>
        <w:rPr>
          <w:b/>
        </w:rPr>
        <w:tag w:val="MENDELEY_BIBLIOGRAPHY"/>
        <w:id w:val="1755935050"/>
        <w:placeholder>
          <w:docPart w:val="DefaultPlaceholder_-1854013440"/>
        </w:placeholder>
      </w:sdtPr>
      <w:sdtEndPr/>
      <w:sdtContent>
        <w:p w:rsidR="000A7C02" w:rsidRDefault="000A7C02">
          <w:pPr>
            <w:autoSpaceDE w:val="0"/>
            <w:autoSpaceDN w:val="0"/>
            <w:ind w:hanging="640"/>
            <w:divId w:val="168253236"/>
            <w:rPr>
              <w:rFonts w:eastAsia="Times New Roman"/>
              <w:sz w:val="24"/>
              <w:szCs w:val="24"/>
            </w:rPr>
          </w:pPr>
          <w:r>
            <w:rPr>
              <w:rFonts w:eastAsia="Times New Roman"/>
            </w:rPr>
            <w:t>1.</w:t>
          </w:r>
          <w:r>
            <w:rPr>
              <w:rFonts w:eastAsia="Times New Roman"/>
            </w:rPr>
            <w:tab/>
            <w:t xml:space="preserve">Smith SJ, Kamara ARY, </w:t>
          </w:r>
          <w:proofErr w:type="spellStart"/>
          <w:r>
            <w:rPr>
              <w:rFonts w:eastAsia="Times New Roman"/>
            </w:rPr>
            <w:t>Sahr</w:t>
          </w:r>
          <w:proofErr w:type="spellEnd"/>
          <w:r>
            <w:rPr>
              <w:rFonts w:eastAsia="Times New Roman"/>
            </w:rPr>
            <w:t xml:space="preserve"> F, Samai M, </w:t>
          </w:r>
          <w:proofErr w:type="spellStart"/>
          <w:r>
            <w:rPr>
              <w:rFonts w:eastAsia="Times New Roman"/>
            </w:rPr>
            <w:t>Swaray</w:t>
          </w:r>
          <w:proofErr w:type="spellEnd"/>
          <w:r>
            <w:rPr>
              <w:rFonts w:eastAsia="Times New Roman"/>
            </w:rPr>
            <w:t xml:space="preserve"> AS, Menard D, et al. Efficacy of artemisinin-based combination therapies and prevalence of molecular markers associated with artemisinin, piperaquine and sulfadoxine-pyrimethamine resistance in Sierra Leone. Acta Trop. 2018 Sep 1;185:363–70. </w:t>
          </w:r>
        </w:p>
        <w:p w:rsidR="000A7C02" w:rsidRDefault="000A7C02">
          <w:pPr>
            <w:autoSpaceDE w:val="0"/>
            <w:autoSpaceDN w:val="0"/>
            <w:ind w:hanging="640"/>
            <w:divId w:val="406655475"/>
            <w:rPr>
              <w:rFonts w:eastAsia="Times New Roman"/>
            </w:rPr>
          </w:pPr>
          <w:r>
            <w:rPr>
              <w:rFonts w:eastAsia="Times New Roman"/>
            </w:rPr>
            <w:t>2.</w:t>
          </w:r>
          <w:r>
            <w:rPr>
              <w:rFonts w:eastAsia="Times New Roman"/>
            </w:rPr>
            <w:tab/>
          </w:r>
          <w:proofErr w:type="spellStart"/>
          <w:r>
            <w:rPr>
              <w:rFonts w:eastAsia="Times New Roman"/>
            </w:rPr>
            <w:t>Skalet</w:t>
          </w:r>
          <w:proofErr w:type="spellEnd"/>
          <w:r>
            <w:rPr>
              <w:rFonts w:eastAsia="Times New Roman"/>
            </w:rPr>
            <w:t xml:space="preserve"> AH, </w:t>
          </w:r>
          <w:proofErr w:type="spellStart"/>
          <w:r>
            <w:rPr>
              <w:rFonts w:eastAsia="Times New Roman"/>
            </w:rPr>
            <w:t>Cevallos</w:t>
          </w:r>
          <w:proofErr w:type="spellEnd"/>
          <w:r>
            <w:rPr>
              <w:rFonts w:eastAsia="Times New Roman"/>
            </w:rPr>
            <w:t xml:space="preserve"> V, </w:t>
          </w:r>
          <w:proofErr w:type="spellStart"/>
          <w:r>
            <w:rPr>
              <w:rFonts w:eastAsia="Times New Roman"/>
            </w:rPr>
            <w:t>Ayele</w:t>
          </w:r>
          <w:proofErr w:type="spellEnd"/>
          <w:r>
            <w:rPr>
              <w:rFonts w:eastAsia="Times New Roman"/>
            </w:rPr>
            <w:t xml:space="preserve"> B, </w:t>
          </w:r>
          <w:proofErr w:type="spellStart"/>
          <w:r>
            <w:rPr>
              <w:rFonts w:eastAsia="Times New Roman"/>
            </w:rPr>
            <w:t>Gebre</w:t>
          </w:r>
          <w:proofErr w:type="spellEnd"/>
          <w:r>
            <w:rPr>
              <w:rFonts w:eastAsia="Times New Roman"/>
            </w:rPr>
            <w:t xml:space="preserve"> T, Zhou Z, Jorgensen JH, et al. Antibiotic selection pressure and macrolide resistance in Nasopharyngeal Streptococcus pneumoniae: A cluster-randomized clinical trial. </w:t>
          </w:r>
          <w:proofErr w:type="spellStart"/>
          <w:r>
            <w:rPr>
              <w:rFonts w:eastAsia="Times New Roman"/>
            </w:rPr>
            <w:t>PLoS</w:t>
          </w:r>
          <w:proofErr w:type="spellEnd"/>
          <w:r>
            <w:rPr>
              <w:rFonts w:eastAsia="Times New Roman"/>
            </w:rPr>
            <w:t xml:space="preserve"> Med. 2010 Dec;7(12). </w:t>
          </w:r>
        </w:p>
        <w:p w:rsidR="000A7C02" w:rsidRDefault="000A7C02">
          <w:pPr>
            <w:autoSpaceDE w:val="0"/>
            <w:autoSpaceDN w:val="0"/>
            <w:ind w:hanging="640"/>
            <w:divId w:val="650524984"/>
            <w:rPr>
              <w:rFonts w:eastAsia="Times New Roman"/>
            </w:rPr>
          </w:pPr>
          <w:r>
            <w:rPr>
              <w:rFonts w:eastAsia="Times New Roman"/>
            </w:rPr>
            <w:t>3.</w:t>
          </w:r>
          <w:r>
            <w:rPr>
              <w:rFonts w:eastAsia="Times New Roman"/>
            </w:rPr>
            <w:tab/>
            <w:t xml:space="preserve">Fleiss, J. L., Levin, B., and Paik, M.C. 2003. Statistical Methods for Rates and Proportions. Third Edition. John Wiley &amp; Sons. New York. </w:t>
          </w:r>
        </w:p>
        <w:p w:rsidR="000A7C02" w:rsidRDefault="000A7C02">
          <w:pPr>
            <w:autoSpaceDE w:val="0"/>
            <w:autoSpaceDN w:val="0"/>
            <w:ind w:hanging="640"/>
            <w:divId w:val="1105269796"/>
            <w:rPr>
              <w:rFonts w:eastAsia="Times New Roman"/>
            </w:rPr>
          </w:pPr>
          <w:r>
            <w:rPr>
              <w:rFonts w:eastAsia="Times New Roman"/>
            </w:rPr>
            <w:t>4.</w:t>
          </w:r>
          <w:r>
            <w:rPr>
              <w:rFonts w:eastAsia="Times New Roman"/>
            </w:rPr>
            <w:tab/>
            <w:t xml:space="preserve">Crawley J, </w:t>
          </w:r>
          <w:proofErr w:type="spellStart"/>
          <w:r>
            <w:rPr>
              <w:rFonts w:eastAsia="Times New Roman"/>
            </w:rPr>
            <w:t>Sismanidis</w:t>
          </w:r>
          <w:proofErr w:type="spellEnd"/>
          <w:r>
            <w:rPr>
              <w:rFonts w:eastAsia="Times New Roman"/>
            </w:rPr>
            <w:t xml:space="preserve"> C, Goodman T, Milligan P. Effect of intermittent preventive treatment for malaria during infancy on serological responses to measles and other vaccines used in the Expanded </w:t>
          </w:r>
          <w:proofErr w:type="spellStart"/>
          <w:r>
            <w:rPr>
              <w:rFonts w:eastAsia="Times New Roman"/>
            </w:rPr>
            <w:t>Programme</w:t>
          </w:r>
          <w:proofErr w:type="spellEnd"/>
          <w:r>
            <w:rPr>
              <w:rFonts w:eastAsia="Times New Roman"/>
            </w:rPr>
            <w:t xml:space="preserve"> on Immunization: Results from five </w:t>
          </w:r>
          <w:proofErr w:type="spellStart"/>
          <w:r>
            <w:rPr>
              <w:rFonts w:eastAsia="Times New Roman"/>
            </w:rPr>
            <w:t>randomised</w:t>
          </w:r>
          <w:proofErr w:type="spellEnd"/>
          <w:r>
            <w:rPr>
              <w:rFonts w:eastAsia="Times New Roman"/>
            </w:rPr>
            <w:t xml:space="preserve"> controlled trials. The Lancet. 2012;380(9846):1001–10. </w:t>
          </w:r>
        </w:p>
        <w:p w:rsidR="000A7C02" w:rsidRPr="000A7C02" w:rsidRDefault="00AD4315" w:rsidP="004679F7">
          <w:pPr>
            <w:rPr>
              <w:b/>
            </w:rPr>
          </w:pPr>
        </w:p>
      </w:sdtContent>
    </w:sdt>
    <w:bookmarkStart w:id="0" w:name="_GoBack" w:displacedByCustomXml="prev"/>
    <w:bookmarkEnd w:id="0" w:displacedByCustomXml="prev"/>
    <w:sectPr w:rsidR="000A7C02" w:rsidRPr="000A7C02" w:rsidSect="00F32D2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920BDA"/>
    <w:multiLevelType w:val="hybridMultilevel"/>
    <w:tmpl w:val="F2682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9F7"/>
    <w:rsid w:val="000A7C02"/>
    <w:rsid w:val="001E4C2A"/>
    <w:rsid w:val="00223014"/>
    <w:rsid w:val="002F1663"/>
    <w:rsid w:val="00375059"/>
    <w:rsid w:val="003C101A"/>
    <w:rsid w:val="004679F7"/>
    <w:rsid w:val="00692C71"/>
    <w:rsid w:val="008C7B7D"/>
    <w:rsid w:val="00AD4315"/>
    <w:rsid w:val="00B1634B"/>
    <w:rsid w:val="00B97781"/>
    <w:rsid w:val="00CA4C45"/>
    <w:rsid w:val="00F32D2A"/>
    <w:rsid w:val="00F42494"/>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AD9B01-0067-4FD1-A54D-A8083C647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79F7"/>
    <w:pPr>
      <w:ind w:left="720"/>
      <w:contextualSpacing/>
    </w:pPr>
  </w:style>
  <w:style w:type="paragraph" w:styleId="CommentText">
    <w:name w:val="annotation text"/>
    <w:basedOn w:val="Normal"/>
    <w:link w:val="CommentTextChar"/>
    <w:uiPriority w:val="99"/>
    <w:semiHidden/>
    <w:unhideWhenUsed/>
    <w:rsid w:val="004679F7"/>
    <w:pPr>
      <w:spacing w:after="0" w:line="240" w:lineRule="auto"/>
    </w:pPr>
    <w:rPr>
      <w:rFonts w:ascii="Times New Roman" w:eastAsia="Times New Roman" w:hAnsi="Times New Roman" w:cs="Times New Roman"/>
      <w:sz w:val="20"/>
      <w:szCs w:val="20"/>
      <w:lang w:eastAsia="zh-CN"/>
    </w:rPr>
  </w:style>
  <w:style w:type="character" w:customStyle="1" w:styleId="CommentTextChar">
    <w:name w:val="Comment Text Char"/>
    <w:basedOn w:val="DefaultParagraphFont"/>
    <w:link w:val="CommentText"/>
    <w:uiPriority w:val="99"/>
    <w:semiHidden/>
    <w:rsid w:val="004679F7"/>
    <w:rPr>
      <w:rFonts w:ascii="Times New Roman" w:eastAsia="Times New Roman" w:hAnsi="Times New Roman" w:cs="Times New Roman"/>
      <w:sz w:val="20"/>
      <w:szCs w:val="20"/>
      <w:lang w:eastAsia="zh-CN"/>
    </w:rPr>
  </w:style>
  <w:style w:type="character" w:styleId="CommentReference">
    <w:name w:val="annotation reference"/>
    <w:basedOn w:val="DefaultParagraphFont"/>
    <w:uiPriority w:val="99"/>
    <w:semiHidden/>
    <w:unhideWhenUsed/>
    <w:rsid w:val="004679F7"/>
    <w:rPr>
      <w:sz w:val="16"/>
      <w:szCs w:val="16"/>
    </w:rPr>
  </w:style>
  <w:style w:type="paragraph" w:styleId="BalloonText">
    <w:name w:val="Balloon Text"/>
    <w:basedOn w:val="Normal"/>
    <w:link w:val="BalloonTextChar"/>
    <w:uiPriority w:val="99"/>
    <w:semiHidden/>
    <w:unhideWhenUsed/>
    <w:rsid w:val="004679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79F7"/>
    <w:rPr>
      <w:rFonts w:ascii="Segoe UI" w:hAnsi="Segoe UI" w:cs="Segoe UI"/>
      <w:sz w:val="18"/>
      <w:szCs w:val="18"/>
    </w:rPr>
  </w:style>
  <w:style w:type="character" w:styleId="PlaceholderText">
    <w:name w:val="Placeholder Text"/>
    <w:basedOn w:val="DefaultParagraphFont"/>
    <w:uiPriority w:val="99"/>
    <w:semiHidden/>
    <w:rsid w:val="000A7C0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539763">
      <w:bodyDiv w:val="1"/>
      <w:marLeft w:val="0"/>
      <w:marRight w:val="0"/>
      <w:marTop w:val="0"/>
      <w:marBottom w:val="0"/>
      <w:divBdr>
        <w:top w:val="none" w:sz="0" w:space="0" w:color="auto"/>
        <w:left w:val="none" w:sz="0" w:space="0" w:color="auto"/>
        <w:bottom w:val="none" w:sz="0" w:space="0" w:color="auto"/>
        <w:right w:val="none" w:sz="0" w:space="0" w:color="auto"/>
      </w:divBdr>
    </w:div>
    <w:div w:id="597566832">
      <w:bodyDiv w:val="1"/>
      <w:marLeft w:val="0"/>
      <w:marRight w:val="0"/>
      <w:marTop w:val="0"/>
      <w:marBottom w:val="0"/>
      <w:divBdr>
        <w:top w:val="none" w:sz="0" w:space="0" w:color="auto"/>
        <w:left w:val="none" w:sz="0" w:space="0" w:color="auto"/>
        <w:bottom w:val="none" w:sz="0" w:space="0" w:color="auto"/>
        <w:right w:val="none" w:sz="0" w:space="0" w:color="auto"/>
      </w:divBdr>
    </w:div>
    <w:div w:id="750010895">
      <w:bodyDiv w:val="1"/>
      <w:marLeft w:val="0"/>
      <w:marRight w:val="0"/>
      <w:marTop w:val="0"/>
      <w:marBottom w:val="0"/>
      <w:divBdr>
        <w:top w:val="none" w:sz="0" w:space="0" w:color="auto"/>
        <w:left w:val="none" w:sz="0" w:space="0" w:color="auto"/>
        <w:bottom w:val="none" w:sz="0" w:space="0" w:color="auto"/>
        <w:right w:val="none" w:sz="0" w:space="0" w:color="auto"/>
      </w:divBdr>
    </w:div>
    <w:div w:id="799691963">
      <w:bodyDiv w:val="1"/>
      <w:marLeft w:val="0"/>
      <w:marRight w:val="0"/>
      <w:marTop w:val="0"/>
      <w:marBottom w:val="0"/>
      <w:divBdr>
        <w:top w:val="none" w:sz="0" w:space="0" w:color="auto"/>
        <w:left w:val="none" w:sz="0" w:space="0" w:color="auto"/>
        <w:bottom w:val="none" w:sz="0" w:space="0" w:color="auto"/>
        <w:right w:val="none" w:sz="0" w:space="0" w:color="auto"/>
      </w:divBdr>
      <w:divsChild>
        <w:div w:id="168253236">
          <w:marLeft w:val="640"/>
          <w:marRight w:val="0"/>
          <w:marTop w:val="0"/>
          <w:marBottom w:val="0"/>
          <w:divBdr>
            <w:top w:val="none" w:sz="0" w:space="0" w:color="auto"/>
            <w:left w:val="none" w:sz="0" w:space="0" w:color="auto"/>
            <w:bottom w:val="none" w:sz="0" w:space="0" w:color="auto"/>
            <w:right w:val="none" w:sz="0" w:space="0" w:color="auto"/>
          </w:divBdr>
        </w:div>
        <w:div w:id="406655475">
          <w:marLeft w:val="640"/>
          <w:marRight w:val="0"/>
          <w:marTop w:val="0"/>
          <w:marBottom w:val="0"/>
          <w:divBdr>
            <w:top w:val="none" w:sz="0" w:space="0" w:color="auto"/>
            <w:left w:val="none" w:sz="0" w:space="0" w:color="auto"/>
            <w:bottom w:val="none" w:sz="0" w:space="0" w:color="auto"/>
            <w:right w:val="none" w:sz="0" w:space="0" w:color="auto"/>
          </w:divBdr>
        </w:div>
        <w:div w:id="650524984">
          <w:marLeft w:val="640"/>
          <w:marRight w:val="0"/>
          <w:marTop w:val="0"/>
          <w:marBottom w:val="0"/>
          <w:divBdr>
            <w:top w:val="none" w:sz="0" w:space="0" w:color="auto"/>
            <w:left w:val="none" w:sz="0" w:space="0" w:color="auto"/>
            <w:bottom w:val="none" w:sz="0" w:space="0" w:color="auto"/>
            <w:right w:val="none" w:sz="0" w:space="0" w:color="auto"/>
          </w:divBdr>
        </w:div>
        <w:div w:id="1105269796">
          <w:marLeft w:val="640"/>
          <w:marRight w:val="0"/>
          <w:marTop w:val="0"/>
          <w:marBottom w:val="0"/>
          <w:divBdr>
            <w:top w:val="none" w:sz="0" w:space="0" w:color="auto"/>
            <w:left w:val="none" w:sz="0" w:space="0" w:color="auto"/>
            <w:bottom w:val="none" w:sz="0" w:space="0" w:color="auto"/>
            <w:right w:val="none" w:sz="0" w:space="0" w:color="auto"/>
          </w:divBdr>
        </w:div>
      </w:divsChild>
    </w:div>
    <w:div w:id="921067404">
      <w:bodyDiv w:val="1"/>
      <w:marLeft w:val="0"/>
      <w:marRight w:val="0"/>
      <w:marTop w:val="0"/>
      <w:marBottom w:val="0"/>
      <w:divBdr>
        <w:top w:val="none" w:sz="0" w:space="0" w:color="auto"/>
        <w:left w:val="none" w:sz="0" w:space="0" w:color="auto"/>
        <w:bottom w:val="none" w:sz="0" w:space="0" w:color="auto"/>
        <w:right w:val="none" w:sz="0" w:space="0" w:color="auto"/>
      </w:divBdr>
    </w:div>
    <w:div w:id="1913351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D5C5A0D8-A1B7-4487-9424-E58AD6343E29}"/>
      </w:docPartPr>
      <w:docPartBody>
        <w:p w:rsidR="001A644E" w:rsidRDefault="00454263">
          <w:r w:rsidRPr="006B4EB2">
            <w:rPr>
              <w:rStyle w:val="PlaceholderText"/>
            </w:rPr>
            <w:t>Click or tap here to enter text.</w:t>
          </w:r>
        </w:p>
      </w:docPartBody>
    </w:docPart>
    <w:docPart>
      <w:docPartPr>
        <w:name w:val="C6B2F3A241924D1584BEFDCA011A5189"/>
        <w:category>
          <w:name w:val="General"/>
          <w:gallery w:val="placeholder"/>
        </w:category>
        <w:types>
          <w:type w:val="bbPlcHdr"/>
        </w:types>
        <w:behaviors>
          <w:behavior w:val="content"/>
        </w:behaviors>
        <w:guid w:val="{6ECEFD31-D670-4298-87C4-FD44137DB229}"/>
      </w:docPartPr>
      <w:docPartBody>
        <w:p w:rsidR="00FE20A7" w:rsidRDefault="006433BA" w:rsidP="006433BA">
          <w:pPr>
            <w:pStyle w:val="C6B2F3A241924D1584BEFDCA011A5189"/>
          </w:pPr>
          <w:r w:rsidRPr="00D06F2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71C"/>
    <w:rsid w:val="0017106D"/>
    <w:rsid w:val="001A644E"/>
    <w:rsid w:val="00454263"/>
    <w:rsid w:val="00600713"/>
    <w:rsid w:val="006433BA"/>
    <w:rsid w:val="00781050"/>
    <w:rsid w:val="008E1B4C"/>
    <w:rsid w:val="00C5171C"/>
    <w:rsid w:val="00D87687"/>
    <w:rsid w:val="00DC3D42"/>
    <w:rsid w:val="00FE2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433BA"/>
    <w:rPr>
      <w:color w:val="808080"/>
    </w:rPr>
  </w:style>
  <w:style w:type="paragraph" w:customStyle="1" w:styleId="02A3D7965C894F11AC5247684E7AC300">
    <w:name w:val="02A3D7965C894F11AC5247684E7AC300"/>
    <w:rsid w:val="00C5171C"/>
  </w:style>
  <w:style w:type="paragraph" w:customStyle="1" w:styleId="749DA200F9C84F14B023334C6B8DFA97">
    <w:name w:val="749DA200F9C84F14B023334C6B8DFA97"/>
    <w:rsid w:val="006433BA"/>
    <w:rPr>
      <w:lang w:val="en-GB" w:eastAsia="en-GB"/>
    </w:rPr>
  </w:style>
  <w:style w:type="paragraph" w:customStyle="1" w:styleId="C6B2F3A241924D1584BEFDCA011A5189">
    <w:name w:val="C6B2F3A241924D1584BEFDCA011A5189"/>
    <w:rsid w:val="006433BA"/>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0E7BD9C-B1AF-47EE-A35F-0A88CE228DB9}">
  <we:reference id="wa104382081" version="1.55.1.0" store="en-US" storeType="OMEX"/>
  <we:alternateReferences>
    <we:reference id="wa104382081" version="1.55.1.0" store="" storeType="OMEX"/>
  </we:alternateReferences>
  <we:properties>
    <we:property name="MENDELEY_CITATIONS" value="[{&quot;citationID&quot;:&quot;MENDELEY_CITATION_a46e2caf-1b6b-4252-9051-dd27e3916307&quot;,&quot;properties&quot;:{&quot;noteIndex&quot;:0},&quot;isEdited&quot;:false,&quot;manualOverride&quot;:{&quot;isManuallyOverridden&quot;:false,&quot;citeprocText&quot;:&quot;(1)&quot;,&quot;manualOverrideText&quot;:&quot;&quot;},&quot;citationTag&quot;:&quot;MENDELEY_CITATION_v3_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&quot;,&quot;citationItems&quot;:[{&quot;id&quot;:&quot;de16b73a-e547-34ed-a912-3cb08acfbb1e&quot;,&quot;itemData&quot;:{&quot;type&quot;:&quot;article-journal&quot;,&quot;id&quot;:&quot;de16b73a-e547-34ed-a912-3cb08acfbb1e&quot;,&quot;title&quot;:&quot;Efficacy of artemisinin-based combination therapies and prevalence of molecular markers associated with artemisinin, piperaquine and sulfadoxine-pyrimethamine resistance in Sierra Leone&quot;,&quot;author&quot;:[{&quot;family&quot;:&quot;Smith&quot;,&quot;given&quot;:&quot;Samuel J.&quot;,&quot;parse-names&quot;:false,&quot;dropping-particle&quot;:&quot;&quot;,&quot;non-dropping-particle&quot;:&quot;&quot;},{&quot;family&quot;:&quot;Kamara&quot;,&quot;given&quot;:&quot;Anitta R.Y.&quot;,&quot;parse-names&quot;:false,&quot;dropping-particle&quot;:&quot;&quot;,&quot;non-dropping-particle&quot;:&quot;&quot;},{&quot;family&quot;:&quot;Sahr&quot;,&quot;given&quot;:&quot;Foday&quot;,&quot;parse-names&quot;:false,&quot;dropping-particle&quot;:&quot;&quot;,&quot;non-dropping-particle&quot;:&quot;&quot;},{&quot;family&quot;:&quot;Samai&quot;,&quot;given&quot;:&quot;Mohamed&quot;,&quot;parse-names&quot;:false,&quot;dropping-particle&quot;:&quot;&quot;,&quot;non-dropping-particle&quot;:&quot;&quot;},{&quot;family&quot;:&quot;Swaray&quot;,&quot;given&quot;:&quot;Alpha S.&quot;,&quot;parse-names&quot;:false,&quot;dropping-particle&quot;:&quot;&quot;,&quot;non-dropping-particle&quot;:&quot;&quot;},{&quot;family&quot;:&quot;Menard&quot;,&quot;given&quot;:&quot;Didier&quot;,&quot;parse-names&quot;:false,&quot;dropping-particle&quot;:&quot;&quot;,&quot;non-dropping-particle&quot;:&quot;&quot;},{&quot;family&quot;:&quot;Warsame&quot;,&quot;given&quot;:&quot;Marian&quot;,&quot;parse-names&quot;:false,&quot;dropping-particle&quot;:&quot;&quot;,&quot;non-dropping-particle&quot;:&quot;&quot;}],&quot;container-title&quot;:&quot;Acta Tropica&quot;,&quot;container-title-short&quot;:&quot;Acta Trop&quot;,&quot;DOI&quot;:&quot;10.1016/j.actatropica.2018.06.016&quot;,&quot;ISSN&quot;:&quot;18736254&quot;,&quot;PMID&quot;:&quot;29932931&quot;,&quot;issued&quot;:{&quot;date-parts&quot;:[[2018,9,1]]},&quot;page&quot;:&quot;363-370&quot;,&quot;abstract&quot;:&quot;Currently, the national malaria control programme (NMCP) of Sierra Leone recommends artesunate–amodiaquine (ASAQ) and artemether–lumefantrine (AL) as first- and second-line treatment for uncomplicated malaria, respectively, and artesunate + sulfadoxine–pyrimethamine (SP) for intermittent preventive treatment during pregnancy and for infants. In 2016, the NMCP conducted a study to assess the clinical and parasitological responses of children under five years to ASAQ, AL and dihydroartemisinin–piperaquine (DHA/PPQ) according to the WHO protocol. Day-0 samples were tested for mutations in the Kelch 13 gene (pfk13) and dihydrofolate reductase/dihydropteroate synthase (pfdhfr/pfdhps) genes associated with artemisinin and SP resistance, respectively, and amplification in the pfplasmepsin2 gene for piperaquine resistance. A total of 295 (ASAQ = 128, AL = 64 and DHA/PPQ = 103) eligible children were enrolled at three sites. PCR-corrected 100% adequate clinical and parasitological response and no parasitaemia on day-3 were observed for all patients in each treatment group. Of the 278 samples with interpretable molecular data, only 2.2% carried non-synonymous pfk13 mutants (A578S, I646T), which are not associated with artemisinin resistance. None of the 103 day-0 samples from the DAH/PPQ group had pfplasmepsin2 gene amplification, confirming the absence of piperaquine resistance. The prevalence of the triple pfdhfr mutant (N51I/C59R/S108N) was close to or reached fixation (97.4–100%). For combined pfdhfr/pfdhps mutation, 55–71% carried the quadruple (N51I/C59R/S108N+A437G) mutant and about 10% the quintuple mutant N51I/C59R/S108N+A437G/K540E. Our findings confirm that ASAQ, AL and DHA/PPQ were highly effective for the treatment of uncomplicated malaria in the study areas, and neither pfk13 validated mutations nor pfplasmepsin2 multiple copies were found. The very low prevalence of the quintuple mutant in this study supports the NMCP's decision to introduce intermittent preventive treatment for infants with SP in the districts with high malaria transmission.&quot;,&quot;publisher&quot;:&quot;Elsevier B.V.&quot;,&quot;volume&quot;:&quot;185&quot;},&quot;isTemporary&quot;:false}]},{&quot;citationID&quot;:&quot;MENDELEY_CITATION_47ad4ae0-ac82-4d05-8f72-de5b3ae4fdfc&quot;,&quot;properties&quot;:{&quot;noteIndex&quot;:0},&quot;isEdited&quot;:false,&quot;manualOverride&quot;:{&quot;isManuallyOverridden&quot;:false,&quot;citeprocText&quot;:&quot;(2)&quot;,&quot;manualOverrideText&quot;:&quot;&quot;},&quot;citationTag&quot;:&quot;MENDELEY_CITATION_v3_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&quot;,&quot;citationItems&quot;:[{&quot;id&quot;:&quot;f09be4fe-1432-3129-ace6-975d70f65ad4&quot;,&quot;itemData&quot;:{&quot;type&quot;:&quot;article-journal&quot;,&quot;id&quot;:&quot;f09be4fe-1432-3129-ace6-975d70f65ad4&quot;,&quot;title&quot;:&quot;Antibiotic selection pressure and macrolide resistance in Nasopharyngeal Streptococcus pneumoniae: A cluster-randomized clinical trial&quot;,&quot;author&quot;:[{&quot;family&quot;:&quot;Skalet&quot;,&quot;given&quot;:&quot;Alison H.&quot;,&quot;parse-names&quot;:false,&quot;dropping-particle&quot;:&quot;&quot;,&quot;non-dropping-particle&quot;:&quot;&quot;},{&quot;family&quot;:&quot;Cevallos&quot;,&quot;given&quot;:&quot;Vicky&quot;,&quot;parse-names&quot;:false,&quot;dropping-particle&quot;:&quot;&quot;,&quot;non-dropping-particle&quot;:&quot;&quot;},{&quot;family&quot;:&quot;Ayele&quot;,&quot;given&quot;:&quot;Berhan&quot;,&quot;parse-names&quot;:false,&quot;dropping-particle&quot;:&quot;&quot;,&quot;non-dropping-particle&quot;:&quot;&quot;},{&quot;family&quot;:&quot;Gebre&quot;,&quot;given&quot;:&quot;Teshome&quot;,&quot;parse-names&quot;:false,&quot;dropping-particle&quot;:&quot;&quot;,&quot;non-dropping-particle&quot;:&quot;&quot;},{&quot;family&quot;:&quot;Zhou&quot;,&quot;given&quot;:&quot;Zhaoxia&quot;,&quot;parse-names&quot;:false,&quot;dropping-particle&quot;:&quot;&quot;,&quot;non-dropping-particle&quot;:&quot;&quot;},{&quot;family&quot;:&quot;Jorgensen&quot;,&quot;given&quot;:&quot;James H.&quot;,&quot;parse-names&quot;:false,&quot;dropping-particle&quot;:&quot;&quot;,&quot;non-dropping-particle&quot;:&quot;&quot;},{&quot;family&quot;:&quot;Zerihun&quot;,&quot;given&quot;:&quot;Mulat&quot;,&quot;parse-names&quot;:false,&quot;dropping-particle&quot;:&quot;&quot;,&quot;non-dropping-particle&quot;:&quot;&quot;},{&quot;family&quot;:&quot;Habte&quot;,&quot;given&quot;:&quot;Dereje&quot;,&quot;parse-names&quot;:false,&quot;dropping-particle&quot;:&quot;&quot;,&quot;non-dropping-particle&quot;:&quot;&quot;},{&quot;family&quot;:&quot;Assefa&quot;,&quot;given&quot;:&quot;Yared&quot;,&quot;parse-names&quot;:false,&quot;dropping-particle&quot;:&quot;&quot;,&quot;non-dropping-particle&quot;:&quot;&quot;},{&quot;family&quot;:&quot;Emerson&quot;,&quot;given&quot;:&quot;Paul M.&quot;,&quot;parse-names&quot;:false,&quot;dropping-particle&quot;:&quot;&quot;,&quot;non-dropping-particle&quot;:&quot;&quot;},{&quot;family&quot;:&quot;Gaynor&quot;,&quot;given&quot;:&quot;Bruce D.&quot;,&quot;parse-names&quot;:false,&quot;dropping-particle&quot;:&quot;&quot;,&quot;non-dropping-particle&quot;:&quot;&quot;},{&quot;family&quot;:&quot;Porco&quot;,&quot;given&quot;:&quot;Travis C.&quot;,&quot;parse-names&quot;:false,&quot;dropping-particle&quot;:&quot;&quot;,&quot;non-dropping-particle&quot;:&quot;&quot;},{&quot;family&quot;:&quot;Lietman&quot;,&quot;given&quot;:&quot;Thomas M.&quot;,&quot;parse-names&quot;:false,&quot;dropping-particle&quot;:&quot;&quot;,&quot;non-dropping-particle&quot;:&quot;&quot;},{&quot;family&quot;:&quot;Keenan&quot;,&quot;given&quot;:&quot;Jeremy D.&quot;,&quot;parse-names&quot;:false,&quot;dropping-particle&quot;:&quot;&quot;,&quot;non-dropping-particle&quot;:&quot;&quot;}],&quot;container-title&quot;:&quot;PLoS Medicine&quot;,&quot;container-title-short&quot;:&quot;PLoS Med&quot;,&quot;DOI&quot;:&quot;10.1371/journal.pmed.1000377&quot;,&quot;ISSN&quot;:&quot;15491277&quot;,&quot;PMID&quot;:&quot;21179434&quot;,&quot;issued&quot;:{&quot;date-parts&quot;:[[2010,12]]},&quot;abstract&quot;:&quot;Background: It is widely thought that widespread antibiotic use selects for community antibiotic resistance, though this has been difficult to prove in the setting of a community-randomized clinical trial. In this study, we used a randomized clinical trial design to assess whether macrolide resistance was higher in communities treated with mass azithromycin for trachoma, compared to untreated control communities. Methods and Findings: In a cluster-randomized trial for trachoma control in Ethiopia, 12 communities were randomized to receive mass azithromycin treatment of children aged 1-10 years at months 0, 3, 6, and 9. Twelve control communities were randomized to receive no antibiotic treatments until the conclusion of the study. Nasopharyngeal swabs were collected from randomly selected children in the treated group at baseline and month 12, and in the control group at month 12. Antibiotic susceptibility testing was performed on Streptococcus pneumoniae isolated from the swabs using Etest strips. In the treated group, the mean prevalence of azithromycin resistance among all monitored children increased from 3.6% (95% confidence interval [CI] 0.8%-8.9%) at baseline, to 46.9% (37.5%-57.5%) at month 12 (p =0.003). In control communities, azithromycin resistance was 9.2% (95% CI 6.7%-13.3%) at month 12, significantly lower than the treated group (p,0.0001). Penicillin resistance was identified in 0.8% (95% CI 0%-4.2%) of isolates in the control group at 1 year, and in no isolates in the children-treated group at baseline or 1 year. Conclusions: This cluster-randomized clinical trial demonstrated that compared to untreated control communities, nasopharyngeal pneumococcal resistance to macrolides was significantly higher in communities randomized to intensive azithromycin treatment. Mass azithromycin distributions were given more frequently than currently recommended by the World Health Organization's trachoma program. Azithromycin use in this setting did not select for resistance to penicillins, which remain the drug of choice for pneumococcal infections. © 2010 Skalet et al.&quot;,&quot;issue&quot;:&quot;12&quot;,&quot;volume&quot;:&quot;7&quot;},&quot;isTemporary&quot;:false}]},{&quot;citationID&quot;:&quot;MENDELEY_CITATION_40a08652-99d7-4cc2-8bfa-6c6153a9daf3&quot;,&quot;properties&quot;:{&quot;noteIndex&quot;:0},&quot;isEdited&quot;:false,&quot;manualOverride&quot;:{&quot;isManuallyOverridden&quot;:false,&quot;citeprocText&quot;:&quot;(3)&quot;,&quot;manualOverrideText&quot;:&quot;&quot;},&quot;citationTag&quot;:&quot;MENDELEY_CITATION_v3_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&quot;,&quot;citationItems&quot;:[{&quot;id&quot;:&quot;27f46477-8115-3962-aee0-8241dafc3abf&quot;,&quot;itemData&quot;:{&quot;type&quot;:&quot;article-journal&quot;,&quot;id&quot;:&quot;27f46477-8115-3962-aee0-8241dafc3abf&quot;,&quot;title&quot;:&quot;Fleiss, J. L., Levin, B., and Paik, M.C. 2003. Statistical Methods for Rates and Proportions. Third Edition. John Wiley &amp; Sons. New York.&quot;,&quot;container-title-short&quot;:&quot;&quot;},&quot;isTemporary&quot;:false}]},{&quot;citationID&quot;:&quot;MENDELEY_CITATION_7458b2ab-b7f1-4da9-bbbe-5b709884274f&quot;,&quot;properties&quot;:{&quot;noteIndex&quot;:0},&quot;isEdited&quot;:false,&quot;manualOverride&quot;:{&quot;isManuallyOverridden&quot;:false,&quot;citeprocText&quot;:&quot;(4)&quot;,&quot;manualOverrideText&quot;:&quot;&quot;},&quot;citationTag&quot;:&quot;MENDELEY_CITATION_v3_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&quot;,&quot;citationItems&quot;:[{&quot;id&quot;:&quot;cc256cbb-c42e-3c10-b377-1f5420f34190&quot;,&quot;itemData&quot;:{&quot;type&quot;:&quot;article-journal&quot;,&quot;id&quot;:&quot;cc256cbb-c42e-3c10-b377-1f5420f34190&quot;,&quot;title&quot;:&quot;Effect of intermittent preventive treatment for malaria during infancy on serological responses to measles and other vaccines used in the Expanded Programme on Immunization: Results from five randomised controlled trials&quot;,&quot;author&quot;:[{&quot;family&quot;:&quot;Crawley&quot;,&quot;given&quot;:&quot;Jane&quot;,&quot;parse-names&quot;:false,&quot;dropping-particle&quot;:&quot;&quot;,&quot;non-dropping-particle&quot;:&quot;&quot;},{&quot;family&quot;:&quot;Sismanidis&quot;,&quot;given&quot;:&quot;Charalambos&quot;,&quot;parse-names&quot;:false,&quot;dropping-particle&quot;:&quot;&quot;,&quot;non-dropping-particle&quot;:&quot;&quot;},{&quot;family&quot;:&quot;Goodman&quot;,&quot;given&quot;:&quot;Tracey&quot;,&quot;parse-names&quot;:false,&quot;dropping-particle&quot;:&quot;&quot;,&quot;non-dropping-particle&quot;:&quot;&quot;},{&quot;family&quot;:&quot;Milligan&quot;,&quot;given&quot;:&quot;Paul&quot;,&quot;parse-names&quot;:false,&quot;dropping-particle&quot;:&quot;&quot;,&quot;non-dropping-particle&quot;:&quot;&quot;}],&quot;container-title&quot;:&quot;The Lancet&quot;,&quot;DOI&quot;:&quot;10.1016/S0140-6736(12)60775-2&quot;,&quot;ISSN&quot;:&quot;1474547X&quot;,&quot;issued&quot;:{&quot;date-parts&quot;:[[2012]]},&quot;page&quot;:&quot;1001-1010&quot;,&quot;abstract&quot;:&quot;Background Intermittent preventive treatment for malaria during infancy (IPTi) is the administration of a full therapeutic course of antimalarial drugs to infants living in settings where malaria is endemic, at the time of routine vaccination in the fi rst year of life. We investigated whether IPTi with sulfadoxine-pyrimethamine or other antimalarial drug combinations adversely aff ected serological responses to vaccines used in the Expanded Programme on Immunization (EPI). Methods The study was done in a subset of children enrolled in fi ve randomised controlled trials in Navrongo, Ghana; Kilimanjaro, Tanzania; Manhica, Mozambique; Kisumu, Kenya; and Bungoma, Kenya. All infants presenting for the second dose of the diphtheria-tetanus-pertussis vaccination (given at 8-10 weeks of age) were eligible, and analyses included all children who had received measles vaccination (at 9 months of age) and at least one dose of IPTi or placebo. Blood samples were collected before and after vaccination, and antibody titres were measured by plaque reduction neutralisation (measles, yellow fever), microneutralisation (polio serotypes 1 and 3), and ELISA (all other EPI antigens). Laboratory personnel were unaware of the randomisation groups. We compared the proportion of infants in the IPTi and placebo groups who did not attain protective antibody titres after vaccination, using a onesided signifi cance non-inferiority margin of 5% for measles (the primary endpoint) and 10% for other EPI antigens. Findings Between September, 2000, and May, 2008, 8416 children were enrolled in the fi ve studies. Paired samples from 2368 children from sites where sulfadoxine-pyrimethamine was compared with placebo were analysed for measles antibodies. 464 children with detectable measles antibody in their sample before vaccination were excluded, leaving 1904 individuals (934 placebo and 970 sulfadoxine-pyrimethamine) in the study. IPTi with sulfadoxinepyrimethamine did not have a clinically signifi cant eff ect on immune responses to measles vaccine; 61 of 970 (63%) children who received IPTi did not develop a protective antibody response after measles vaccination compared with 60 of 934 (64%) who received placebo, a diff erence of -014% (95% CI -23 to 21). When other antimalarial drugs were used for IPTi the results were much the same. Among 2396 children from whom serological response data for other EPI antigens were available, we identifi ed no evidence of an adverse eff ect of IPTi with sulfadoxinepyrimethamine or other antimalarial drugs on the proportion achieving protective antibody concentrations. Interpretation IPTi with sulfadoxine-pyrimethamine does not aff ect serological responses to EPI vaccines. This analysis, therefore, supports the WHO recommendation for coadministration of IPTi with sulfadoxine-pyrimethamine to infants at the time of the second and third doses of DTP and measles vaccination, in areas of sub-Saharan Africa with moderate to high malaria transmission and where malaria parasites are sensitive to these drugs. It also suggests that treatment of clinical malaria at or around the time of vaccination does not compromise vaccine responsiveness. Funding Bill &amp; Melinda Gates Foundation.&quot;,&quot;publisher&quot;:&quot;Lancet Publishing Group&quot;,&quot;issue&quot;:&quot;9846&quot;,&quot;volume&quot;:&quot;380&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6FF9E1B6-9841-4B53-B2C7-E5118CB4A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670</Words>
  <Characters>3820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ANTIA FIGUEROA</dc:creator>
  <cp:keywords/>
  <dc:description/>
  <cp:lastModifiedBy>Kwabena</cp:lastModifiedBy>
  <cp:revision>3</cp:revision>
  <dcterms:created xsi:type="dcterms:W3CDTF">2024-04-16T10:15:00Z</dcterms:created>
  <dcterms:modified xsi:type="dcterms:W3CDTF">2024-04-16T10:36:00Z</dcterms:modified>
</cp:coreProperties>
</file>