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367D" w14:textId="77777777" w:rsidR="00A23BAA" w:rsidRPr="00A23BAA" w:rsidRDefault="00A23BAA" w:rsidP="00E80D03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</w:p>
    <w:p w14:paraId="25A80FF8" w14:textId="47447DBB" w:rsidR="00E80D03" w:rsidRPr="00A23BAA" w:rsidRDefault="00A23BAA" w:rsidP="00A23BAA">
      <w:pPr>
        <w:rPr>
          <w:b/>
          <w:bCs/>
        </w:rPr>
      </w:pPr>
      <w:r w:rsidRPr="00A23BAA">
        <w:rPr>
          <w:b/>
          <w:bCs/>
        </w:rPr>
        <w:t xml:space="preserve">Appendix 1. </w:t>
      </w:r>
      <w:r w:rsidR="00E80D03" w:rsidRPr="00A23BAA">
        <w:rPr>
          <w:b/>
          <w:bCs/>
        </w:rPr>
        <w:t>Common Definitions of Metabolic Syndrome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7"/>
        <w:gridCol w:w="1484"/>
        <w:gridCol w:w="1259"/>
        <w:gridCol w:w="1614"/>
        <w:gridCol w:w="1302"/>
        <w:gridCol w:w="2166"/>
        <w:gridCol w:w="3658"/>
      </w:tblGrid>
      <w:tr w:rsidR="007E6215" w:rsidRPr="0025560B" w14:paraId="7F80BD25" w14:textId="77777777" w:rsidTr="001955CB">
        <w:trPr>
          <w:trHeight w:val="50"/>
        </w:trPr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464D376C" w14:textId="6FCDABEC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Organization</w:t>
            </w:r>
            <w:r w:rsidR="007E6215" w:rsidRPr="007E6215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:vertAlign w:val="superscript"/>
                <w14:ligatures w14:val="none"/>
              </w:rPr>
              <w:t>1</w:t>
            </w:r>
          </w:p>
        </w:tc>
        <w:tc>
          <w:tcPr>
            <w:tcW w:w="1541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B541323" w14:textId="77777777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Obesity</w:t>
            </w:r>
          </w:p>
        </w:tc>
        <w:tc>
          <w:tcPr>
            <w:tcW w:w="125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036EE495" w14:textId="77777777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High TG</w:t>
            </w:r>
          </w:p>
        </w:tc>
        <w:tc>
          <w:tcPr>
            <w:tcW w:w="1664" w:type="dxa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5043EAD0" w14:textId="77777777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Low HDL-C</w:t>
            </w:r>
          </w:p>
        </w:tc>
        <w:tc>
          <w:tcPr>
            <w:tcW w:w="1314" w:type="dxa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589420BA" w14:textId="77777777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Blood glucose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45B86061" w14:textId="77777777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High blood pressure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auto"/>
            <w:vAlign w:val="center"/>
            <w:hideMark/>
          </w:tcPr>
          <w:p w14:paraId="4D5636CA" w14:textId="77777777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1"/>
                <w:szCs w:val="21"/>
                <w14:ligatures w14:val="none"/>
              </w:rPr>
              <w:t>Diagnostic criteria</w:t>
            </w:r>
          </w:p>
        </w:tc>
      </w:tr>
      <w:tr w:rsidR="00A23BAA" w:rsidRPr="0025560B" w14:paraId="5032B7A1" w14:textId="77777777" w:rsidTr="001955CB">
        <w:trPr>
          <w:trHeight w:val="120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52583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WHO (1998)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CC9D0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Waist/hip ratio &gt; 0.9 in men or &gt; 0.85 in women or BMI &gt; 30 kg/m</w:t>
            </w: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70563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TG ≥150 mg/dL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D64BC2" w14:textId="5264909B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HDLC &lt; 40 mg/dl in men or HDL-C &lt; 50 mg/dl in women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3250C12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IGT, IFG, or T2D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4CEA06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≥140/90 mmHg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BAE011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IGT, IFG, T2D, or reduced insulin sensitivity plus any two of the criteria</w:t>
            </w:r>
          </w:p>
        </w:tc>
      </w:tr>
      <w:tr w:rsidR="007E6215" w:rsidRPr="0025560B" w14:paraId="4610A3F6" w14:textId="77777777" w:rsidTr="001955CB">
        <w:trPr>
          <w:trHeight w:val="107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B71F5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EGIR (1999)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F8F01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WC &gt;37 inches in men or &gt; 32 inches in women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E12BE" w14:textId="64A8CFBE" w:rsidR="0025560B" w:rsidRPr="00A23BAA" w:rsidRDefault="00F71FE5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TG ≥150 mg/dL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520D1E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&lt;39 mg/dL in men and women</w:t>
            </w:r>
          </w:p>
        </w:tc>
        <w:tc>
          <w:tcPr>
            <w:tcW w:w="1314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CE08BF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IFG or IGT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3260DB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≥140 mmHg systolic and ≥ 90 mmHg diastolic or on treatment for HTN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BA6063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Three or more criteria, including insulin resistance</w:t>
            </w:r>
          </w:p>
        </w:tc>
      </w:tr>
      <w:tr w:rsidR="007E6215" w:rsidRPr="0025560B" w14:paraId="05D5BBF0" w14:textId="77777777" w:rsidTr="001955CB">
        <w:trPr>
          <w:trHeight w:val="10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EF7BA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NCEP ATPIII (2001)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24880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WC ≥102 cm in men or ≥ 88 cm in women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43D9B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TG ≥150 mg/dl or on therapy lowering TG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FC1464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&lt;40 mg/dL in men or &lt; 50 mg/dL in women or therapy increasing HDL-C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6F2D4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≥100 mg/dL (including T2D)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BE9930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≥130/85 mmHg or on treatment for HTN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07AF1E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Three or more criteria</w:t>
            </w:r>
          </w:p>
        </w:tc>
      </w:tr>
      <w:tr w:rsidR="007E6215" w:rsidRPr="0025560B" w14:paraId="6F587811" w14:textId="77777777" w:rsidTr="001955CB">
        <w:trPr>
          <w:trHeight w:val="791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795D7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AACE (2003)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C4707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BMI ≥25 kg/m</w:t>
            </w: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1D9D01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≥150 mg/dL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1CF172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&lt;40 mg/dL in men or &lt; 50 mg/dL in women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7AA90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 xml:space="preserve">IGT or </w:t>
            </w:r>
            <w:proofErr w:type="spellStart"/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lFG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070B6F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≥130/85 mmHg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14E9935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IGT or IFG plus any of the criteria</w:t>
            </w:r>
          </w:p>
        </w:tc>
      </w:tr>
      <w:tr w:rsidR="001955CB" w:rsidRPr="0025560B" w14:paraId="04D34E27" w14:textId="77777777" w:rsidTr="001955CB">
        <w:trPr>
          <w:trHeight w:val="11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32115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IDF (2005)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8F4AE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Population-specific increased WC cutoffs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6F66B7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≥150 mg/dL or on TG lowering treatment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45A78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&lt;40 mg/dL (men) or &lt; 50 mg/dL (women) or on HDL treatment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F6BDC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IFG or on treatment for hyperglycemia or has T2D diagnosis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9AE97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≥130 mmHg systolic and/or ≥ 85 mmHg diastolic or on treatment for HTN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B9E42" w14:textId="29BE6977" w:rsidR="0025560B" w:rsidRPr="00A23BAA" w:rsidRDefault="007E6215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Three or more criteria, one of which should be central obesity</w:t>
            </w:r>
          </w:p>
        </w:tc>
      </w:tr>
      <w:tr w:rsidR="001955CB" w:rsidRPr="0025560B" w14:paraId="24BCCEB7" w14:textId="77777777" w:rsidTr="001955CB">
        <w:trPr>
          <w:trHeight w:val="809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9F187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IDF (2009)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63AD33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Population- and country-specific WC cutoffs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8393E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TG ≥150 mg/dL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8F6D0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&lt;40 mg/dL in men or &lt; 50 mg/dL in women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143A3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≥100 mg/dL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C6EEC" w14:textId="77777777" w:rsidR="0025560B" w:rsidRPr="00A23BAA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A23BAA"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  <w:t>≥130/85 mmHg or on treatment for HTN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8421A" w14:textId="361B0F89" w:rsidR="0025560B" w:rsidRPr="00A23BAA" w:rsidRDefault="007E6215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18"/>
                <w:szCs w:val="18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Three or more criteria</w:t>
            </w:r>
          </w:p>
        </w:tc>
      </w:tr>
      <w:tr w:rsidR="007E6215" w:rsidRPr="0025560B" w14:paraId="094A4A71" w14:textId="77777777" w:rsidTr="001955CB">
        <w:trPr>
          <w:trHeight w:val="320"/>
        </w:trPr>
        <w:tc>
          <w:tcPr>
            <w:tcW w:w="0" w:type="auto"/>
            <w:vMerge w:val="restart"/>
            <w:tcBorders>
              <w:top w:val="nil"/>
              <w:left w:val="nil"/>
              <w:bottom w:val="double" w:sz="6" w:space="0" w:color="000000"/>
            </w:tcBorders>
            <w:shd w:val="clear" w:color="auto" w:fill="auto"/>
            <w:vAlign w:val="center"/>
            <w:hideMark/>
          </w:tcPr>
          <w:p w14:paraId="7A531247" w14:textId="1341690E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AHA/NHLBI (2009)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FF118CA" w14:textId="12CFFD78" w:rsidR="0025560B" w:rsidRPr="0025560B" w:rsidRDefault="007E6215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Central obesity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3F50E5E8" w14:textId="77777777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≥150 mg/dL or treated with lipid lowering drug</w:t>
            </w:r>
          </w:p>
        </w:tc>
        <w:tc>
          <w:tcPr>
            <w:tcW w:w="1664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1D90DE09" w14:textId="77777777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&lt;40 mg/dL in men or &lt; 50 mg/dL in women or on treatment</w:t>
            </w:r>
          </w:p>
        </w:tc>
        <w:tc>
          <w:tcPr>
            <w:tcW w:w="1314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9A2B032" w14:textId="77777777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IFG or on treated with diabetes drug or T2D diagnosis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14:paraId="514E5F74" w14:textId="77777777" w:rsidR="0025560B" w:rsidRPr="0025560B" w:rsidRDefault="0025560B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≥130 mmHg systolic and/or ≥ 85 mmHg diastolic or on treatment for HTN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14:paraId="46B0D78E" w14:textId="2AC48BFE" w:rsidR="0025560B" w:rsidRPr="0025560B" w:rsidRDefault="007E6215" w:rsidP="007E6215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Three or more criteria</w:t>
            </w:r>
          </w:p>
        </w:tc>
      </w:tr>
      <w:tr w:rsidR="007E6215" w:rsidRPr="0025560B" w14:paraId="5C59DF73" w14:textId="77777777" w:rsidTr="001955CB">
        <w:trPr>
          <w:trHeight w:val="1200"/>
        </w:trPr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</w:tcBorders>
            <w:vAlign w:val="center"/>
            <w:hideMark/>
          </w:tcPr>
          <w:p w14:paraId="02167B17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14:paraId="0F179466" w14:textId="77777777" w:rsidR="007E6215" w:rsidRDefault="007E6215" w:rsidP="0025560B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  <w:p w14:paraId="337CD103" w14:textId="50ACC53D" w:rsidR="0025560B" w:rsidRPr="0025560B" w:rsidRDefault="0025560B" w:rsidP="0025560B">
            <w:pPr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  <w:t>WC &gt; 40 inches in men or &gt; 35 inches in women</w:t>
            </w:r>
          </w:p>
        </w:tc>
        <w:tc>
          <w:tcPr>
            <w:tcW w:w="1259" w:type="dxa"/>
            <w:vMerge/>
            <w:tcBorders>
              <w:top w:val="nil"/>
              <w:bottom w:val="double" w:sz="6" w:space="0" w:color="000000"/>
              <w:right w:val="nil"/>
            </w:tcBorders>
            <w:vAlign w:val="center"/>
            <w:hideMark/>
          </w:tcPr>
          <w:p w14:paraId="566B27A6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7DCE7B0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0B149B8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C65D835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7A244437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</w:tr>
      <w:tr w:rsidR="007E6215" w:rsidRPr="0025560B" w14:paraId="4AA1FF73" w14:textId="77777777" w:rsidTr="001955CB">
        <w:trPr>
          <w:trHeight w:val="480"/>
        </w:trPr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</w:tcBorders>
            <w:vAlign w:val="center"/>
            <w:hideMark/>
          </w:tcPr>
          <w:p w14:paraId="7EDE2726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double" w:sz="6" w:space="0" w:color="auto"/>
            </w:tcBorders>
            <w:shd w:val="clear" w:color="auto" w:fill="auto"/>
            <w:vAlign w:val="bottom"/>
            <w:hideMark/>
          </w:tcPr>
          <w:p w14:paraId="2B90DDFC" w14:textId="77777777" w:rsidR="0025560B" w:rsidRPr="0025560B" w:rsidRDefault="0025560B" w:rsidP="0025560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25560B">
              <w:rPr>
                <w:rFonts w:ascii="Aptos Narrow" w:eastAsia="Times New Roman" w:hAnsi="Aptos Narrow" w:cs="Times New Roman"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259" w:type="dxa"/>
            <w:vMerge/>
            <w:tcBorders>
              <w:top w:val="nil"/>
              <w:bottom w:val="double" w:sz="6" w:space="0" w:color="000000"/>
              <w:right w:val="nil"/>
            </w:tcBorders>
            <w:vAlign w:val="center"/>
            <w:hideMark/>
          </w:tcPr>
          <w:p w14:paraId="6FA0C5B7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66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05CDEE07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314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48312F46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1EF7B21" w14:textId="77777777" w:rsidR="0025560B" w:rsidRPr="0025560B" w:rsidRDefault="0025560B" w:rsidP="0025560B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</w:tcPr>
          <w:p w14:paraId="7B536DA3" w14:textId="77777777" w:rsidR="0025560B" w:rsidRPr="0025560B" w:rsidRDefault="0025560B" w:rsidP="00E80D03">
            <w:pPr>
              <w:keepNext/>
              <w:rPr>
                <w:rFonts w:ascii="Times New Roman" w:eastAsia="Times New Roman" w:hAnsi="Times New Roman" w:cs="Times New Roman"/>
                <w:color w:val="222222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48E42505" w14:textId="21F485CD" w:rsidR="00C6323C" w:rsidRPr="007E6215" w:rsidRDefault="007E6215" w:rsidP="00E80D03">
      <w:pPr>
        <w:pStyle w:val="Caption"/>
        <w:rPr>
          <w:sz w:val="21"/>
          <w:szCs w:val="21"/>
        </w:rPr>
      </w:pPr>
      <w:r w:rsidRPr="007E6215">
        <w:rPr>
          <w:b/>
          <w:bCs/>
          <w:sz w:val="21"/>
          <w:szCs w:val="21"/>
          <w:vertAlign w:val="superscript"/>
        </w:rPr>
        <w:lastRenderedPageBreak/>
        <w:t>1</w:t>
      </w:r>
      <w:r w:rsidR="00E80D03" w:rsidRPr="007E6215">
        <w:rPr>
          <w:b/>
          <w:bCs/>
          <w:sz w:val="21"/>
          <w:szCs w:val="21"/>
        </w:rPr>
        <w:t>AACE</w:t>
      </w:r>
      <w:r w:rsidR="00E80D03" w:rsidRPr="007E6215">
        <w:rPr>
          <w:sz w:val="21"/>
          <w:szCs w:val="21"/>
        </w:rPr>
        <w:t xml:space="preserve">: American Association of Clinical Endocrinologists; </w:t>
      </w:r>
      <w:r w:rsidR="00E80D03" w:rsidRPr="007E6215">
        <w:rPr>
          <w:b/>
          <w:bCs/>
          <w:sz w:val="21"/>
          <w:szCs w:val="21"/>
        </w:rPr>
        <w:t>AHA/NHLBI</w:t>
      </w:r>
      <w:r w:rsidR="00E80D03" w:rsidRPr="007E6215">
        <w:rPr>
          <w:sz w:val="21"/>
          <w:szCs w:val="21"/>
        </w:rPr>
        <w:t>: American Heart Association/National Heart, Lung, and Blood</w:t>
      </w:r>
      <w:r w:rsidR="00E80D03" w:rsidRPr="007E6215">
        <w:rPr>
          <w:sz w:val="21"/>
          <w:szCs w:val="21"/>
        </w:rPr>
        <w:br/>
        <w:t xml:space="preserve"> Institute; </w:t>
      </w:r>
      <w:r w:rsidR="00E80D03" w:rsidRPr="007E6215">
        <w:rPr>
          <w:b/>
          <w:bCs/>
          <w:sz w:val="21"/>
          <w:szCs w:val="21"/>
        </w:rPr>
        <w:t>BMI</w:t>
      </w:r>
      <w:r w:rsidR="00E80D03" w:rsidRPr="007E6215">
        <w:rPr>
          <w:sz w:val="21"/>
          <w:szCs w:val="21"/>
        </w:rPr>
        <w:t xml:space="preserve">: Body Mass Index; </w:t>
      </w:r>
      <w:r w:rsidR="00E80D03" w:rsidRPr="007E6215">
        <w:rPr>
          <w:b/>
          <w:bCs/>
          <w:sz w:val="21"/>
          <w:szCs w:val="21"/>
        </w:rPr>
        <w:t>EGIR</w:t>
      </w:r>
      <w:r w:rsidR="00E80D03" w:rsidRPr="007E6215">
        <w:rPr>
          <w:sz w:val="21"/>
          <w:szCs w:val="21"/>
        </w:rPr>
        <w:t xml:space="preserve">: European Group for the Study of Insulin Resistance; </w:t>
      </w:r>
      <w:r w:rsidR="00E80D03" w:rsidRPr="007E6215">
        <w:rPr>
          <w:b/>
          <w:bCs/>
          <w:sz w:val="21"/>
          <w:szCs w:val="21"/>
        </w:rPr>
        <w:t>HDL-C</w:t>
      </w:r>
      <w:r w:rsidR="00E80D03" w:rsidRPr="007E6215">
        <w:rPr>
          <w:sz w:val="21"/>
          <w:szCs w:val="21"/>
        </w:rPr>
        <w:t>: High-Density Lipoprotein Choles</w:t>
      </w:r>
      <w:r w:rsidR="00E80D03" w:rsidRPr="007E6215">
        <w:rPr>
          <w:sz w:val="21"/>
          <w:szCs w:val="21"/>
        </w:rPr>
        <w:br/>
        <w:t>-</w:t>
      </w:r>
      <w:proofErr w:type="spellStart"/>
      <w:r w:rsidR="00E80D03" w:rsidRPr="007E6215">
        <w:rPr>
          <w:sz w:val="21"/>
          <w:szCs w:val="21"/>
        </w:rPr>
        <w:t>terol</w:t>
      </w:r>
      <w:proofErr w:type="spellEnd"/>
      <w:r w:rsidR="00E80D03" w:rsidRPr="007E6215">
        <w:rPr>
          <w:sz w:val="21"/>
          <w:szCs w:val="21"/>
        </w:rPr>
        <w:t xml:space="preserve">; </w:t>
      </w:r>
      <w:r w:rsidR="00E80D03" w:rsidRPr="007E6215">
        <w:rPr>
          <w:b/>
          <w:bCs/>
          <w:sz w:val="21"/>
          <w:szCs w:val="21"/>
        </w:rPr>
        <w:t>HTN</w:t>
      </w:r>
      <w:r w:rsidR="00E80D03" w:rsidRPr="007E6215">
        <w:rPr>
          <w:sz w:val="21"/>
          <w:szCs w:val="21"/>
        </w:rPr>
        <w:t xml:space="preserve">: Hypertension; </w:t>
      </w:r>
      <w:r w:rsidR="00E80D03" w:rsidRPr="007E6215">
        <w:rPr>
          <w:b/>
          <w:bCs/>
          <w:sz w:val="21"/>
          <w:szCs w:val="21"/>
        </w:rPr>
        <w:t>IDF</w:t>
      </w:r>
      <w:r w:rsidR="00E80D03" w:rsidRPr="007E6215">
        <w:rPr>
          <w:sz w:val="21"/>
          <w:szCs w:val="21"/>
        </w:rPr>
        <w:t xml:space="preserve">: International Diabetes Federation; </w:t>
      </w:r>
      <w:r w:rsidR="00E80D03" w:rsidRPr="007E6215">
        <w:rPr>
          <w:b/>
          <w:bCs/>
          <w:sz w:val="21"/>
          <w:szCs w:val="21"/>
        </w:rPr>
        <w:t>IFG</w:t>
      </w:r>
      <w:r w:rsidR="00E80D03" w:rsidRPr="007E6215">
        <w:rPr>
          <w:sz w:val="21"/>
          <w:szCs w:val="21"/>
        </w:rPr>
        <w:t xml:space="preserve">: Impaired Fasting Glucose; </w:t>
      </w:r>
      <w:r w:rsidR="00E80D03" w:rsidRPr="007E6215">
        <w:rPr>
          <w:b/>
          <w:bCs/>
          <w:sz w:val="21"/>
          <w:szCs w:val="21"/>
        </w:rPr>
        <w:t>IGT</w:t>
      </w:r>
      <w:r w:rsidR="00E80D03" w:rsidRPr="007E6215">
        <w:rPr>
          <w:sz w:val="21"/>
          <w:szCs w:val="21"/>
        </w:rPr>
        <w:t>: Impaired Glucose Tolerance</w:t>
      </w:r>
      <w:r w:rsidR="00E80D03" w:rsidRPr="007E6215">
        <w:rPr>
          <w:sz w:val="21"/>
          <w:szCs w:val="21"/>
        </w:rPr>
        <w:br/>
      </w:r>
      <w:r w:rsidR="00E80D03" w:rsidRPr="007E6215">
        <w:rPr>
          <w:b/>
          <w:bCs/>
          <w:sz w:val="21"/>
          <w:szCs w:val="21"/>
        </w:rPr>
        <w:t>NCEP ATPIII</w:t>
      </w:r>
      <w:r w:rsidR="00E80D03" w:rsidRPr="007E6215">
        <w:rPr>
          <w:sz w:val="21"/>
          <w:szCs w:val="21"/>
        </w:rPr>
        <w:t xml:space="preserve">: National Cholesterol Education Program Adult Treatment Panel III; </w:t>
      </w:r>
      <w:r w:rsidR="00E80D03" w:rsidRPr="007E6215">
        <w:rPr>
          <w:b/>
          <w:bCs/>
          <w:sz w:val="21"/>
          <w:szCs w:val="21"/>
        </w:rPr>
        <w:t>T2D</w:t>
      </w:r>
      <w:r w:rsidR="00E80D03" w:rsidRPr="007E6215">
        <w:rPr>
          <w:sz w:val="21"/>
          <w:szCs w:val="21"/>
        </w:rPr>
        <w:t xml:space="preserve">: Type 2 Diabetes; </w:t>
      </w:r>
      <w:r w:rsidR="00E80D03" w:rsidRPr="007E6215">
        <w:rPr>
          <w:b/>
          <w:bCs/>
          <w:sz w:val="21"/>
          <w:szCs w:val="21"/>
        </w:rPr>
        <w:t>TG</w:t>
      </w:r>
      <w:r w:rsidR="00E80D03" w:rsidRPr="007E6215">
        <w:rPr>
          <w:sz w:val="21"/>
          <w:szCs w:val="21"/>
        </w:rPr>
        <w:t xml:space="preserve">: Triglycerides; </w:t>
      </w:r>
      <w:r w:rsidR="00E80D03" w:rsidRPr="007E6215">
        <w:rPr>
          <w:b/>
          <w:bCs/>
          <w:sz w:val="21"/>
          <w:szCs w:val="21"/>
        </w:rPr>
        <w:t>WC</w:t>
      </w:r>
      <w:r w:rsidR="00E80D03" w:rsidRPr="007E6215">
        <w:rPr>
          <w:sz w:val="21"/>
          <w:szCs w:val="21"/>
        </w:rPr>
        <w:t xml:space="preserve">: Waist </w:t>
      </w:r>
      <w:r w:rsidR="00E80D03" w:rsidRPr="007E6215">
        <w:rPr>
          <w:sz w:val="21"/>
          <w:szCs w:val="21"/>
        </w:rPr>
        <w:br/>
        <w:t xml:space="preserve">Circumference; </w:t>
      </w:r>
      <w:r w:rsidR="00E80D03" w:rsidRPr="007E6215">
        <w:rPr>
          <w:b/>
          <w:bCs/>
          <w:sz w:val="21"/>
          <w:szCs w:val="21"/>
        </w:rPr>
        <w:t>WHO</w:t>
      </w:r>
      <w:r w:rsidR="00E80D03" w:rsidRPr="007E6215">
        <w:rPr>
          <w:sz w:val="21"/>
          <w:szCs w:val="21"/>
        </w:rPr>
        <w:t>: World Health Organization</w:t>
      </w:r>
    </w:p>
    <w:sectPr w:rsidR="00C6323C" w:rsidRPr="007E6215" w:rsidSect="00A23BAA">
      <w:footerReference w:type="default" r:id="rId6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6E720" w14:textId="77777777" w:rsidR="00145B74" w:rsidRDefault="00145B74" w:rsidP="00E80D03">
      <w:r>
        <w:separator/>
      </w:r>
    </w:p>
  </w:endnote>
  <w:endnote w:type="continuationSeparator" w:id="0">
    <w:p w14:paraId="78E16A2C" w14:textId="77777777" w:rsidR="00145B74" w:rsidRDefault="00145B74" w:rsidP="00E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94DA" w14:textId="3FE1C369" w:rsidR="00E80D03" w:rsidRDefault="00E80D03">
    <w:pPr>
      <w:pStyle w:val="Footer"/>
    </w:pPr>
  </w:p>
  <w:p w14:paraId="633B758A" w14:textId="77777777" w:rsidR="00E80D03" w:rsidRDefault="00E80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1C3A" w14:textId="77777777" w:rsidR="00145B74" w:rsidRDefault="00145B74" w:rsidP="00E80D03">
      <w:r>
        <w:separator/>
      </w:r>
    </w:p>
  </w:footnote>
  <w:footnote w:type="continuationSeparator" w:id="0">
    <w:p w14:paraId="59B70E1A" w14:textId="77777777" w:rsidR="00145B74" w:rsidRDefault="00145B74" w:rsidP="00E80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8A"/>
    <w:rsid w:val="00145B74"/>
    <w:rsid w:val="001955CB"/>
    <w:rsid w:val="0025560B"/>
    <w:rsid w:val="00546132"/>
    <w:rsid w:val="007E6215"/>
    <w:rsid w:val="00830B8A"/>
    <w:rsid w:val="00847199"/>
    <w:rsid w:val="008E1CAC"/>
    <w:rsid w:val="009A4BE2"/>
    <w:rsid w:val="00A23BAA"/>
    <w:rsid w:val="00AB4857"/>
    <w:rsid w:val="00BA6641"/>
    <w:rsid w:val="00C6323C"/>
    <w:rsid w:val="00E45A6D"/>
    <w:rsid w:val="00E80D03"/>
    <w:rsid w:val="00F7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CC7E"/>
  <w15:chartTrackingRefBased/>
  <w15:docId w15:val="{A6A561FE-AED4-6E44-ACB0-B4D8CBEC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B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B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B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B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B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B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B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B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B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B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B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B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B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B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B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B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0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D03"/>
  </w:style>
  <w:style w:type="paragraph" w:styleId="Footer">
    <w:name w:val="footer"/>
    <w:basedOn w:val="Normal"/>
    <w:link w:val="FooterChar"/>
    <w:uiPriority w:val="99"/>
    <w:unhideWhenUsed/>
    <w:rsid w:val="00E80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D03"/>
  </w:style>
  <w:style w:type="paragraph" w:styleId="Caption">
    <w:name w:val="caption"/>
    <w:basedOn w:val="Normal"/>
    <w:next w:val="Normal"/>
    <w:uiPriority w:val="35"/>
    <w:unhideWhenUsed/>
    <w:qFormat/>
    <w:rsid w:val="00E80D03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Otaru</dc:creator>
  <cp:keywords/>
  <dc:description/>
  <cp:lastModifiedBy>Laura Jones</cp:lastModifiedBy>
  <cp:revision>2</cp:revision>
  <dcterms:created xsi:type="dcterms:W3CDTF">2024-04-09T00:07:00Z</dcterms:created>
  <dcterms:modified xsi:type="dcterms:W3CDTF">2024-04-09T00:07:00Z</dcterms:modified>
</cp:coreProperties>
</file>