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5ED68" w14:textId="77777777" w:rsidR="00D77C7E" w:rsidRPr="00145156" w:rsidRDefault="00D77C7E" w:rsidP="00D77C7E">
      <w:pPr>
        <w:rPr>
          <w:b/>
          <w:bCs/>
          <w:lang w:val="en-US"/>
        </w:rPr>
      </w:pPr>
      <w:r w:rsidRPr="00145156">
        <w:rPr>
          <w:b/>
          <w:bCs/>
          <w:lang w:val="en-US"/>
        </w:rPr>
        <w:t xml:space="preserve">Statistical Analysis Plan (SAP) </w:t>
      </w:r>
    </w:p>
    <w:p w14:paraId="41C1A0C9" w14:textId="77777777" w:rsidR="00D77C7E" w:rsidRDefault="00D77C7E" w:rsidP="00D77C7E">
      <w:pPr>
        <w:jc w:val="both"/>
        <w:rPr>
          <w:lang w:val="en-US"/>
        </w:rPr>
      </w:pPr>
      <w:r w:rsidRPr="00806E70">
        <w:rPr>
          <w:lang w:val="en-US"/>
        </w:rPr>
        <w:t>The trial was designed as</w:t>
      </w:r>
      <w:r>
        <w:rPr>
          <w:lang w:val="en-US"/>
        </w:rPr>
        <w:t xml:space="preserve"> a double blinded randomized controlled trial (</w:t>
      </w:r>
      <w:r w:rsidRPr="00145156">
        <w:rPr>
          <w:lang w:val="en-US"/>
        </w:rPr>
        <w:t>RCT</w:t>
      </w:r>
      <w:r>
        <w:rPr>
          <w:lang w:val="en-US"/>
        </w:rPr>
        <w:t>)</w:t>
      </w:r>
      <w:r w:rsidRPr="00806E70">
        <w:rPr>
          <w:lang w:val="en-US"/>
        </w:rPr>
        <w:t>.</w:t>
      </w:r>
      <w:r>
        <w:rPr>
          <w:lang w:val="en-US"/>
        </w:rPr>
        <w:t xml:space="preserve"> T</w:t>
      </w:r>
      <w:r w:rsidRPr="007759A4">
        <w:rPr>
          <w:lang w:val="en-US"/>
        </w:rPr>
        <w:t>o avoid bias in the interpretation of the results</w:t>
      </w:r>
      <w:r>
        <w:rPr>
          <w:lang w:val="en-US"/>
        </w:rPr>
        <w:t>, t</w:t>
      </w:r>
      <w:r w:rsidRPr="007759A4">
        <w:rPr>
          <w:lang w:val="en-US"/>
        </w:rPr>
        <w:t xml:space="preserve">he colposcopist and the pathologist </w:t>
      </w:r>
      <w:r>
        <w:rPr>
          <w:lang w:val="en-US"/>
        </w:rPr>
        <w:t xml:space="preserve">were </w:t>
      </w:r>
      <w:r w:rsidRPr="007759A4">
        <w:rPr>
          <w:lang w:val="en-US"/>
        </w:rPr>
        <w:t>blind</w:t>
      </w:r>
      <w:r>
        <w:rPr>
          <w:lang w:val="en-US"/>
        </w:rPr>
        <w:t>ed</w:t>
      </w:r>
      <w:r w:rsidRPr="007759A4">
        <w:rPr>
          <w:lang w:val="en-US"/>
        </w:rPr>
        <w:t xml:space="preserve"> </w:t>
      </w:r>
      <w:r>
        <w:rPr>
          <w:lang w:val="en-US"/>
        </w:rPr>
        <w:t>about</w:t>
      </w:r>
      <w:r w:rsidRPr="007759A4">
        <w:rPr>
          <w:lang w:val="en-US"/>
        </w:rPr>
        <w:t xml:space="preserve"> which patient received one treatment or another.</w:t>
      </w:r>
      <w:r>
        <w:rPr>
          <w:lang w:val="en-US"/>
        </w:rPr>
        <w:t xml:space="preserve"> </w:t>
      </w:r>
      <w:r w:rsidRPr="00806E70">
        <w:rPr>
          <w:lang w:val="en-US"/>
        </w:rPr>
        <w:t>On the basis of previous</w:t>
      </w:r>
      <w:r>
        <w:rPr>
          <w:lang w:val="en-US"/>
        </w:rPr>
        <w:t xml:space="preserve"> </w:t>
      </w:r>
      <w:r w:rsidRPr="00806E70">
        <w:rPr>
          <w:lang w:val="en-US"/>
        </w:rPr>
        <w:t>trials, the</w:t>
      </w:r>
      <w:r>
        <w:rPr>
          <w:lang w:val="en-US"/>
        </w:rPr>
        <w:t xml:space="preserve"> </w:t>
      </w:r>
      <w:r w:rsidRPr="00806E70">
        <w:rPr>
          <w:lang w:val="en-US"/>
        </w:rPr>
        <w:t>primary efficacy outcome was tested for a difference between the groups at an overall two-sided</w:t>
      </w:r>
      <w:r>
        <w:rPr>
          <w:lang w:val="en-US"/>
        </w:rPr>
        <w:t xml:space="preserve"> </w:t>
      </w:r>
      <w:r w:rsidRPr="00806E70">
        <w:rPr>
          <w:lang w:val="en-US"/>
        </w:rPr>
        <w:t>type I error rate of 5%. The sample size was</w:t>
      </w:r>
      <w:r>
        <w:rPr>
          <w:lang w:val="en-US"/>
        </w:rPr>
        <w:t xml:space="preserve"> </w:t>
      </w:r>
      <w:r w:rsidRPr="00806E70">
        <w:rPr>
          <w:lang w:val="en-US"/>
        </w:rPr>
        <w:t xml:space="preserve">initially estimated to be </w:t>
      </w:r>
      <w:r>
        <w:rPr>
          <w:lang w:val="en-US"/>
        </w:rPr>
        <w:t>100</w:t>
      </w:r>
      <w:r w:rsidRPr="00806E70">
        <w:rPr>
          <w:lang w:val="en-US"/>
        </w:rPr>
        <w:t xml:space="preserve"> patients </w:t>
      </w:r>
      <w:r>
        <w:rPr>
          <w:lang w:val="en-US"/>
        </w:rPr>
        <w:t>but</w:t>
      </w:r>
      <w:r w:rsidRPr="00806E70">
        <w:rPr>
          <w:lang w:val="en-US"/>
        </w:rPr>
        <w:t xml:space="preserve"> was</w:t>
      </w:r>
      <w:r>
        <w:rPr>
          <w:lang w:val="en-US"/>
        </w:rPr>
        <w:t xml:space="preserve"> finally increas</w:t>
      </w:r>
      <w:r w:rsidRPr="00806E70">
        <w:rPr>
          <w:lang w:val="en-US"/>
        </w:rPr>
        <w:t xml:space="preserve">ed to </w:t>
      </w:r>
      <w:r>
        <w:rPr>
          <w:lang w:val="en-US"/>
        </w:rPr>
        <w:t>106</w:t>
      </w:r>
      <w:r w:rsidRPr="00806E70">
        <w:rPr>
          <w:lang w:val="en-US"/>
        </w:rPr>
        <w:t xml:space="preserve"> patients</w:t>
      </w:r>
      <w:r>
        <w:rPr>
          <w:lang w:val="en-US"/>
        </w:rPr>
        <w:t>.</w:t>
      </w:r>
      <w:r w:rsidRPr="00095CDE">
        <w:t xml:space="preserve"> </w:t>
      </w:r>
      <w:r w:rsidRPr="00095CDE">
        <w:rPr>
          <w:lang w:val="en-US"/>
        </w:rPr>
        <w:t>The control group (n=49) received local estrogen-based hormonal therapy, applied to the vagina mucosa on Monday, Wednesday, and Friday of each week, for 3 months, while the experimental group (n=57) received local salmon PDRNs on vaginal suppositories, applied solely for six days every night in the first week. The follow-up assessment was done after 3 months.</w:t>
      </w:r>
      <w:r>
        <w:rPr>
          <w:lang w:val="en-US"/>
        </w:rPr>
        <w:t xml:space="preserve"> N</w:t>
      </w:r>
      <w:r w:rsidRPr="00806E70">
        <w:rPr>
          <w:lang w:val="en-US"/>
        </w:rPr>
        <w:t>o alpha was spent as a result of this</w:t>
      </w:r>
      <w:r>
        <w:rPr>
          <w:lang w:val="en-US"/>
        </w:rPr>
        <w:t xml:space="preserve"> </w:t>
      </w:r>
      <w:r w:rsidRPr="00806E70">
        <w:rPr>
          <w:lang w:val="en-US"/>
        </w:rPr>
        <w:t>analysis.</w:t>
      </w:r>
      <w:r>
        <w:rPr>
          <w:lang w:val="en-US"/>
        </w:rPr>
        <w:t xml:space="preserve"> </w:t>
      </w:r>
    </w:p>
    <w:p w14:paraId="3C4213C4" w14:textId="0BEF389C" w:rsidR="00D77C7E" w:rsidRDefault="00D77C7E" w:rsidP="00D77C7E">
      <w:pPr>
        <w:jc w:val="both"/>
        <w:rPr>
          <w:lang w:val="en-US"/>
        </w:rPr>
      </w:pPr>
      <w:r>
        <w:rPr>
          <w:lang w:val="en-US"/>
        </w:rPr>
        <w:t xml:space="preserve">To investigate the real </w:t>
      </w:r>
      <w:r w:rsidRPr="00A1728C">
        <w:rPr>
          <w:lang w:val="en-US"/>
        </w:rPr>
        <w:t>clinical significance</w:t>
      </w:r>
      <w:r>
        <w:rPr>
          <w:lang w:val="en-US"/>
        </w:rPr>
        <w:t xml:space="preserve"> of the therapies, t</w:t>
      </w:r>
      <w:r w:rsidRPr="00095CDE">
        <w:rPr>
          <w:lang w:val="en-US"/>
        </w:rPr>
        <w:t xml:space="preserve">he Menopause Rating Scale (MRS) </w:t>
      </w:r>
      <w:r>
        <w:rPr>
          <w:lang w:val="en-US"/>
        </w:rPr>
        <w:t xml:space="preserve">was used to </w:t>
      </w:r>
      <w:r w:rsidRPr="00095CDE">
        <w:rPr>
          <w:lang w:val="en-US"/>
        </w:rPr>
        <w:t>assess</w:t>
      </w:r>
      <w:r>
        <w:rPr>
          <w:lang w:val="en-US"/>
        </w:rPr>
        <w:t>ed</w:t>
      </w:r>
      <w:r w:rsidRPr="00095CDE">
        <w:rPr>
          <w:lang w:val="en-US"/>
        </w:rPr>
        <w:t xml:space="preserve"> the severity of the GSM symptoms. MRS is a health-related quality of life (HRQoL) scale, which aims to have a standardized way of measuring the severity of ageing symptoms and their impact on the quality of life</w:t>
      </w:r>
      <w:r>
        <w:rPr>
          <w:lang w:val="en-US"/>
        </w:rPr>
        <w:t xml:space="preserve">. The </w:t>
      </w:r>
      <w:r w:rsidRPr="00A1728C">
        <w:rPr>
          <w:lang w:val="en-US"/>
        </w:rPr>
        <w:t xml:space="preserve">GSM </w:t>
      </w:r>
      <w:r>
        <w:rPr>
          <w:lang w:val="en-US"/>
        </w:rPr>
        <w:t xml:space="preserve">symptoms </w:t>
      </w:r>
      <w:r w:rsidRPr="00A1728C">
        <w:rPr>
          <w:lang w:val="en-US"/>
        </w:rPr>
        <w:t>was evaluated by</w:t>
      </w:r>
      <w:r>
        <w:rPr>
          <w:lang w:val="en-US"/>
        </w:rPr>
        <w:t xml:space="preserve"> </w:t>
      </w:r>
      <w:r w:rsidRPr="00A1728C">
        <w:rPr>
          <w:lang w:val="en-US"/>
        </w:rPr>
        <w:t>items 9 to 11</w:t>
      </w:r>
      <w:r>
        <w:rPr>
          <w:lang w:val="en-US"/>
        </w:rPr>
        <w:t xml:space="preserve"> of the MRS. These items evaluate </w:t>
      </w:r>
      <w:r w:rsidRPr="00A1728C">
        <w:rPr>
          <w:lang w:val="en-US"/>
        </w:rPr>
        <w:t>the entire urogenital domain.</w:t>
      </w:r>
      <w:r>
        <w:rPr>
          <w:lang w:val="en-US"/>
        </w:rPr>
        <w:t xml:space="preserve"> </w:t>
      </w:r>
      <w:r w:rsidRPr="00A1728C">
        <w:rPr>
          <w:lang w:val="en-US"/>
        </w:rPr>
        <w:t>Item 9 assesse</w:t>
      </w:r>
      <w:r>
        <w:rPr>
          <w:lang w:val="en-US"/>
        </w:rPr>
        <w:t>s</w:t>
      </w:r>
      <w:r w:rsidRPr="00A1728C">
        <w:rPr>
          <w:lang w:val="en-US"/>
        </w:rPr>
        <w:t xml:space="preserve"> sexual problems (libido, sexual activity, and</w:t>
      </w:r>
      <w:r>
        <w:rPr>
          <w:lang w:val="en-US"/>
        </w:rPr>
        <w:t xml:space="preserve"> </w:t>
      </w:r>
      <w:r w:rsidRPr="00A1728C">
        <w:rPr>
          <w:lang w:val="en-US"/>
        </w:rPr>
        <w:t>dyspareunia). Item 10 evaluate</w:t>
      </w:r>
      <w:r>
        <w:rPr>
          <w:lang w:val="en-US"/>
        </w:rPr>
        <w:t>s</w:t>
      </w:r>
      <w:r w:rsidRPr="00A1728C">
        <w:rPr>
          <w:lang w:val="en-US"/>
        </w:rPr>
        <w:t xml:space="preserve"> bladder problems (polyuria,</w:t>
      </w:r>
      <w:r>
        <w:rPr>
          <w:lang w:val="en-US"/>
        </w:rPr>
        <w:t xml:space="preserve"> </w:t>
      </w:r>
      <w:r w:rsidRPr="00A1728C">
        <w:rPr>
          <w:lang w:val="en-US"/>
        </w:rPr>
        <w:t>urinary urgency, bladder instability, and urinary incontinence).</w:t>
      </w:r>
      <w:r>
        <w:rPr>
          <w:lang w:val="en-US"/>
        </w:rPr>
        <w:t xml:space="preserve"> </w:t>
      </w:r>
      <w:r w:rsidRPr="00A1728C">
        <w:rPr>
          <w:lang w:val="en-US"/>
        </w:rPr>
        <w:t>Item 11 evaluate</w:t>
      </w:r>
      <w:r>
        <w:rPr>
          <w:lang w:val="en-US"/>
        </w:rPr>
        <w:t>s</w:t>
      </w:r>
      <w:r w:rsidRPr="00A1728C">
        <w:rPr>
          <w:lang w:val="en-US"/>
        </w:rPr>
        <w:t xml:space="preserve"> vaginal dryness, including the</w:t>
      </w:r>
      <w:r>
        <w:rPr>
          <w:lang w:val="en-US"/>
        </w:rPr>
        <w:t xml:space="preserve"> </w:t>
      </w:r>
      <w:r w:rsidRPr="00A1728C">
        <w:rPr>
          <w:lang w:val="en-US"/>
        </w:rPr>
        <w:t>sensation of vaginal dryness or vaginal burning, and the difficulty</w:t>
      </w:r>
      <w:r>
        <w:rPr>
          <w:lang w:val="en-US"/>
        </w:rPr>
        <w:t xml:space="preserve"> </w:t>
      </w:r>
      <w:r w:rsidRPr="00A1728C">
        <w:rPr>
          <w:lang w:val="en-US"/>
        </w:rPr>
        <w:t>of having sexual intercourse</w:t>
      </w:r>
      <w:r>
        <w:rPr>
          <w:lang w:val="en-US"/>
        </w:rPr>
        <w:t>.</w:t>
      </w:r>
      <w:r w:rsidRPr="00D20A28">
        <w:rPr>
          <w:lang w:val="en-US"/>
        </w:rPr>
        <w:t xml:space="preserve"> </w:t>
      </w:r>
      <w:bookmarkStart w:id="0" w:name="_Hlk148193857"/>
      <w:r>
        <w:rPr>
          <w:lang w:val="en-US"/>
        </w:rPr>
        <w:t>The severity of symptoms in each item was</w:t>
      </w:r>
      <w:r w:rsidRPr="00D20A28">
        <w:rPr>
          <w:lang w:val="en-US"/>
        </w:rPr>
        <w:t xml:space="preserve"> rated as follows: </w:t>
      </w:r>
      <w:r>
        <w:rPr>
          <w:lang w:val="en-US"/>
        </w:rPr>
        <w:t>0= asymptomatic, 1</w:t>
      </w:r>
      <w:r w:rsidRPr="00D20A28">
        <w:rPr>
          <w:lang w:val="en-US"/>
        </w:rPr>
        <w:t xml:space="preserve"> = mild overall symptoms, </w:t>
      </w:r>
      <w:r>
        <w:rPr>
          <w:lang w:val="en-US"/>
        </w:rPr>
        <w:t>3</w:t>
      </w:r>
      <w:r w:rsidRPr="00D20A28">
        <w:rPr>
          <w:lang w:val="en-US"/>
        </w:rPr>
        <w:t xml:space="preserve"> = </w:t>
      </w:r>
      <w:r>
        <w:rPr>
          <w:lang w:val="en-US"/>
        </w:rPr>
        <w:t xml:space="preserve">severe </w:t>
      </w:r>
      <w:r w:rsidRPr="00D20A28">
        <w:rPr>
          <w:lang w:val="en-US"/>
        </w:rPr>
        <w:t>overall symptoms and</w:t>
      </w:r>
      <w:r>
        <w:rPr>
          <w:lang w:val="en-US"/>
        </w:rPr>
        <w:t xml:space="preserve"> </w:t>
      </w:r>
      <w:r w:rsidRPr="00D20A28">
        <w:rPr>
          <w:lang w:val="en-US"/>
        </w:rPr>
        <w:t xml:space="preserve">4 = </w:t>
      </w:r>
      <w:r>
        <w:rPr>
          <w:lang w:val="en-US"/>
        </w:rPr>
        <w:t xml:space="preserve">very </w:t>
      </w:r>
      <w:r w:rsidRPr="00D20A28">
        <w:rPr>
          <w:lang w:val="en-US"/>
        </w:rPr>
        <w:t>severe overall symptoms</w:t>
      </w:r>
      <w:r>
        <w:rPr>
          <w:lang w:val="en-US"/>
        </w:rPr>
        <w:t xml:space="preserve">. </w:t>
      </w:r>
      <w:r w:rsidRPr="00D20A28">
        <w:rPr>
          <w:lang w:val="en-US"/>
        </w:rPr>
        <w:t>Because these values represent categories with some intrinsic classification, the scores obtained from each item were classified as ordinal variables.</w:t>
      </w:r>
      <w:r>
        <w:rPr>
          <w:lang w:val="en-US"/>
        </w:rPr>
        <w:t xml:space="preserve"> </w:t>
      </w:r>
      <w:r w:rsidRPr="009A042C">
        <w:rPr>
          <w:lang w:val="en-US"/>
        </w:rPr>
        <w:t xml:space="preserve">Therefore, it would be possible to carry out </w:t>
      </w:r>
      <w:r>
        <w:rPr>
          <w:lang w:val="en-US"/>
        </w:rPr>
        <w:t>its</w:t>
      </w:r>
      <w:r w:rsidRPr="009A042C">
        <w:rPr>
          <w:lang w:val="en-US"/>
        </w:rPr>
        <w:t xml:space="preserve"> analysis using non-parametric tests such as the Mann-Whitney</w:t>
      </w:r>
      <w:r>
        <w:rPr>
          <w:lang w:val="en-US"/>
        </w:rPr>
        <w:t xml:space="preserve"> test</w:t>
      </w:r>
      <w:r w:rsidRPr="009A042C">
        <w:rPr>
          <w:lang w:val="en-US"/>
        </w:rPr>
        <w:t xml:space="preserve">. Using this approach, it </w:t>
      </w:r>
      <w:r>
        <w:rPr>
          <w:lang w:val="en-US"/>
        </w:rPr>
        <w:t>would be</w:t>
      </w:r>
      <w:r w:rsidRPr="009A042C">
        <w:rPr>
          <w:lang w:val="en-US"/>
        </w:rPr>
        <w:t xml:space="preserve"> possible to find statistically significant differences between groups. However, we consider</w:t>
      </w:r>
      <w:r>
        <w:rPr>
          <w:lang w:val="en-US"/>
        </w:rPr>
        <w:t>ed</w:t>
      </w:r>
      <w:r w:rsidRPr="009A042C">
        <w:rPr>
          <w:lang w:val="en-US"/>
        </w:rPr>
        <w:t xml:space="preserve"> that this statistical significance </w:t>
      </w:r>
      <w:r>
        <w:rPr>
          <w:lang w:val="en-US"/>
        </w:rPr>
        <w:t>would</w:t>
      </w:r>
      <w:r w:rsidRPr="009A042C">
        <w:rPr>
          <w:lang w:val="en-US"/>
        </w:rPr>
        <w:t xml:space="preserve"> not really show the clinical significance</w:t>
      </w:r>
      <w:r>
        <w:rPr>
          <w:lang w:val="en-US"/>
        </w:rPr>
        <w:t xml:space="preserve">, </w:t>
      </w:r>
      <w:r w:rsidRPr="009A042C">
        <w:rPr>
          <w:lang w:val="en-US"/>
        </w:rPr>
        <w:t>since one group could present significant differences in some item, but could find themselves with clinically significant symptoms.</w:t>
      </w:r>
      <w:r>
        <w:rPr>
          <w:lang w:val="en-US"/>
        </w:rPr>
        <w:t xml:space="preserve"> </w:t>
      </w:r>
      <w:r w:rsidRPr="009A042C">
        <w:rPr>
          <w:lang w:val="en-US"/>
        </w:rPr>
        <w:t>Consequently, we decided to categorize the scores obtained into "</w:t>
      </w:r>
      <w:r w:rsidRPr="009A042C">
        <w:t xml:space="preserve"> </w:t>
      </w:r>
      <w:r w:rsidRPr="009A042C">
        <w:rPr>
          <w:lang w:val="en-US"/>
        </w:rPr>
        <w:t>clinically non-significant symptoms" and "</w:t>
      </w:r>
      <w:r w:rsidRPr="009A042C">
        <w:t xml:space="preserve"> </w:t>
      </w:r>
      <w:r w:rsidRPr="009A042C">
        <w:rPr>
          <w:lang w:val="en-US"/>
        </w:rPr>
        <w:t>clinically significant symptoms"</w:t>
      </w:r>
      <w:r>
        <w:rPr>
          <w:lang w:val="en-US"/>
        </w:rPr>
        <w:t>.</w:t>
      </w:r>
      <w:r w:rsidRPr="009A042C">
        <w:rPr>
          <w:lang w:val="en-US"/>
        </w:rPr>
        <w:t xml:space="preserve"> To do this, we classified all item</w:t>
      </w:r>
      <w:r>
        <w:rPr>
          <w:lang w:val="en-US"/>
        </w:rPr>
        <w:t>´</w:t>
      </w:r>
      <w:r w:rsidRPr="009A042C">
        <w:rPr>
          <w:lang w:val="en-US"/>
        </w:rPr>
        <w:t>s</w:t>
      </w:r>
      <w:r>
        <w:rPr>
          <w:lang w:val="en-US"/>
        </w:rPr>
        <w:t xml:space="preserve"> punctuations</w:t>
      </w:r>
      <w:r w:rsidRPr="009A042C">
        <w:rPr>
          <w:lang w:val="en-US"/>
        </w:rPr>
        <w:t xml:space="preserve"> </w:t>
      </w:r>
      <w:r>
        <w:rPr>
          <w:lang w:val="en-US"/>
        </w:rPr>
        <w:t xml:space="preserve">of </w:t>
      </w:r>
      <w:r w:rsidRPr="009A042C">
        <w:rPr>
          <w:lang w:val="en-US"/>
        </w:rPr>
        <w:t>0</w:t>
      </w:r>
      <w:r>
        <w:rPr>
          <w:lang w:val="en-US"/>
        </w:rPr>
        <w:t xml:space="preserve"> and</w:t>
      </w:r>
      <w:r w:rsidRPr="009A042C">
        <w:rPr>
          <w:lang w:val="en-US"/>
        </w:rPr>
        <w:t xml:space="preserve"> 1</w:t>
      </w:r>
      <w:r>
        <w:rPr>
          <w:lang w:val="en-US"/>
        </w:rPr>
        <w:t>,</w:t>
      </w:r>
      <w:r w:rsidRPr="009A042C">
        <w:rPr>
          <w:lang w:val="en-US"/>
        </w:rPr>
        <w:t xml:space="preserve"> as clinically non-significant symptoms, while scores from 2</w:t>
      </w:r>
      <w:r>
        <w:rPr>
          <w:lang w:val="en-US"/>
        </w:rPr>
        <w:t xml:space="preserve"> </w:t>
      </w:r>
      <w:r w:rsidRPr="009A042C">
        <w:rPr>
          <w:lang w:val="en-US"/>
        </w:rPr>
        <w:t>to 4,</w:t>
      </w:r>
      <w:r>
        <w:rPr>
          <w:lang w:val="en-US"/>
        </w:rPr>
        <w:t xml:space="preserve"> </w:t>
      </w:r>
      <w:r w:rsidRPr="009A042C">
        <w:rPr>
          <w:lang w:val="en-US"/>
        </w:rPr>
        <w:t xml:space="preserve">as clinically significant </w:t>
      </w:r>
      <w:r w:rsidRPr="00D77C7E">
        <w:rPr>
          <w:lang w:val="en-US"/>
        </w:rPr>
        <w:t>symptoms</w:t>
      </w:r>
      <w:bookmarkEnd w:id="0"/>
      <w:r w:rsidRPr="00D77C7E">
        <w:rPr>
          <w:lang w:val="en-US"/>
        </w:rPr>
        <w:t xml:space="preserve"> (Table </w:t>
      </w:r>
      <w:r w:rsidRPr="00D77C7E">
        <w:rPr>
          <w:lang w:val="en-US"/>
        </w:rPr>
        <w:t>S</w:t>
      </w:r>
      <w:r w:rsidRPr="00D77C7E">
        <w:rPr>
          <w:lang w:val="en-US"/>
        </w:rPr>
        <w:t>1).</w:t>
      </w:r>
    </w:p>
    <w:p w14:paraId="4DFD0A63" w14:textId="77777777" w:rsidR="00D77C7E" w:rsidRDefault="00D77C7E" w:rsidP="00D77C7E">
      <w:pPr>
        <w:jc w:val="both"/>
        <w:rPr>
          <w:lang w:val="en-US"/>
        </w:rPr>
      </w:pPr>
      <w:r w:rsidRPr="004B008F">
        <w:rPr>
          <w:lang w:val="en-US"/>
        </w:rPr>
        <w:t xml:space="preserve">Likewise, we categorized the vaginal pH, considering it "normal" when the values were 4 to 5 and "altered" when the value was </w:t>
      </w:r>
      <w:r>
        <w:rPr>
          <w:rFonts w:cstheme="minorHAnsi"/>
          <w:lang w:val="en-US"/>
        </w:rPr>
        <w:t>&gt;</w:t>
      </w:r>
      <w:r w:rsidRPr="004B008F">
        <w:rPr>
          <w:lang w:val="en-US"/>
        </w:rPr>
        <w:t>5.</w:t>
      </w:r>
      <w:r>
        <w:rPr>
          <w:lang w:val="en-US"/>
        </w:rPr>
        <w:t xml:space="preserve"> </w:t>
      </w:r>
      <w:r w:rsidRPr="004B008F">
        <w:rPr>
          <w:lang w:val="en-US"/>
        </w:rPr>
        <w:t>To evaluate the contraction of the pelvic floor muscles, the Modified Oxford Scale (MOS) was used</w:t>
      </w:r>
      <w:r>
        <w:rPr>
          <w:lang w:val="en-US"/>
        </w:rPr>
        <w:t xml:space="preserve">. This scale </w:t>
      </w:r>
      <w:r w:rsidRPr="004B008F">
        <w:rPr>
          <w:lang w:val="en-US"/>
        </w:rPr>
        <w:t>ranges from 0 to 5 where: 0 = no contraction; 1 = minor muscle 'flicker'; 2 = weak muscle contraction; 3 = moderate muscle contraction; 4 = good muscle contraction and 5 = strong muscle contraction.</w:t>
      </w:r>
      <w:r>
        <w:rPr>
          <w:lang w:val="en-US"/>
        </w:rPr>
        <w:t xml:space="preserve"> </w:t>
      </w:r>
      <w:r w:rsidRPr="004B008F">
        <w:rPr>
          <w:lang w:val="en-US"/>
        </w:rPr>
        <w:t>To convert this value into a dichotomous nominal variable, “</w:t>
      </w:r>
      <w:r>
        <w:rPr>
          <w:lang w:val="en-US"/>
        </w:rPr>
        <w:t>poor</w:t>
      </w:r>
      <w:r w:rsidRPr="004B008F">
        <w:rPr>
          <w:lang w:val="en-US"/>
        </w:rPr>
        <w:t xml:space="preserve"> pelvic floor contraction” was considered when the values ranged between 0 and 2 and “adequate pelvic floor contraction” when the values ranged between 3 and 5.</w:t>
      </w:r>
      <w:r>
        <w:rPr>
          <w:lang w:val="en-US"/>
        </w:rPr>
        <w:t xml:space="preserve"> </w:t>
      </w:r>
      <w:r w:rsidRPr="009F5976">
        <w:rPr>
          <w:lang w:val="en-US"/>
        </w:rPr>
        <w:t>Finally, Lugol staining in colposcopy helps us to indirectly evaluate the presence of glycogen in the intermediate cell layer, which was interpreted as trophism of the vaginal epithelium. It was assigned + when the uptake was very weak, ++ when it was weak, +++ when it was moderate and ++++ when it was strong</w:t>
      </w:r>
      <w:r>
        <w:rPr>
          <w:lang w:val="en-US"/>
        </w:rPr>
        <w:t xml:space="preserve">. We categorize this variable considering “trophism of vaginal epithelium” when +++ or ++++ were present and “atrophy of the vaginal epithelium” when </w:t>
      </w:r>
      <w:r>
        <w:rPr>
          <w:rFonts w:cstheme="minorHAnsi"/>
          <w:lang w:val="en-US"/>
        </w:rPr>
        <w:t xml:space="preserve">+ or </w:t>
      </w:r>
      <w:r>
        <w:rPr>
          <w:lang w:val="en-US"/>
        </w:rPr>
        <w:t>++ were present.</w:t>
      </w:r>
    </w:p>
    <w:p w14:paraId="7F845D0A" w14:textId="29D6EAF4" w:rsidR="00D77C7E" w:rsidRDefault="00D77C7E" w:rsidP="00D77C7E">
      <w:pPr>
        <w:jc w:val="both"/>
        <w:rPr>
          <w:lang w:val="en-US"/>
        </w:rPr>
      </w:pPr>
      <w:r w:rsidRPr="001938E5">
        <w:rPr>
          <w:lang w:val="en-US"/>
        </w:rPr>
        <w:t>In this way</w:t>
      </w:r>
      <w:r>
        <w:rPr>
          <w:lang w:val="en-US"/>
        </w:rPr>
        <w:t>,</w:t>
      </w:r>
      <w:r w:rsidRPr="001938E5">
        <w:rPr>
          <w:lang w:val="en-US"/>
        </w:rPr>
        <w:t xml:space="preserve"> we converted the ordinal variables into dichotomous nominal variables and were able to calculate</w:t>
      </w:r>
      <w:r w:rsidRPr="001938E5">
        <w:t xml:space="preserve"> </w:t>
      </w:r>
      <w:r w:rsidRPr="001938E5">
        <w:rPr>
          <w:lang w:val="en-US"/>
        </w:rPr>
        <w:t>ratio quantities, such as the relative risk</w:t>
      </w:r>
      <w:r>
        <w:rPr>
          <w:lang w:val="en-US"/>
        </w:rPr>
        <w:t xml:space="preserve"> (RR)</w:t>
      </w:r>
      <w:r w:rsidRPr="001938E5">
        <w:rPr>
          <w:lang w:val="en-US"/>
        </w:rPr>
        <w:t xml:space="preserve"> and odds ratio</w:t>
      </w:r>
      <w:r>
        <w:rPr>
          <w:lang w:val="en-US"/>
        </w:rPr>
        <w:t xml:space="preserve"> (OR)</w:t>
      </w:r>
      <w:r w:rsidRPr="001938E5">
        <w:rPr>
          <w:lang w:val="en-US"/>
        </w:rPr>
        <w:t xml:space="preserve">, which allowed to see the real </w:t>
      </w:r>
      <w:r w:rsidRPr="001938E5">
        <w:rPr>
          <w:lang w:val="en-US"/>
        </w:rPr>
        <w:lastRenderedPageBreak/>
        <w:t>clinical effect of PDRNs therapy on the primary clinical outcomes</w:t>
      </w:r>
      <w:r>
        <w:rPr>
          <w:lang w:val="en-US"/>
        </w:rPr>
        <w:t xml:space="preserve"> compared with the gold standard therapy with local </w:t>
      </w:r>
      <w:r w:rsidRPr="00D77C7E">
        <w:rPr>
          <w:lang w:val="en-US"/>
        </w:rPr>
        <w:t>estrogens (Fig</w:t>
      </w:r>
      <w:r w:rsidRPr="00D77C7E">
        <w:rPr>
          <w:lang w:val="en-US"/>
        </w:rPr>
        <w:t>ure</w:t>
      </w:r>
      <w:r w:rsidRPr="00D77C7E">
        <w:rPr>
          <w:lang w:val="en-US"/>
        </w:rPr>
        <w:t xml:space="preserve"> </w:t>
      </w:r>
      <w:r w:rsidRPr="00D77C7E">
        <w:rPr>
          <w:lang w:val="en-US"/>
        </w:rPr>
        <w:t>S</w:t>
      </w:r>
      <w:r w:rsidRPr="00D77C7E">
        <w:rPr>
          <w:lang w:val="en-US"/>
        </w:rPr>
        <w:t>1).</w:t>
      </w:r>
      <w:r w:rsidRPr="00D77C7E">
        <w:t xml:space="preserve"> </w:t>
      </w:r>
      <w:r w:rsidRPr="00D77C7E">
        <w:rPr>
          <w:lang w:val="en-US"/>
        </w:rPr>
        <w:t>The calculation of the RR and OR was performed at the beginning of the study and at 3 months of follow-</w:t>
      </w:r>
      <w:r>
        <w:rPr>
          <w:lang w:val="en-US"/>
        </w:rPr>
        <w:t>up after the treatment</w:t>
      </w:r>
      <w:r w:rsidRPr="00414DEB">
        <w:rPr>
          <w:lang w:val="en-US"/>
        </w:rPr>
        <w:t>.</w:t>
      </w:r>
      <w:r>
        <w:rPr>
          <w:lang w:val="en-US"/>
        </w:rPr>
        <w:t xml:space="preserve"> We computed RRs and ORs, with their respective confidence intervals (CI) using the data software package of PAST 3.0 and we constructed the Forest Plots using the </w:t>
      </w:r>
      <w:r w:rsidRPr="005E7B61">
        <w:rPr>
          <w:rFonts w:ascii="Arial" w:hAnsi="Arial" w:cs="Arial"/>
          <w:sz w:val="20"/>
          <w:szCs w:val="20"/>
        </w:rPr>
        <w:t>GraphPad Prism 8.4.3 software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13F24A1D" w14:textId="35006E21" w:rsidR="00D77C7E" w:rsidRDefault="00D77C7E" w:rsidP="00D77C7E">
      <w:pPr>
        <w:jc w:val="both"/>
        <w:rPr>
          <w:lang w:val="en-US"/>
        </w:rPr>
      </w:pPr>
      <w:r>
        <w:rPr>
          <w:lang w:val="en-US"/>
        </w:rPr>
        <w:t>RR</w:t>
      </w:r>
      <w:r w:rsidRPr="00145156">
        <w:rPr>
          <w:lang w:val="en-US"/>
        </w:rPr>
        <w:t xml:space="preserve"> </w:t>
      </w:r>
      <w:r>
        <w:rPr>
          <w:lang w:val="en-US"/>
        </w:rPr>
        <w:t>is used to calculate</w:t>
      </w:r>
      <w:r w:rsidRPr="00145156">
        <w:rPr>
          <w:lang w:val="en-US"/>
        </w:rPr>
        <w:t xml:space="preserve"> the</w:t>
      </w:r>
      <w:r>
        <w:rPr>
          <w:lang w:val="en-US"/>
        </w:rPr>
        <w:t xml:space="preserve"> </w:t>
      </w:r>
      <w:r w:rsidRPr="00145156">
        <w:rPr>
          <w:lang w:val="en-US"/>
        </w:rPr>
        <w:t>probability</w:t>
      </w:r>
      <w:r>
        <w:rPr>
          <w:lang w:val="en-US"/>
        </w:rPr>
        <w:t xml:space="preserve"> </w:t>
      </w:r>
      <w:r w:rsidRPr="00145156">
        <w:rPr>
          <w:lang w:val="en-US"/>
        </w:rPr>
        <w:t xml:space="preserve">of occurrence of an </w:t>
      </w:r>
      <w:r>
        <w:rPr>
          <w:lang w:val="en-US"/>
        </w:rPr>
        <w:t xml:space="preserve">adverse </w:t>
      </w:r>
      <w:r w:rsidRPr="00145156">
        <w:rPr>
          <w:lang w:val="en-US"/>
        </w:rPr>
        <w:t>event</w:t>
      </w:r>
      <w:r>
        <w:rPr>
          <w:lang w:val="en-US"/>
        </w:rPr>
        <w:t xml:space="preserve"> and OR is used to know</w:t>
      </w:r>
      <w:r w:rsidRPr="00145156">
        <w:rPr>
          <w:lang w:val="en-US"/>
        </w:rPr>
        <w:t xml:space="preserve"> the</w:t>
      </w:r>
      <w:r>
        <w:rPr>
          <w:lang w:val="en-US"/>
        </w:rPr>
        <w:t xml:space="preserve"> </w:t>
      </w:r>
      <w:r w:rsidRPr="00145156">
        <w:rPr>
          <w:lang w:val="en-US"/>
        </w:rPr>
        <w:t>probability</w:t>
      </w:r>
      <w:r>
        <w:rPr>
          <w:lang w:val="en-US"/>
        </w:rPr>
        <w:t xml:space="preserve"> </w:t>
      </w:r>
      <w:r w:rsidRPr="00145156">
        <w:rPr>
          <w:lang w:val="en-US"/>
        </w:rPr>
        <w:t>of the event occurring divided by the probability of the event</w:t>
      </w:r>
      <w:r>
        <w:rPr>
          <w:lang w:val="en-US"/>
        </w:rPr>
        <w:t xml:space="preserve"> </w:t>
      </w:r>
      <w:r w:rsidRPr="00145156">
        <w:rPr>
          <w:lang w:val="en-US"/>
        </w:rPr>
        <w:t>not occurring.</w:t>
      </w:r>
      <w:r>
        <w:rPr>
          <w:lang w:val="en-US"/>
        </w:rPr>
        <w:t xml:space="preserve"> Despite some authors claim that </w:t>
      </w:r>
      <w:r w:rsidRPr="00145156">
        <w:rPr>
          <w:lang w:val="en-US"/>
        </w:rPr>
        <w:t>OR and RR are mathematically not equivalent from the</w:t>
      </w:r>
      <w:r>
        <w:rPr>
          <w:lang w:val="en-US"/>
        </w:rPr>
        <w:t xml:space="preserve"> </w:t>
      </w:r>
      <w:r w:rsidRPr="00145156">
        <w:rPr>
          <w:lang w:val="en-US"/>
        </w:rPr>
        <w:t>point of statistical interpretation</w:t>
      </w:r>
      <w:r>
        <w:rPr>
          <w:lang w:val="en-US"/>
        </w:rPr>
        <w:t xml:space="preserve"> (because </w:t>
      </w:r>
      <w:r w:rsidRPr="00145156">
        <w:rPr>
          <w:lang w:val="en-US"/>
        </w:rPr>
        <w:t xml:space="preserve">OR </w:t>
      </w:r>
      <w:r>
        <w:rPr>
          <w:lang w:val="en-US"/>
        </w:rPr>
        <w:t xml:space="preserve">can </w:t>
      </w:r>
      <w:r w:rsidRPr="00145156">
        <w:rPr>
          <w:lang w:val="en-US"/>
        </w:rPr>
        <w:t>exaggerates the RR)</w:t>
      </w:r>
      <w:r>
        <w:rPr>
          <w:lang w:val="en-US"/>
        </w:rPr>
        <w:t xml:space="preserve">, </w:t>
      </w:r>
      <w:r w:rsidRPr="00145156">
        <w:rPr>
          <w:lang w:val="en-US"/>
        </w:rPr>
        <w:t>this does not</w:t>
      </w:r>
      <w:r>
        <w:rPr>
          <w:lang w:val="en-US"/>
        </w:rPr>
        <w:t xml:space="preserve"> </w:t>
      </w:r>
      <w:r w:rsidRPr="00145156">
        <w:rPr>
          <w:lang w:val="en-US"/>
        </w:rPr>
        <w:t>affect the qualitative inference of the results</w:t>
      </w:r>
      <w:r>
        <w:rPr>
          <w:lang w:val="en-US"/>
        </w:rPr>
        <w:t xml:space="preserve">. In support of this, one study </w:t>
      </w:r>
      <w:r w:rsidRPr="001938E5">
        <w:rPr>
          <w:lang w:val="en-US"/>
        </w:rPr>
        <w:t>reviewed 580 RCTs published in the New England Journal of Medicine between January 2004 and June 2014</w:t>
      </w:r>
      <w:r>
        <w:rPr>
          <w:lang w:val="en-US"/>
        </w:rPr>
        <w:t xml:space="preserve">. In this study, </w:t>
      </w:r>
      <w:r w:rsidRPr="001938E5">
        <w:rPr>
          <w:lang w:val="en-US"/>
        </w:rPr>
        <w:t xml:space="preserve">107 RCTs </w:t>
      </w:r>
      <w:r>
        <w:rPr>
          <w:lang w:val="en-US"/>
        </w:rPr>
        <w:t>were</w:t>
      </w:r>
      <w:r w:rsidRPr="001938E5">
        <w:rPr>
          <w:lang w:val="en-US"/>
        </w:rPr>
        <w:t xml:space="preserve"> identified </w:t>
      </w:r>
      <w:r>
        <w:rPr>
          <w:lang w:val="en-US"/>
        </w:rPr>
        <w:t>reporting</w:t>
      </w:r>
      <w:r w:rsidRPr="001938E5">
        <w:rPr>
          <w:lang w:val="en-US"/>
        </w:rPr>
        <w:t xml:space="preserve"> unadjusted RR (n = 76) or </w:t>
      </w:r>
      <w:proofErr w:type="spellStart"/>
      <w:r w:rsidRPr="001938E5">
        <w:rPr>
          <w:lang w:val="en-US"/>
        </w:rPr>
        <w:t>OR</w:t>
      </w:r>
      <w:proofErr w:type="spellEnd"/>
      <w:r w:rsidRPr="001938E5">
        <w:rPr>
          <w:lang w:val="en-US"/>
        </w:rPr>
        <w:t xml:space="preserve"> (n = 31) for the primary outcome. For </w:t>
      </w:r>
      <w:r>
        <w:rPr>
          <w:lang w:val="en-US"/>
        </w:rPr>
        <w:t xml:space="preserve">all those </w:t>
      </w:r>
      <w:r w:rsidRPr="001938E5">
        <w:rPr>
          <w:lang w:val="en-US"/>
        </w:rPr>
        <w:t xml:space="preserve">studies reporting ORs </w:t>
      </w:r>
      <w:r>
        <w:rPr>
          <w:lang w:val="en-US"/>
        </w:rPr>
        <w:t xml:space="preserve">the </w:t>
      </w:r>
      <w:r w:rsidRPr="001938E5">
        <w:rPr>
          <w:lang w:val="en-US"/>
        </w:rPr>
        <w:t>RRs</w:t>
      </w:r>
      <w:r>
        <w:rPr>
          <w:lang w:val="en-US"/>
        </w:rPr>
        <w:t xml:space="preserve"> were calculated </w:t>
      </w:r>
      <w:r w:rsidRPr="001938E5">
        <w:rPr>
          <w:lang w:val="en-US"/>
        </w:rPr>
        <w:t>and vice versa</w:t>
      </w:r>
      <w:r>
        <w:rPr>
          <w:lang w:val="en-US"/>
        </w:rPr>
        <w:t>.</w:t>
      </w:r>
      <w:r w:rsidRPr="001938E5">
        <w:rPr>
          <w:lang w:val="en-US"/>
        </w:rPr>
        <w:t xml:space="preserve"> The percentage of divergence between the reported and calculated effect size estimates was analyzed</w:t>
      </w:r>
      <w:r>
        <w:rPr>
          <w:lang w:val="en-US"/>
        </w:rPr>
        <w:t>, finding that n</w:t>
      </w:r>
      <w:r w:rsidRPr="001938E5">
        <w:rPr>
          <w:lang w:val="en-US"/>
        </w:rPr>
        <w:t>one of the RCTs showed a statistically significant result becoming insignificant or vice versa depending on the effect size estimate</w:t>
      </w:r>
      <w:r w:rsidRPr="00D77C7E">
        <w:rPr>
          <w:lang w:val="en-US"/>
        </w:rPr>
        <w:t>.</w:t>
      </w:r>
      <w:r w:rsidRPr="008D3576">
        <w:t xml:space="preserve"> </w:t>
      </w:r>
      <w:r w:rsidRPr="008D3576">
        <w:rPr>
          <w:lang w:val="en-US"/>
        </w:rPr>
        <w:t>With this argument we suggested that it was better to calculate both RRs and ORs so that clinicians could take both parameters to interpret the effect of therapies.</w:t>
      </w:r>
    </w:p>
    <w:p w14:paraId="5111E937" w14:textId="77777777" w:rsidR="00D77C7E" w:rsidRDefault="00D77C7E" w:rsidP="00D77C7E">
      <w:pPr>
        <w:jc w:val="both"/>
        <w:rPr>
          <w:lang w:val="en-US"/>
        </w:rPr>
      </w:pPr>
    </w:p>
    <w:p w14:paraId="372CC30A" w14:textId="77777777" w:rsidR="00D77C7E" w:rsidRDefault="00D77C7E" w:rsidP="00D77C7E">
      <w:pPr>
        <w:jc w:val="both"/>
        <w:rPr>
          <w:lang w:val="en-US"/>
        </w:rPr>
      </w:pPr>
    </w:p>
    <w:p w14:paraId="4B432B3A" w14:textId="77777777" w:rsidR="00D77C7E" w:rsidRDefault="00D77C7E" w:rsidP="00D77C7E">
      <w:pPr>
        <w:jc w:val="both"/>
        <w:rPr>
          <w:lang w:val="en-US"/>
        </w:rPr>
      </w:pPr>
    </w:p>
    <w:p w14:paraId="6ADE2CAE" w14:textId="77777777" w:rsidR="00D77C7E" w:rsidRDefault="00D77C7E" w:rsidP="00D77C7E">
      <w:pPr>
        <w:jc w:val="both"/>
        <w:rPr>
          <w:lang w:val="en-US"/>
        </w:rPr>
      </w:pPr>
    </w:p>
    <w:p w14:paraId="6864FC87" w14:textId="77777777" w:rsidR="00D77C7E" w:rsidRDefault="00D77C7E" w:rsidP="00D77C7E">
      <w:pPr>
        <w:jc w:val="both"/>
        <w:rPr>
          <w:lang w:val="en-US"/>
        </w:rPr>
      </w:pPr>
    </w:p>
    <w:p w14:paraId="0538C7D9" w14:textId="77777777" w:rsidR="00D77C7E" w:rsidRDefault="00D77C7E" w:rsidP="00D77C7E">
      <w:pPr>
        <w:jc w:val="both"/>
        <w:rPr>
          <w:lang w:val="en-US"/>
        </w:rPr>
      </w:pPr>
    </w:p>
    <w:p w14:paraId="6E578C85" w14:textId="77777777" w:rsidR="00D77C7E" w:rsidRDefault="00D77C7E" w:rsidP="00D77C7E">
      <w:pPr>
        <w:jc w:val="both"/>
        <w:rPr>
          <w:lang w:val="en-US"/>
        </w:rPr>
      </w:pPr>
    </w:p>
    <w:p w14:paraId="2FB6CF77" w14:textId="77777777" w:rsidR="00D77C7E" w:rsidRDefault="00D77C7E" w:rsidP="00D77C7E">
      <w:pPr>
        <w:jc w:val="both"/>
        <w:rPr>
          <w:lang w:val="en-US"/>
        </w:rPr>
      </w:pPr>
      <w:r w:rsidRPr="002B4B44">
        <w:rPr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4FBC2028" wp14:editId="7F2A7EA9">
            <wp:simplePos x="0" y="0"/>
            <wp:positionH relativeFrom="margin">
              <wp:align>center</wp:align>
            </wp:positionH>
            <wp:positionV relativeFrom="paragraph">
              <wp:posOffset>120269</wp:posOffset>
            </wp:positionV>
            <wp:extent cx="4123690" cy="7270115"/>
            <wp:effectExtent l="0" t="0" r="0" b="6985"/>
            <wp:wrapTopAndBottom/>
            <wp:docPr id="30471143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690" cy="727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41D988" w14:textId="77777777" w:rsidR="00D77C7E" w:rsidRPr="00F57B0C" w:rsidRDefault="00D77C7E" w:rsidP="00D77C7E">
      <w:pPr>
        <w:jc w:val="both"/>
        <w:rPr>
          <w:b/>
          <w:bCs/>
          <w:lang w:val="en-US"/>
        </w:rPr>
      </w:pPr>
      <w:r w:rsidRPr="00F57B0C">
        <w:rPr>
          <w:b/>
          <w:bCs/>
          <w:lang w:val="en-US"/>
        </w:rPr>
        <w:t xml:space="preserve">Table 1. </w:t>
      </w:r>
      <w:r>
        <w:rPr>
          <w:b/>
          <w:bCs/>
          <w:lang w:val="en-US"/>
        </w:rPr>
        <w:t>Example of the c</w:t>
      </w:r>
      <w:r w:rsidRPr="00F57B0C">
        <w:rPr>
          <w:b/>
          <w:bCs/>
          <w:lang w:val="en-US"/>
        </w:rPr>
        <w:t xml:space="preserve">ategorization of the </w:t>
      </w:r>
      <w:r>
        <w:rPr>
          <w:b/>
          <w:bCs/>
          <w:lang w:val="en-US"/>
        </w:rPr>
        <w:t xml:space="preserve">MRS item 9 </w:t>
      </w:r>
      <w:r w:rsidRPr="00F57B0C">
        <w:rPr>
          <w:b/>
          <w:bCs/>
          <w:lang w:val="en-US"/>
        </w:rPr>
        <w:t>scores into clinically non-significant symptoms and clinically significant symptoms</w:t>
      </w:r>
      <w:r>
        <w:rPr>
          <w:b/>
          <w:bCs/>
          <w:lang w:val="en-US"/>
        </w:rPr>
        <w:t xml:space="preserve"> at baseline and after 3 months of follow-up.</w:t>
      </w:r>
    </w:p>
    <w:p w14:paraId="6042ECF4" w14:textId="77777777" w:rsidR="00D77C7E" w:rsidRDefault="00D77C7E" w:rsidP="00D77C7E">
      <w:pPr>
        <w:rPr>
          <w:lang w:val="en-US"/>
        </w:rPr>
      </w:pPr>
    </w:p>
    <w:p w14:paraId="02892F7A" w14:textId="4E802CB0" w:rsidR="00D77C7E" w:rsidRDefault="00D77C7E" w:rsidP="00D77C7E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051112B8" wp14:editId="732E33A5">
                <wp:simplePos x="0" y="0"/>
                <wp:positionH relativeFrom="margin">
                  <wp:align>center</wp:align>
                </wp:positionH>
                <wp:positionV relativeFrom="paragraph">
                  <wp:posOffset>1134110</wp:posOffset>
                </wp:positionV>
                <wp:extent cx="0" cy="475615"/>
                <wp:effectExtent l="57150" t="0" r="38100" b="19685"/>
                <wp:wrapNone/>
                <wp:docPr id="391134508" name="Conector recto de flech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7561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EE31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7" o:spid="_x0000_s1026" type="#_x0000_t32" style="position:absolute;margin-left:0;margin-top:89.3pt;width:0;height:37.45pt;z-index:251664384;visibility:visible;mso-wrap-style:square;mso-width-percent:0;mso-height-percent:0;mso-wrap-distance-left:3.17497mm;mso-wrap-distance-top:0;mso-wrap-distance-right:3.17497mm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" strokecolor="black [3200]" strokeweight="2.2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Pr="002B4B44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F68DE3B" wp14:editId="35224C09">
            <wp:simplePos x="0" y="0"/>
            <wp:positionH relativeFrom="margin">
              <wp:align>center</wp:align>
            </wp:positionH>
            <wp:positionV relativeFrom="paragraph">
              <wp:posOffset>381</wp:posOffset>
            </wp:positionV>
            <wp:extent cx="4803775" cy="1019810"/>
            <wp:effectExtent l="0" t="0" r="0" b="8890"/>
            <wp:wrapTopAndBottom/>
            <wp:docPr id="289866866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EEFED6" w14:textId="24E402AC" w:rsidR="00D77C7E" w:rsidRDefault="00D77C7E" w:rsidP="00D77C7E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65408" behindDoc="0" locked="0" layoutInCell="1" allowOverlap="1" wp14:anchorId="392A64E0" wp14:editId="1B4799CD">
                <wp:simplePos x="0" y="0"/>
                <wp:positionH relativeFrom="column">
                  <wp:posOffset>2972434</wp:posOffset>
                </wp:positionH>
                <wp:positionV relativeFrom="paragraph">
                  <wp:posOffset>2806065</wp:posOffset>
                </wp:positionV>
                <wp:extent cx="0" cy="474980"/>
                <wp:effectExtent l="57150" t="0" r="38100" b="20320"/>
                <wp:wrapNone/>
                <wp:docPr id="584667807" name="Conector recto de flech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7498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A54BD" id="Conector recto de flecha 6" o:spid="_x0000_s1026" type="#_x0000_t32" style="position:absolute;margin-left:234.05pt;margin-top:220.95pt;width:0;height:37.4pt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" strokecolor="black [3200]" strokeweight="2.25pt">
                <v:stroke endarrow="block" joinstyle="miter"/>
                <o:lock v:ext="edit" shapetype="f"/>
              </v:shape>
            </w:pict>
          </mc:Fallback>
        </mc:AlternateContent>
      </w:r>
      <w:r w:rsidRPr="00F244BC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7C02A1A0" wp14:editId="0BFF675F">
            <wp:simplePos x="0" y="0"/>
            <wp:positionH relativeFrom="margin">
              <wp:align>center</wp:align>
            </wp:positionH>
            <wp:positionV relativeFrom="paragraph">
              <wp:posOffset>3302381</wp:posOffset>
            </wp:positionV>
            <wp:extent cx="4148455" cy="924560"/>
            <wp:effectExtent l="0" t="0" r="0" b="0"/>
            <wp:wrapTopAndBottom/>
            <wp:docPr id="568832865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455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4B44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602D5EE2" wp14:editId="479DE6DB">
            <wp:simplePos x="0" y="0"/>
            <wp:positionH relativeFrom="margin">
              <wp:align>center</wp:align>
            </wp:positionH>
            <wp:positionV relativeFrom="paragraph">
              <wp:posOffset>1898650</wp:posOffset>
            </wp:positionV>
            <wp:extent cx="4809490" cy="821055"/>
            <wp:effectExtent l="0" t="0" r="0" b="0"/>
            <wp:wrapTopAndBottom/>
            <wp:docPr id="112600655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490" cy="82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44BC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0FAE48D6" wp14:editId="2C2CF516">
            <wp:simplePos x="0" y="0"/>
            <wp:positionH relativeFrom="margin">
              <wp:align>center</wp:align>
            </wp:positionH>
            <wp:positionV relativeFrom="paragraph">
              <wp:posOffset>291084</wp:posOffset>
            </wp:positionV>
            <wp:extent cx="4180840" cy="703580"/>
            <wp:effectExtent l="0" t="0" r="0" b="0"/>
            <wp:wrapTopAndBottom/>
            <wp:docPr id="88853420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84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4B44">
        <w:rPr>
          <w:rFonts w:ascii="Arial" w:hAnsi="Arial" w:cs="Arial"/>
        </w:rPr>
        <w:t xml:space="preserve"> </w:t>
      </w:r>
    </w:p>
    <w:p w14:paraId="62B33554" w14:textId="77777777" w:rsidR="00D77C7E" w:rsidRPr="00F57B0C" w:rsidRDefault="00D77C7E" w:rsidP="00D77C7E">
      <w:pPr>
        <w:rPr>
          <w:rFonts w:ascii="Arial" w:hAnsi="Arial" w:cs="Arial"/>
        </w:rPr>
      </w:pPr>
    </w:p>
    <w:p w14:paraId="1011C357" w14:textId="77777777" w:rsidR="00D77C7E" w:rsidRPr="00F57B0C" w:rsidRDefault="00D77C7E" w:rsidP="00D77C7E">
      <w:pPr>
        <w:rPr>
          <w:rFonts w:ascii="Arial" w:hAnsi="Arial" w:cs="Arial"/>
        </w:rPr>
      </w:pPr>
    </w:p>
    <w:p w14:paraId="147FA2B2" w14:textId="77777777" w:rsidR="00D77C7E" w:rsidRPr="00F57B0C" w:rsidRDefault="00D77C7E" w:rsidP="00D77C7E">
      <w:pPr>
        <w:rPr>
          <w:rFonts w:ascii="Arial" w:hAnsi="Arial" w:cs="Arial"/>
        </w:rPr>
      </w:pPr>
    </w:p>
    <w:p w14:paraId="7F914214" w14:textId="77777777" w:rsidR="00D77C7E" w:rsidRPr="00F57B0C" w:rsidRDefault="00D77C7E" w:rsidP="00D77C7E">
      <w:pPr>
        <w:rPr>
          <w:rFonts w:ascii="Arial" w:hAnsi="Arial" w:cs="Arial"/>
        </w:rPr>
      </w:pPr>
    </w:p>
    <w:p w14:paraId="02A0FB0C" w14:textId="77777777" w:rsidR="00D77C7E" w:rsidRPr="00F57B0C" w:rsidRDefault="00D77C7E" w:rsidP="00D77C7E">
      <w:pPr>
        <w:rPr>
          <w:rFonts w:ascii="Arial" w:hAnsi="Arial" w:cs="Arial"/>
        </w:rPr>
      </w:pPr>
    </w:p>
    <w:p w14:paraId="74CB9F8C" w14:textId="77777777" w:rsidR="00D77C7E" w:rsidRPr="00F57B0C" w:rsidRDefault="00D77C7E" w:rsidP="00D77C7E">
      <w:pPr>
        <w:rPr>
          <w:rFonts w:ascii="Arial" w:hAnsi="Arial" w:cs="Arial"/>
        </w:rPr>
      </w:pPr>
    </w:p>
    <w:p w14:paraId="42B4B3CD" w14:textId="77777777" w:rsidR="00D77C7E" w:rsidRPr="00F57B0C" w:rsidRDefault="00D77C7E" w:rsidP="00D77C7E">
      <w:pPr>
        <w:rPr>
          <w:rFonts w:ascii="Arial" w:hAnsi="Arial" w:cs="Arial"/>
        </w:rPr>
      </w:pPr>
    </w:p>
    <w:p w14:paraId="29628648" w14:textId="77777777" w:rsidR="00D77C7E" w:rsidRPr="00F57B0C" w:rsidRDefault="00D77C7E" w:rsidP="00D77C7E">
      <w:pPr>
        <w:rPr>
          <w:rFonts w:cstheme="minorHAnsi"/>
        </w:rPr>
      </w:pPr>
    </w:p>
    <w:p w14:paraId="43C64495" w14:textId="6AD1A656" w:rsidR="00D77C7E" w:rsidRPr="00F57B0C" w:rsidRDefault="00D77C7E" w:rsidP="00D77C7E">
      <w:pPr>
        <w:rPr>
          <w:rFonts w:cstheme="minorHAnsi"/>
          <w:b/>
          <w:bCs/>
        </w:rPr>
      </w:pPr>
      <w:r w:rsidRPr="00F57B0C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S</w:t>
      </w:r>
      <w:r w:rsidRPr="00F57B0C">
        <w:rPr>
          <w:rFonts w:cstheme="minorHAnsi"/>
          <w:b/>
          <w:bCs/>
        </w:rPr>
        <w:t>1. C</w:t>
      </w:r>
      <w:r w:rsidRPr="00F57B0C">
        <w:rPr>
          <w:rFonts w:cstheme="minorHAnsi"/>
          <w:b/>
          <w:bCs/>
          <w:lang w:val="en-US"/>
        </w:rPr>
        <w:t>onverted ordinal variables into dichotomous nominal variables enable the calculation</w:t>
      </w:r>
      <w:r w:rsidRPr="00F57B0C">
        <w:rPr>
          <w:rFonts w:cstheme="minorHAnsi"/>
          <w:b/>
          <w:bCs/>
        </w:rPr>
        <w:t xml:space="preserve"> </w:t>
      </w:r>
      <w:r w:rsidRPr="00F57B0C">
        <w:rPr>
          <w:rFonts w:cstheme="minorHAnsi"/>
          <w:b/>
          <w:bCs/>
          <w:lang w:val="en-US"/>
        </w:rPr>
        <w:t>of the relative risk (RR) and odds ratio (OR).</w:t>
      </w:r>
    </w:p>
    <w:p w14:paraId="2841EC76" w14:textId="77777777" w:rsidR="00D77C7E" w:rsidRPr="00F57B0C" w:rsidRDefault="00D77C7E" w:rsidP="00D77C7E">
      <w:pPr>
        <w:rPr>
          <w:rFonts w:ascii="Arial" w:hAnsi="Arial" w:cs="Arial"/>
        </w:rPr>
      </w:pPr>
    </w:p>
    <w:p w14:paraId="041926AA" w14:textId="77777777" w:rsidR="00D77C7E" w:rsidRDefault="00D77C7E" w:rsidP="00D77C7E">
      <w:pPr>
        <w:rPr>
          <w:rFonts w:ascii="Arial" w:hAnsi="Arial" w:cs="Arial"/>
        </w:rPr>
      </w:pPr>
    </w:p>
    <w:p w14:paraId="53ECF949" w14:textId="77777777" w:rsidR="00D77C7E" w:rsidRDefault="00D77C7E" w:rsidP="00D77C7E">
      <w:pPr>
        <w:rPr>
          <w:rFonts w:ascii="Arial" w:hAnsi="Arial" w:cs="Arial"/>
        </w:rPr>
      </w:pPr>
    </w:p>
    <w:p w14:paraId="452441D5" w14:textId="77777777" w:rsidR="00D77C7E" w:rsidRDefault="00D77C7E" w:rsidP="00D77C7E">
      <w:pPr>
        <w:rPr>
          <w:rFonts w:ascii="Arial" w:hAnsi="Arial" w:cs="Arial"/>
        </w:rPr>
      </w:pPr>
    </w:p>
    <w:p w14:paraId="1AFE59D4" w14:textId="2608A1C5" w:rsidR="00D77C7E" w:rsidRPr="00F57B0C" w:rsidRDefault="00D77C7E" w:rsidP="00D77C7E">
      <w:pPr>
        <w:rPr>
          <w:rFonts w:ascii="Arial" w:hAnsi="Arial" w:cs="Aria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06A0B3" wp14:editId="28DF9FF7">
                <wp:simplePos x="0" y="0"/>
                <wp:positionH relativeFrom="margin">
                  <wp:align>center</wp:align>
                </wp:positionH>
                <wp:positionV relativeFrom="paragraph">
                  <wp:posOffset>2248535</wp:posOffset>
                </wp:positionV>
                <wp:extent cx="227965" cy="347345"/>
                <wp:effectExtent l="19050" t="0" r="635" b="14605"/>
                <wp:wrapNone/>
                <wp:docPr id="2012713222" name="Flecha: hacia abaj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965" cy="34734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1BB75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5" o:spid="_x0000_s1026" type="#_x0000_t67" style="position:absolute;margin-left:0;margin-top:177.05pt;width:17.95pt;height:27.3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" adj="14512" fillcolor="#4472c4 [3204]" strokecolor="#09101d [484]" strokeweight="1pt">
                <v:path arrowok="t"/>
                <w10:wrap anchorx="margin"/>
              </v:shape>
            </w:pict>
          </mc:Fallback>
        </mc:AlternateContent>
      </w:r>
      <w:r w:rsidRPr="00F73AE8">
        <w:rPr>
          <w:rFonts w:ascii="Arial" w:hAnsi="Arial" w:cs="Arial"/>
          <w:noProof/>
        </w:rPr>
        <w:drawing>
          <wp:anchor distT="0" distB="0" distL="114300" distR="114300" simplePos="0" relativeHeight="251667456" behindDoc="0" locked="0" layoutInCell="1" allowOverlap="1" wp14:anchorId="4BD682FC" wp14:editId="7F6BD73C">
            <wp:simplePos x="0" y="0"/>
            <wp:positionH relativeFrom="margin">
              <wp:align>center</wp:align>
            </wp:positionH>
            <wp:positionV relativeFrom="paragraph">
              <wp:posOffset>381</wp:posOffset>
            </wp:positionV>
            <wp:extent cx="4709160" cy="2205990"/>
            <wp:effectExtent l="0" t="0" r="0" b="3810"/>
            <wp:wrapTopAndBottom/>
            <wp:docPr id="3208330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833039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160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C8DE80" w14:textId="2012DF64" w:rsidR="00D77C7E" w:rsidRPr="00F57B0C" w:rsidRDefault="00D77C7E" w:rsidP="00D77C7E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953DBE" wp14:editId="6B3309FB">
                <wp:simplePos x="0" y="0"/>
                <wp:positionH relativeFrom="column">
                  <wp:posOffset>386715</wp:posOffset>
                </wp:positionH>
                <wp:positionV relativeFrom="paragraph">
                  <wp:posOffset>396240</wp:posOffset>
                </wp:positionV>
                <wp:extent cx="264160" cy="248920"/>
                <wp:effectExtent l="0" t="0" r="0" b="0"/>
                <wp:wrapNone/>
                <wp:docPr id="173164076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160" cy="248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44143" w14:textId="77777777" w:rsidR="00D77C7E" w:rsidRPr="004B4BE8" w:rsidRDefault="00D77C7E" w:rsidP="00D77C7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4B4BE8"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  <w:t>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53DBE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30.45pt;margin-top:31.2pt;width:20.8pt;height:19.6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" filled="f" stroked="f" strokeweight=".5pt">
                <v:textbox>
                  <w:txbxContent>
                    <w:p w14:paraId="67444143" w14:textId="77777777" w:rsidR="00D77C7E" w:rsidRPr="004B4BE8" w:rsidRDefault="00D77C7E" w:rsidP="00D77C7E">
                      <w:pPr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</w:pPr>
                      <w:r w:rsidRPr="004B4BE8"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  <w:t>CI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6CCF43" wp14:editId="1C6A854B">
                <wp:simplePos x="0" y="0"/>
                <wp:positionH relativeFrom="column">
                  <wp:posOffset>373380</wp:posOffset>
                </wp:positionH>
                <wp:positionV relativeFrom="paragraph">
                  <wp:posOffset>487045</wp:posOffset>
                </wp:positionV>
                <wp:extent cx="309245" cy="249555"/>
                <wp:effectExtent l="0" t="0" r="0" b="0"/>
                <wp:wrapNone/>
                <wp:docPr id="94178091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9245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98F0C7" w14:textId="77777777" w:rsidR="00D77C7E" w:rsidRPr="004B4BE8" w:rsidRDefault="00D77C7E" w:rsidP="00D77C7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4B4BE8"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  <w:t>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CCF43" id="Cuadro de texto 3" o:spid="_x0000_s1027" type="#_x0000_t202" style="position:absolute;margin-left:29.4pt;margin-top:38.35pt;width:24.35pt;height:19.65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" filled="f" stroked="f" strokeweight=".5pt">
                <v:textbox>
                  <w:txbxContent>
                    <w:p w14:paraId="5598F0C7" w14:textId="77777777" w:rsidR="00D77C7E" w:rsidRPr="004B4BE8" w:rsidRDefault="00D77C7E" w:rsidP="00D77C7E">
                      <w:pPr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</w:pPr>
                      <w:r w:rsidRPr="004B4BE8"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  <w:t>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B1FC4F" wp14:editId="65630366">
                <wp:simplePos x="0" y="0"/>
                <wp:positionH relativeFrom="column">
                  <wp:posOffset>387350</wp:posOffset>
                </wp:positionH>
                <wp:positionV relativeFrom="paragraph">
                  <wp:posOffset>575945</wp:posOffset>
                </wp:positionV>
                <wp:extent cx="264160" cy="249555"/>
                <wp:effectExtent l="0" t="0" r="0" b="0"/>
                <wp:wrapNone/>
                <wp:docPr id="11408151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160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3309ED" w14:textId="77777777" w:rsidR="00D77C7E" w:rsidRPr="004B4BE8" w:rsidRDefault="00D77C7E" w:rsidP="00D77C7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4B4BE8"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  <w:t>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B1FC4F" id="Cuadro de texto 2" o:spid="_x0000_s1028" type="#_x0000_t202" style="position:absolute;margin-left:30.5pt;margin-top:45.35pt;width:20.8pt;height:19.6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" filled="f" stroked="f" strokeweight=".5pt">
                <v:textbox>
                  <w:txbxContent>
                    <w:p w14:paraId="013309ED" w14:textId="77777777" w:rsidR="00D77C7E" w:rsidRPr="004B4BE8" w:rsidRDefault="00D77C7E" w:rsidP="00D77C7E">
                      <w:pPr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</w:pPr>
                      <w:r w:rsidRPr="004B4BE8"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  <w:t>CI</w:t>
                      </w:r>
                    </w:p>
                  </w:txbxContent>
                </v:textbox>
              </v:shape>
            </w:pict>
          </mc:Fallback>
        </mc:AlternateContent>
      </w:r>
      <w:r w:rsidRPr="004B4BE8">
        <w:rPr>
          <w:rFonts w:ascii="Arial" w:hAnsi="Arial" w:cs="Arial"/>
          <w:noProof/>
        </w:rPr>
        <w:drawing>
          <wp:anchor distT="0" distB="0" distL="114300" distR="114300" simplePos="0" relativeHeight="251668480" behindDoc="0" locked="0" layoutInCell="1" allowOverlap="1" wp14:anchorId="0BA10BC2" wp14:editId="3C4CD5F6">
            <wp:simplePos x="0" y="0"/>
            <wp:positionH relativeFrom="margin">
              <wp:align>right</wp:align>
            </wp:positionH>
            <wp:positionV relativeFrom="paragraph">
              <wp:posOffset>213614</wp:posOffset>
            </wp:positionV>
            <wp:extent cx="5943600" cy="513715"/>
            <wp:effectExtent l="0" t="0" r="0" b="635"/>
            <wp:wrapTopAndBottom/>
            <wp:docPr id="18097677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76778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0CAF16" w14:textId="54279546" w:rsidR="00D77C7E" w:rsidRPr="00F57B0C" w:rsidRDefault="00D77C7E" w:rsidP="00D77C7E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0201A4" wp14:editId="1E2A345D">
                <wp:simplePos x="0" y="0"/>
                <wp:positionH relativeFrom="margin">
                  <wp:align>center</wp:align>
                </wp:positionH>
                <wp:positionV relativeFrom="paragraph">
                  <wp:posOffset>501650</wp:posOffset>
                </wp:positionV>
                <wp:extent cx="227965" cy="347345"/>
                <wp:effectExtent l="19050" t="0" r="635" b="14605"/>
                <wp:wrapNone/>
                <wp:docPr id="1738027568" name="Flecha: hacia abaj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965" cy="34734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101D6" id="Flecha: hacia abajo 1" o:spid="_x0000_s1026" type="#_x0000_t67" style="position:absolute;margin-left:0;margin-top:39.5pt;width:17.95pt;height:27.3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" adj="14512" fillcolor="#4472c4 [3204]" strokecolor="#09101d [484]" strokeweight="1pt">
                <v:path arrowok="t"/>
                <w10:wrap anchorx="margin"/>
              </v:shape>
            </w:pict>
          </mc:Fallback>
        </mc:AlternateContent>
      </w:r>
    </w:p>
    <w:p w14:paraId="3CA5CFFC" w14:textId="77777777" w:rsidR="00D77C7E" w:rsidRPr="00F57B0C" w:rsidRDefault="00D77C7E" w:rsidP="00D77C7E">
      <w:pPr>
        <w:rPr>
          <w:rFonts w:ascii="Arial" w:hAnsi="Arial" w:cs="Arial"/>
        </w:rPr>
      </w:pPr>
      <w:r>
        <w:rPr>
          <w:rFonts w:cstheme="minorHAnsi"/>
          <w:b/>
          <w:bCs/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2F52D265" wp14:editId="175E3EAA">
            <wp:simplePos x="0" y="0"/>
            <wp:positionH relativeFrom="margin">
              <wp:align>center</wp:align>
            </wp:positionH>
            <wp:positionV relativeFrom="paragraph">
              <wp:posOffset>224536</wp:posOffset>
            </wp:positionV>
            <wp:extent cx="4718050" cy="2589530"/>
            <wp:effectExtent l="0" t="0" r="0" b="0"/>
            <wp:wrapTopAndBottom/>
            <wp:docPr id="945993371" name="Imagen 945993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765970" name="Imagen 158976597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258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28CD17" w14:textId="4852D756" w:rsidR="00D77C7E" w:rsidRPr="00D77C7E" w:rsidRDefault="00D77C7E" w:rsidP="00D77C7E">
      <w:pPr>
        <w:rPr>
          <w:rFonts w:ascii="Arial" w:hAnsi="Arial" w:cs="Arial"/>
          <w:b/>
          <w:bCs/>
        </w:rPr>
      </w:pPr>
      <w:r w:rsidRPr="00D77C7E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2</w:t>
      </w:r>
      <w:r w:rsidRPr="00D77C7E">
        <w:rPr>
          <w:rFonts w:ascii="Arial" w:hAnsi="Arial" w:cs="Arial"/>
          <w:b/>
          <w:bCs/>
        </w:rPr>
        <w:t>.</w:t>
      </w:r>
    </w:p>
    <w:p w14:paraId="7850BD53" w14:textId="77777777" w:rsidR="00D77C7E" w:rsidRPr="00F57B0C" w:rsidRDefault="00D77C7E" w:rsidP="00D77C7E">
      <w:pPr>
        <w:rPr>
          <w:rFonts w:ascii="Arial" w:hAnsi="Arial" w:cs="Arial"/>
        </w:rPr>
      </w:pPr>
    </w:p>
    <w:p w14:paraId="4C7C0E6A" w14:textId="77777777" w:rsidR="00D77C7E" w:rsidRPr="00F57B0C" w:rsidRDefault="00D77C7E" w:rsidP="00D77C7E">
      <w:pPr>
        <w:rPr>
          <w:rFonts w:ascii="Arial" w:hAnsi="Arial" w:cs="Arial"/>
        </w:rPr>
      </w:pPr>
    </w:p>
    <w:p w14:paraId="4E41DCB0" w14:textId="77777777" w:rsidR="00D77C7E" w:rsidRPr="00F57B0C" w:rsidRDefault="00D77C7E" w:rsidP="00D77C7E">
      <w:pPr>
        <w:rPr>
          <w:rFonts w:ascii="Arial" w:hAnsi="Arial" w:cs="Arial"/>
        </w:rPr>
      </w:pPr>
    </w:p>
    <w:p w14:paraId="3A27D4A2" w14:textId="77777777" w:rsidR="00BE465D" w:rsidRDefault="00BE465D"/>
    <w:sectPr w:rsidR="00BE465D" w:rsidSect="004E6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C7E"/>
    <w:rsid w:val="00014A38"/>
    <w:rsid w:val="0002487F"/>
    <w:rsid w:val="0003066E"/>
    <w:rsid w:val="00053C91"/>
    <w:rsid w:val="00095650"/>
    <w:rsid w:val="000A0C82"/>
    <w:rsid w:val="000A6FB2"/>
    <w:rsid w:val="000B081E"/>
    <w:rsid w:val="000C0CD6"/>
    <w:rsid w:val="000E446A"/>
    <w:rsid w:val="001530E5"/>
    <w:rsid w:val="001706AF"/>
    <w:rsid w:val="0018040B"/>
    <w:rsid w:val="001B0D3C"/>
    <w:rsid w:val="001C7534"/>
    <w:rsid w:val="001E6978"/>
    <w:rsid w:val="00201CE0"/>
    <w:rsid w:val="00244286"/>
    <w:rsid w:val="00270B08"/>
    <w:rsid w:val="002A288E"/>
    <w:rsid w:val="002C1860"/>
    <w:rsid w:val="002C2EEC"/>
    <w:rsid w:val="002C38CD"/>
    <w:rsid w:val="002E129D"/>
    <w:rsid w:val="00301138"/>
    <w:rsid w:val="00313F4F"/>
    <w:rsid w:val="00330C8C"/>
    <w:rsid w:val="00373490"/>
    <w:rsid w:val="003D21FD"/>
    <w:rsid w:val="003D52F4"/>
    <w:rsid w:val="003E4B5A"/>
    <w:rsid w:val="003E68B9"/>
    <w:rsid w:val="003F5597"/>
    <w:rsid w:val="004008AE"/>
    <w:rsid w:val="004105D1"/>
    <w:rsid w:val="00481015"/>
    <w:rsid w:val="00482696"/>
    <w:rsid w:val="004874D9"/>
    <w:rsid w:val="00492F2B"/>
    <w:rsid w:val="00494FE6"/>
    <w:rsid w:val="004A5AE4"/>
    <w:rsid w:val="004E6FE2"/>
    <w:rsid w:val="004F378C"/>
    <w:rsid w:val="0050255B"/>
    <w:rsid w:val="005569B4"/>
    <w:rsid w:val="005F7989"/>
    <w:rsid w:val="00607794"/>
    <w:rsid w:val="00615FD4"/>
    <w:rsid w:val="006B0AEB"/>
    <w:rsid w:val="006B4D18"/>
    <w:rsid w:val="006D6BBA"/>
    <w:rsid w:val="006E51F6"/>
    <w:rsid w:val="006F4611"/>
    <w:rsid w:val="00706AC8"/>
    <w:rsid w:val="00737977"/>
    <w:rsid w:val="00743B31"/>
    <w:rsid w:val="007540AD"/>
    <w:rsid w:val="0079374E"/>
    <w:rsid w:val="007E2586"/>
    <w:rsid w:val="00823F08"/>
    <w:rsid w:val="008415FB"/>
    <w:rsid w:val="00873680"/>
    <w:rsid w:val="00881DE2"/>
    <w:rsid w:val="0088276C"/>
    <w:rsid w:val="008C451E"/>
    <w:rsid w:val="0094401E"/>
    <w:rsid w:val="00947089"/>
    <w:rsid w:val="00952C83"/>
    <w:rsid w:val="00957DA4"/>
    <w:rsid w:val="009759D1"/>
    <w:rsid w:val="009C2B9B"/>
    <w:rsid w:val="009C7B1E"/>
    <w:rsid w:val="009D3521"/>
    <w:rsid w:val="00A90F07"/>
    <w:rsid w:val="00AA2F26"/>
    <w:rsid w:val="00AE4942"/>
    <w:rsid w:val="00B30E7A"/>
    <w:rsid w:val="00BD675D"/>
    <w:rsid w:val="00BE465D"/>
    <w:rsid w:val="00BF34C1"/>
    <w:rsid w:val="00C153EF"/>
    <w:rsid w:val="00C53AB1"/>
    <w:rsid w:val="00C75391"/>
    <w:rsid w:val="00C75748"/>
    <w:rsid w:val="00C8277F"/>
    <w:rsid w:val="00CA604B"/>
    <w:rsid w:val="00CC1B90"/>
    <w:rsid w:val="00D10ADF"/>
    <w:rsid w:val="00D22421"/>
    <w:rsid w:val="00D433AF"/>
    <w:rsid w:val="00D77C7E"/>
    <w:rsid w:val="00DA63A4"/>
    <w:rsid w:val="00DC7FE2"/>
    <w:rsid w:val="00DD55FB"/>
    <w:rsid w:val="00E02DEC"/>
    <w:rsid w:val="00E730EB"/>
    <w:rsid w:val="00E90094"/>
    <w:rsid w:val="00E93F66"/>
    <w:rsid w:val="00E97E1F"/>
    <w:rsid w:val="00EB7305"/>
    <w:rsid w:val="00ED5188"/>
    <w:rsid w:val="00EF6A7B"/>
    <w:rsid w:val="00F16E8D"/>
    <w:rsid w:val="00F27C3F"/>
    <w:rsid w:val="00F9352B"/>
    <w:rsid w:val="00FA4E83"/>
    <w:rsid w:val="00FB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EAB33"/>
  <w15:chartTrackingRefBased/>
  <w15:docId w15:val="{D7E58B2B-9137-4351-86DC-5622A3607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C7E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tiff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948</Words>
  <Characters>5220</Characters>
  <Application>Microsoft Office Word</Application>
  <DocSecurity>0</DocSecurity>
  <Lines>43</Lines>
  <Paragraphs>12</Paragraphs>
  <ScaleCrop>false</ScaleCrop>
  <Company/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Moisés Ocampo</dc:creator>
  <cp:keywords/>
  <dc:description/>
  <cp:lastModifiedBy>Moisés Ocampo</cp:lastModifiedBy>
  <cp:revision>2</cp:revision>
  <dcterms:created xsi:type="dcterms:W3CDTF">2023-10-15T14:52:00Z</dcterms:created>
  <dcterms:modified xsi:type="dcterms:W3CDTF">2023-10-15T14:52:00Z</dcterms:modified>
</cp:coreProperties>
</file>