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D4A" w:rsidRPr="008A3E3F" w:rsidRDefault="00675F4A" w:rsidP="002B526B">
      <w:pPr>
        <w:ind w:firstLine="720"/>
        <w:jc w:val="left"/>
        <w:rPr>
          <w:b/>
          <w:sz w:val="28"/>
          <w:szCs w:val="28"/>
        </w:rPr>
      </w:pPr>
      <w:r w:rsidRPr="008A3E3F">
        <w:rPr>
          <w:b/>
          <w:sz w:val="28"/>
          <w:szCs w:val="28"/>
        </w:rPr>
        <w:t>Supplementary Figure</w:t>
      </w:r>
      <w:r w:rsidR="00F91397">
        <w:rPr>
          <w:b/>
          <w:sz w:val="28"/>
          <w:szCs w:val="28"/>
        </w:rPr>
        <w:t>s</w:t>
      </w:r>
      <w:r w:rsidRPr="008A3E3F">
        <w:rPr>
          <w:b/>
          <w:sz w:val="28"/>
          <w:szCs w:val="28"/>
        </w:rPr>
        <w:t xml:space="preserve"> </w:t>
      </w:r>
    </w:p>
    <w:p w:rsidR="00893D4A" w:rsidRPr="00893D4A" w:rsidRDefault="00893D4A" w:rsidP="002B526B">
      <w:pPr>
        <w:spacing w:after="200"/>
        <w:ind w:left="0"/>
        <w:jc w:val="left"/>
        <w:rPr>
          <w:b/>
          <w:color w:val="000000"/>
          <w:sz w:val="22"/>
          <w:szCs w:val="22"/>
        </w:rPr>
      </w:pPr>
    </w:p>
    <w:p w:rsidR="007D4F27" w:rsidRDefault="007D4F27" w:rsidP="002B526B">
      <w:pPr>
        <w:spacing w:after="200"/>
        <w:ind w:left="0"/>
        <w:jc w:val="left"/>
        <w:rPr>
          <w:color w:val="000000"/>
          <w:sz w:val="22"/>
          <w:szCs w:val="22"/>
        </w:rPr>
      </w:pPr>
      <w:r w:rsidRPr="00893D4A">
        <w:rPr>
          <w:b/>
          <w:color w:val="000000"/>
          <w:sz w:val="22"/>
          <w:szCs w:val="22"/>
        </w:rPr>
        <w:t xml:space="preserve">Figure S1. Drug susceptibility testing of </w:t>
      </w:r>
      <w:r w:rsidRPr="00893D4A">
        <w:rPr>
          <w:b/>
          <w:i/>
          <w:color w:val="000000"/>
          <w:sz w:val="22"/>
          <w:szCs w:val="22"/>
        </w:rPr>
        <w:t>Leishmania</w:t>
      </w:r>
      <w:r w:rsidRPr="00893D4A">
        <w:rPr>
          <w:b/>
          <w:color w:val="000000"/>
          <w:sz w:val="22"/>
          <w:szCs w:val="22"/>
        </w:rPr>
        <w:t xml:space="preserve"> strains</w:t>
      </w:r>
      <w:r w:rsidRPr="00893D4A">
        <w:rPr>
          <w:color w:val="000000"/>
          <w:sz w:val="22"/>
          <w:szCs w:val="22"/>
        </w:rPr>
        <w:t>. Intracellular susceptibility testing to pentavalent antimony (</w:t>
      </w:r>
      <w:proofErr w:type="spellStart"/>
      <w:r w:rsidRPr="00893D4A">
        <w:rPr>
          <w:color w:val="000000"/>
          <w:sz w:val="22"/>
          <w:szCs w:val="22"/>
        </w:rPr>
        <w:t>Sb</w:t>
      </w:r>
      <w:r w:rsidRPr="009B5652">
        <w:rPr>
          <w:color w:val="000000"/>
          <w:sz w:val="22"/>
          <w:szCs w:val="22"/>
          <w:vertAlign w:val="superscript"/>
        </w:rPr>
        <w:t>V</w:t>
      </w:r>
      <w:proofErr w:type="spellEnd"/>
      <w:r w:rsidRPr="00893D4A">
        <w:rPr>
          <w:color w:val="000000"/>
          <w:sz w:val="22"/>
          <w:szCs w:val="22"/>
        </w:rPr>
        <w:t xml:space="preserve">, 32 µg/mL) was performed for all </w:t>
      </w:r>
      <w:r w:rsidRPr="00893D4A">
        <w:rPr>
          <w:i/>
          <w:color w:val="000000"/>
          <w:sz w:val="22"/>
          <w:szCs w:val="22"/>
        </w:rPr>
        <w:t>Leishmania</w:t>
      </w:r>
      <w:r w:rsidRPr="00893D4A">
        <w:rPr>
          <w:color w:val="000000"/>
          <w:sz w:val="22"/>
          <w:szCs w:val="22"/>
        </w:rPr>
        <w:t xml:space="preserve"> strains isolated from study participants. Data are expressed as % reduction of intracellular parasite load when exposed to </w:t>
      </w:r>
      <w:proofErr w:type="spellStart"/>
      <w:r w:rsidRPr="00893D4A">
        <w:rPr>
          <w:color w:val="000000"/>
          <w:sz w:val="22"/>
          <w:szCs w:val="22"/>
        </w:rPr>
        <w:t>SbV</w:t>
      </w:r>
      <w:proofErr w:type="spellEnd"/>
      <w:r w:rsidRPr="00893D4A">
        <w:rPr>
          <w:color w:val="000000"/>
          <w:sz w:val="22"/>
          <w:szCs w:val="22"/>
        </w:rPr>
        <w:t xml:space="preserve"> vs. untreated controls. Strains where % reduction was &lt;78% were deemed resistant. Fisher´s statistic corresponds to the contrast of the 2x2 contingency table of TF and cured patients infected with either </w:t>
      </w:r>
      <w:proofErr w:type="spellStart"/>
      <w:r w:rsidRPr="00893D4A">
        <w:rPr>
          <w:color w:val="000000"/>
          <w:sz w:val="22"/>
          <w:szCs w:val="22"/>
        </w:rPr>
        <w:t>Sb</w:t>
      </w:r>
      <w:r w:rsidRPr="009B5652">
        <w:rPr>
          <w:color w:val="000000"/>
          <w:sz w:val="22"/>
          <w:szCs w:val="22"/>
          <w:vertAlign w:val="superscript"/>
        </w:rPr>
        <w:t>V</w:t>
      </w:r>
      <w:proofErr w:type="spellEnd"/>
      <w:r w:rsidRPr="00893D4A">
        <w:rPr>
          <w:color w:val="000000"/>
          <w:sz w:val="22"/>
          <w:szCs w:val="22"/>
        </w:rPr>
        <w:t xml:space="preserve">-susceptible or </w:t>
      </w:r>
      <w:proofErr w:type="spellStart"/>
      <w:r w:rsidRPr="00893D4A">
        <w:rPr>
          <w:color w:val="000000"/>
          <w:sz w:val="22"/>
          <w:szCs w:val="22"/>
        </w:rPr>
        <w:t>Sb</w:t>
      </w:r>
      <w:r w:rsidRPr="009B5652">
        <w:rPr>
          <w:color w:val="000000"/>
          <w:sz w:val="22"/>
          <w:szCs w:val="22"/>
          <w:vertAlign w:val="superscript"/>
        </w:rPr>
        <w:t>V</w:t>
      </w:r>
      <w:proofErr w:type="spellEnd"/>
      <w:r w:rsidRPr="00893D4A">
        <w:rPr>
          <w:color w:val="000000"/>
          <w:sz w:val="22"/>
          <w:szCs w:val="22"/>
        </w:rPr>
        <w:t xml:space="preserve">-resistant </w:t>
      </w:r>
      <w:proofErr w:type="spellStart"/>
      <w:r w:rsidRPr="00893D4A">
        <w:rPr>
          <w:i/>
          <w:color w:val="000000"/>
          <w:sz w:val="22"/>
          <w:szCs w:val="22"/>
        </w:rPr>
        <w:t>Leishmania</w:t>
      </w:r>
      <w:proofErr w:type="spellEnd"/>
      <w:r w:rsidRPr="00893D4A">
        <w:rPr>
          <w:color w:val="000000"/>
          <w:sz w:val="22"/>
          <w:szCs w:val="22"/>
        </w:rPr>
        <w:t xml:space="preserve"> strains.</w:t>
      </w:r>
    </w:p>
    <w:p w:rsidR="00F91397" w:rsidRDefault="00F91397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F91397" w:rsidRDefault="00F91397" w:rsidP="002B526B">
      <w:pPr>
        <w:spacing w:after="200"/>
        <w:ind w:left="0"/>
        <w:jc w:val="center"/>
        <w:rPr>
          <w:color w:val="000000"/>
          <w:sz w:val="22"/>
          <w:szCs w:val="22"/>
        </w:rPr>
      </w:pPr>
      <w:r w:rsidRPr="00F91397">
        <w:rPr>
          <w:noProof/>
          <w:color w:val="000000"/>
          <w:sz w:val="22"/>
          <w:szCs w:val="22"/>
        </w:rPr>
        <w:drawing>
          <wp:inline distT="0" distB="0" distL="0" distR="0" wp14:anchorId="0271497D" wp14:editId="26D32579">
            <wp:extent cx="2616414" cy="2161602"/>
            <wp:effectExtent l="0" t="0" r="0" b="0"/>
            <wp:docPr id="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37715" t="25387" r="23540" b="15061"/>
                    <a:stretch/>
                  </pic:blipFill>
                  <pic:spPr>
                    <a:xfrm>
                      <a:off x="0" y="0"/>
                      <a:ext cx="2624947" cy="2168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397" w:rsidRDefault="00F91397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2B526B" w:rsidRPr="00893D4A" w:rsidRDefault="002B526B" w:rsidP="002B526B">
      <w:pPr>
        <w:spacing w:after="200"/>
        <w:ind w:left="0"/>
        <w:jc w:val="left"/>
        <w:rPr>
          <w:color w:val="000000"/>
          <w:sz w:val="22"/>
          <w:szCs w:val="22"/>
        </w:rPr>
      </w:pPr>
    </w:p>
    <w:p w:rsidR="007D4F27" w:rsidRDefault="007D4F27" w:rsidP="002B526B">
      <w:pPr>
        <w:ind w:left="0"/>
        <w:jc w:val="left"/>
        <w:rPr>
          <w:color w:val="000000"/>
          <w:sz w:val="22"/>
          <w:szCs w:val="22"/>
        </w:rPr>
      </w:pPr>
      <w:r w:rsidRPr="00893D4A">
        <w:rPr>
          <w:b/>
          <w:color w:val="000000"/>
          <w:sz w:val="22"/>
          <w:szCs w:val="22"/>
        </w:rPr>
        <w:t xml:space="preserve">Figure S2. Evaluation of sequencing depth per sample. </w:t>
      </w:r>
      <w:r w:rsidRPr="00893D4A">
        <w:rPr>
          <w:color w:val="000000"/>
          <w:sz w:val="22"/>
          <w:szCs w:val="22"/>
        </w:rPr>
        <w:t xml:space="preserve">Plot of reads mapped (sequencing depth) vs. number of genes detected. The plot includes a total of 186 samples collected and sequenced in the study. The samples that stood out as outliers appear at the bottom of the graph and suggest a minimal number of acceptable genes as approx. 11,000. The </w:t>
      </w:r>
      <w:r w:rsidR="009B5652">
        <w:rPr>
          <w:color w:val="000000"/>
          <w:sz w:val="22"/>
          <w:szCs w:val="22"/>
        </w:rPr>
        <w:t>high</w:t>
      </w:r>
      <w:r w:rsidRPr="00893D4A">
        <w:rPr>
          <w:color w:val="000000"/>
          <w:sz w:val="22"/>
          <w:szCs w:val="22"/>
        </w:rPr>
        <w:t xml:space="preserve"> depth of sequencing for the samples shown in the right half of the plot was a result of samples were loaded</w:t>
      </w:r>
      <w:r w:rsidR="009B5652">
        <w:rPr>
          <w:color w:val="000000"/>
          <w:sz w:val="22"/>
          <w:szCs w:val="22"/>
        </w:rPr>
        <w:t xml:space="preserve"> on a production scale platform</w:t>
      </w:r>
      <w:r w:rsidRPr="00893D4A">
        <w:rPr>
          <w:color w:val="000000"/>
          <w:sz w:val="22"/>
          <w:szCs w:val="22"/>
        </w:rPr>
        <w:t>, but illustrates well the diminishing returns beyond 50 M reads per sample.</w:t>
      </w:r>
    </w:p>
    <w:p w:rsidR="00F91397" w:rsidRDefault="00F91397" w:rsidP="002B526B">
      <w:pPr>
        <w:ind w:left="0"/>
        <w:jc w:val="left"/>
        <w:rPr>
          <w:color w:val="000000"/>
          <w:sz w:val="22"/>
          <w:szCs w:val="22"/>
        </w:rPr>
      </w:pPr>
    </w:p>
    <w:p w:rsidR="00F91397" w:rsidRDefault="00F91397" w:rsidP="002B526B">
      <w:pPr>
        <w:ind w:left="0"/>
        <w:jc w:val="center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2362200" cy="250507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2_nonzero_V2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191" cy="251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397" w:rsidRDefault="00F91397" w:rsidP="002B526B">
      <w:pPr>
        <w:ind w:left="0"/>
        <w:jc w:val="left"/>
        <w:rPr>
          <w:color w:val="000000"/>
          <w:sz w:val="22"/>
          <w:szCs w:val="22"/>
        </w:rPr>
      </w:pPr>
    </w:p>
    <w:p w:rsidR="00F91397" w:rsidRPr="00893D4A" w:rsidRDefault="00F91397" w:rsidP="002B526B">
      <w:pPr>
        <w:ind w:left="0"/>
        <w:jc w:val="left"/>
        <w:rPr>
          <w:color w:val="000000"/>
          <w:sz w:val="22"/>
          <w:szCs w:val="22"/>
        </w:rPr>
      </w:pPr>
    </w:p>
    <w:p w:rsidR="00F91397" w:rsidRDefault="00F91397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7D4F27" w:rsidRDefault="007D4F27" w:rsidP="002B526B">
      <w:pPr>
        <w:widowControl w:val="0"/>
        <w:ind w:left="0"/>
        <w:jc w:val="left"/>
        <w:rPr>
          <w:color w:val="000000"/>
          <w:sz w:val="22"/>
          <w:szCs w:val="22"/>
        </w:rPr>
      </w:pPr>
      <w:r w:rsidRPr="00893D4A">
        <w:rPr>
          <w:b/>
          <w:color w:val="000000"/>
          <w:sz w:val="22"/>
          <w:szCs w:val="22"/>
        </w:rPr>
        <w:t xml:space="preserve">Figure </w:t>
      </w:r>
      <w:proofErr w:type="spellStart"/>
      <w:r w:rsidRPr="00893D4A">
        <w:rPr>
          <w:b/>
          <w:color w:val="000000"/>
          <w:sz w:val="22"/>
          <w:szCs w:val="22"/>
        </w:rPr>
        <w:t>S3</w:t>
      </w:r>
      <w:proofErr w:type="spellEnd"/>
      <w:r w:rsidRPr="00893D4A">
        <w:rPr>
          <w:b/>
          <w:color w:val="000000"/>
          <w:sz w:val="22"/>
          <w:szCs w:val="22"/>
        </w:rPr>
        <w:t>.</w:t>
      </w:r>
      <w:r w:rsidRPr="00893D4A">
        <w:rPr>
          <w:color w:val="000000"/>
          <w:sz w:val="22"/>
          <w:szCs w:val="22"/>
        </w:rPr>
        <w:t xml:space="preserve"> </w:t>
      </w:r>
      <w:r w:rsidRPr="00893D4A">
        <w:rPr>
          <w:b/>
          <w:color w:val="000000"/>
          <w:sz w:val="22"/>
          <w:szCs w:val="22"/>
        </w:rPr>
        <w:t>Assessment of clinic-associated batch effect</w:t>
      </w:r>
      <w:r w:rsidRPr="00893D4A">
        <w:rPr>
          <w:color w:val="000000"/>
          <w:sz w:val="22"/>
          <w:szCs w:val="22"/>
        </w:rPr>
        <w:t xml:space="preserve">. Principal Component Analysis (PCA) plots of the global gene expression profiles of all samples combined </w:t>
      </w:r>
      <w:r w:rsidRPr="00893D4A">
        <w:rPr>
          <w:b/>
          <w:color w:val="000000"/>
          <w:sz w:val="22"/>
          <w:szCs w:val="22"/>
        </w:rPr>
        <w:t>(Panel A</w:t>
      </w:r>
      <w:r w:rsidRPr="00893D4A">
        <w:rPr>
          <w:color w:val="000000"/>
          <w:sz w:val="22"/>
          <w:szCs w:val="22"/>
        </w:rPr>
        <w:t xml:space="preserve">), individual blood cells (eosinophils, monocytes, and neutrophils) and lesion biopsies collected from study participants </w:t>
      </w:r>
      <w:r w:rsidRPr="00893D4A">
        <w:rPr>
          <w:b/>
          <w:color w:val="000000"/>
          <w:sz w:val="22"/>
          <w:szCs w:val="22"/>
        </w:rPr>
        <w:t xml:space="preserve">(Panels </w:t>
      </w:r>
      <w:r w:rsidR="009B5652">
        <w:rPr>
          <w:b/>
          <w:color w:val="000000"/>
          <w:sz w:val="22"/>
          <w:szCs w:val="22"/>
        </w:rPr>
        <w:t>B-E</w:t>
      </w:r>
      <w:r w:rsidRPr="00893D4A">
        <w:rPr>
          <w:color w:val="000000"/>
          <w:sz w:val="22"/>
          <w:szCs w:val="22"/>
        </w:rPr>
        <w:t xml:space="preserve">) at two different clinics (one in </w:t>
      </w:r>
      <w:proofErr w:type="spellStart"/>
      <w:r w:rsidRPr="00893D4A">
        <w:rPr>
          <w:color w:val="000000"/>
          <w:sz w:val="22"/>
          <w:szCs w:val="22"/>
        </w:rPr>
        <w:t>Tumaco</w:t>
      </w:r>
      <w:proofErr w:type="spellEnd"/>
      <w:r w:rsidRPr="00893D4A">
        <w:rPr>
          <w:color w:val="000000"/>
          <w:sz w:val="22"/>
          <w:szCs w:val="22"/>
        </w:rPr>
        <w:t>, the South Pacific coast of Colombia, and another in the urban center of Cali), and three visits (pre-treatment and twice during the course of treatment).The analyses were performed using all annotated protein-coding genes following filtering for low counts, quantile/</w:t>
      </w:r>
      <w:proofErr w:type="spellStart"/>
      <w:r w:rsidRPr="00893D4A">
        <w:rPr>
          <w:color w:val="000000"/>
          <w:sz w:val="22"/>
          <w:szCs w:val="22"/>
        </w:rPr>
        <w:t>cpm</w:t>
      </w:r>
      <w:proofErr w:type="spellEnd"/>
      <w:r w:rsidRPr="00893D4A">
        <w:rPr>
          <w:color w:val="000000"/>
          <w:sz w:val="22"/>
          <w:szCs w:val="22"/>
        </w:rPr>
        <w:t xml:space="preserve"> normalization and </w:t>
      </w:r>
      <w:proofErr w:type="spellStart"/>
      <w:r w:rsidRPr="00893D4A">
        <w:rPr>
          <w:color w:val="000000"/>
          <w:sz w:val="22"/>
          <w:szCs w:val="22"/>
        </w:rPr>
        <w:t>log2</w:t>
      </w:r>
      <w:proofErr w:type="spellEnd"/>
      <w:r w:rsidRPr="00893D4A">
        <w:rPr>
          <w:color w:val="000000"/>
          <w:sz w:val="22"/>
          <w:szCs w:val="22"/>
        </w:rPr>
        <w:t xml:space="preserve"> transformation. In the PCA plots, the first two principal components are shown on the X and Y axes respectively, with the proportion of total variance attributable to that PC indicated. Each sample is represented as a single point with color indicating either the clinic (</w:t>
      </w:r>
      <w:r w:rsidRPr="009B5652">
        <w:rPr>
          <w:b/>
          <w:color w:val="000000"/>
          <w:sz w:val="22"/>
          <w:szCs w:val="22"/>
        </w:rPr>
        <w:t>Panel A</w:t>
      </w:r>
      <w:r w:rsidRPr="00893D4A">
        <w:rPr>
          <w:color w:val="000000"/>
          <w:sz w:val="22"/>
          <w:szCs w:val="22"/>
        </w:rPr>
        <w:t xml:space="preserve">), or </w:t>
      </w:r>
      <w:proofErr w:type="spellStart"/>
      <w:r w:rsidRPr="00893D4A">
        <w:rPr>
          <w:color w:val="000000"/>
          <w:sz w:val="22"/>
          <w:szCs w:val="22"/>
        </w:rPr>
        <w:t>clinic_treatment_outcome</w:t>
      </w:r>
      <w:proofErr w:type="spellEnd"/>
      <w:r w:rsidRPr="00893D4A">
        <w:rPr>
          <w:color w:val="000000"/>
          <w:sz w:val="22"/>
          <w:szCs w:val="22"/>
        </w:rPr>
        <w:t xml:space="preserve"> (</w:t>
      </w:r>
      <w:r w:rsidRPr="009B5652">
        <w:rPr>
          <w:b/>
          <w:color w:val="000000"/>
          <w:sz w:val="22"/>
          <w:szCs w:val="22"/>
        </w:rPr>
        <w:t xml:space="preserve">Panels </w:t>
      </w:r>
      <w:r w:rsidR="009B5652" w:rsidRPr="009B5652">
        <w:rPr>
          <w:b/>
          <w:color w:val="000000"/>
          <w:sz w:val="22"/>
          <w:szCs w:val="22"/>
        </w:rPr>
        <w:t>B-E</w:t>
      </w:r>
      <w:r w:rsidRPr="00893D4A">
        <w:rPr>
          <w:color w:val="000000"/>
          <w:sz w:val="22"/>
          <w:szCs w:val="22"/>
        </w:rPr>
        <w:t>).</w:t>
      </w:r>
      <w:r w:rsidR="00AA0B8C">
        <w:rPr>
          <w:color w:val="000000"/>
          <w:sz w:val="22"/>
          <w:szCs w:val="22"/>
        </w:rPr>
        <w:t xml:space="preserve"> </w:t>
      </w:r>
      <w:r w:rsidR="00AA0B8C" w:rsidRPr="00AA0B8C">
        <w:rPr>
          <w:color w:val="000000"/>
          <w:sz w:val="22"/>
          <w:szCs w:val="22"/>
        </w:rPr>
        <w:t xml:space="preserve">The inner and outer ellipses represent the 90% and 95% confidence intervals, respectively. </w:t>
      </w:r>
    </w:p>
    <w:p w:rsidR="00F91397" w:rsidRDefault="00F91397" w:rsidP="002B526B">
      <w:pPr>
        <w:widowControl w:val="0"/>
        <w:ind w:left="0"/>
        <w:jc w:val="left"/>
        <w:rPr>
          <w:color w:val="000000"/>
          <w:sz w:val="22"/>
          <w:szCs w:val="22"/>
        </w:rPr>
      </w:pPr>
    </w:p>
    <w:p w:rsidR="00F91397" w:rsidRDefault="00F91397" w:rsidP="002B526B">
      <w:pPr>
        <w:widowControl w:val="0"/>
        <w:ind w:left="0"/>
        <w:jc w:val="left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 wp14:anchorId="1F955043" wp14:editId="3E34DEF9">
            <wp:extent cx="6792800" cy="3096986"/>
            <wp:effectExtent l="0" t="0" r="8255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3_v3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671" b="15818"/>
                    <a:stretch/>
                  </pic:blipFill>
                  <pic:spPr bwMode="auto">
                    <a:xfrm>
                      <a:off x="0" y="0"/>
                      <a:ext cx="6804188" cy="3102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7D4F27" w:rsidRDefault="007D4F27" w:rsidP="002B526B">
      <w:pPr>
        <w:widowControl w:val="0"/>
        <w:ind w:left="0"/>
        <w:jc w:val="left"/>
        <w:rPr>
          <w:color w:val="000000"/>
          <w:sz w:val="22"/>
          <w:szCs w:val="22"/>
        </w:rPr>
      </w:pPr>
      <w:r w:rsidRPr="00893D4A">
        <w:rPr>
          <w:b/>
          <w:color w:val="000000"/>
          <w:sz w:val="22"/>
          <w:szCs w:val="22"/>
        </w:rPr>
        <w:t xml:space="preserve">Figure </w:t>
      </w:r>
      <w:proofErr w:type="spellStart"/>
      <w:r w:rsidRPr="00893D4A">
        <w:rPr>
          <w:b/>
          <w:color w:val="000000"/>
          <w:sz w:val="22"/>
          <w:szCs w:val="22"/>
        </w:rPr>
        <w:t>S4</w:t>
      </w:r>
      <w:proofErr w:type="spellEnd"/>
      <w:r w:rsidRPr="00893D4A">
        <w:rPr>
          <w:b/>
          <w:color w:val="000000"/>
          <w:sz w:val="22"/>
          <w:szCs w:val="22"/>
        </w:rPr>
        <w:t xml:space="preserve">: </w:t>
      </w:r>
      <w:proofErr w:type="spellStart"/>
      <w:r w:rsidRPr="00893D4A">
        <w:rPr>
          <w:b/>
          <w:color w:val="000000"/>
          <w:sz w:val="22"/>
          <w:szCs w:val="22"/>
        </w:rPr>
        <w:t>PCA</w:t>
      </w:r>
      <w:proofErr w:type="spellEnd"/>
      <w:r w:rsidRPr="00893D4A">
        <w:rPr>
          <w:b/>
          <w:color w:val="000000"/>
          <w:sz w:val="22"/>
          <w:szCs w:val="22"/>
        </w:rPr>
        <w:t xml:space="preserve"> plots of innate cell transcriptomes during the course of treatment.</w:t>
      </w:r>
      <w:r w:rsidRPr="00893D4A">
        <w:rPr>
          <w:b/>
          <w:color w:val="0563C1"/>
          <w:sz w:val="22"/>
          <w:szCs w:val="22"/>
        </w:rPr>
        <w:t xml:space="preserve"> </w:t>
      </w:r>
      <w:r w:rsidRPr="00893D4A">
        <w:rPr>
          <w:color w:val="000000"/>
          <w:sz w:val="22"/>
          <w:szCs w:val="22"/>
        </w:rPr>
        <w:t xml:space="preserve">Principal component analyses for all samples were performed using </w:t>
      </w:r>
      <w:proofErr w:type="spellStart"/>
      <w:r w:rsidRPr="00893D4A">
        <w:rPr>
          <w:color w:val="000000"/>
          <w:sz w:val="22"/>
          <w:szCs w:val="22"/>
        </w:rPr>
        <w:t>log2</w:t>
      </w:r>
      <w:proofErr w:type="spellEnd"/>
      <w:r w:rsidRPr="00893D4A">
        <w:rPr>
          <w:color w:val="000000"/>
          <w:sz w:val="22"/>
          <w:szCs w:val="22"/>
        </w:rPr>
        <w:t xml:space="preserve"> transformed, quantile, </w:t>
      </w:r>
      <w:proofErr w:type="spellStart"/>
      <w:r w:rsidRPr="00893D4A">
        <w:rPr>
          <w:color w:val="000000"/>
          <w:sz w:val="22"/>
          <w:szCs w:val="22"/>
        </w:rPr>
        <w:t>cpm</w:t>
      </w:r>
      <w:proofErr w:type="spellEnd"/>
      <w:r w:rsidRPr="00893D4A">
        <w:rPr>
          <w:color w:val="000000"/>
          <w:sz w:val="22"/>
          <w:szCs w:val="22"/>
        </w:rPr>
        <w:t xml:space="preserve"> and filtered counts of annotated protein-coding genes. The first two principal components are shown on the X and Y axes, respectively, with the proportion of total variance attributable to that PC indicated. Colors indicate visit and shapes clinical outcome. </w:t>
      </w:r>
      <w:r w:rsidR="00AA0B8C" w:rsidRPr="00AA0B8C">
        <w:rPr>
          <w:color w:val="000000"/>
          <w:sz w:val="22"/>
          <w:szCs w:val="22"/>
        </w:rPr>
        <w:t>The inner and outer ellipses represent the 90% and 95% confidence intervals, respectively.</w:t>
      </w:r>
    </w:p>
    <w:p w:rsidR="00F91397" w:rsidRDefault="00F91397" w:rsidP="002B526B">
      <w:pPr>
        <w:widowControl w:val="0"/>
        <w:ind w:left="0"/>
        <w:jc w:val="left"/>
        <w:rPr>
          <w:color w:val="000000"/>
          <w:sz w:val="22"/>
          <w:szCs w:val="22"/>
        </w:rPr>
      </w:pPr>
    </w:p>
    <w:p w:rsidR="00F91397" w:rsidRPr="00893D4A" w:rsidRDefault="00F91397" w:rsidP="002B526B">
      <w:pPr>
        <w:widowControl w:val="0"/>
        <w:ind w:left="0"/>
        <w:jc w:val="left"/>
        <w:rPr>
          <w:b/>
          <w:color w:val="1155CC"/>
          <w:sz w:val="22"/>
          <w:szCs w:val="22"/>
        </w:rPr>
      </w:pPr>
      <w:r>
        <w:rPr>
          <w:b/>
          <w:noProof/>
          <w:color w:val="1155CC"/>
          <w:sz w:val="22"/>
          <w:szCs w:val="22"/>
        </w:rPr>
        <w:drawing>
          <wp:inline distT="0" distB="0" distL="0" distR="0">
            <wp:extent cx="6600018" cy="2830286"/>
            <wp:effectExtent l="0" t="0" r="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4_visits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6079" cy="283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F27" w:rsidRPr="00893D4A" w:rsidRDefault="007D4F27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F91397" w:rsidRDefault="00F91397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F91397" w:rsidRDefault="00F91397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000000"/>
          <w:sz w:val="22"/>
          <w:szCs w:val="22"/>
        </w:rPr>
      </w:pPr>
    </w:p>
    <w:p w:rsidR="007D4F27" w:rsidRDefault="007D4F27" w:rsidP="002B526B">
      <w:pPr>
        <w:widowControl w:val="0"/>
        <w:ind w:left="0"/>
        <w:jc w:val="left"/>
        <w:rPr>
          <w:color w:val="000000"/>
          <w:sz w:val="22"/>
          <w:szCs w:val="22"/>
        </w:rPr>
      </w:pPr>
      <w:r w:rsidRPr="00893D4A">
        <w:rPr>
          <w:b/>
          <w:color w:val="000000"/>
          <w:sz w:val="22"/>
          <w:szCs w:val="22"/>
        </w:rPr>
        <w:lastRenderedPageBreak/>
        <w:t xml:space="preserve">Figure </w:t>
      </w:r>
      <w:proofErr w:type="spellStart"/>
      <w:r w:rsidRPr="00893D4A">
        <w:rPr>
          <w:b/>
          <w:color w:val="000000"/>
          <w:sz w:val="22"/>
          <w:szCs w:val="22"/>
        </w:rPr>
        <w:t>S5</w:t>
      </w:r>
      <w:proofErr w:type="spellEnd"/>
      <w:r w:rsidRPr="00893D4A">
        <w:rPr>
          <w:b/>
          <w:color w:val="000000"/>
          <w:sz w:val="22"/>
          <w:szCs w:val="22"/>
        </w:rPr>
        <w:t>.  WGCNA analysis of the response of the three innate immune cells in CL patients.</w:t>
      </w:r>
      <w:r w:rsidRPr="00893D4A">
        <w:rPr>
          <w:color w:val="000000"/>
          <w:sz w:val="22"/>
          <w:szCs w:val="22"/>
        </w:rPr>
        <w:t xml:space="preserve"> Genes in WGCNA modules that were significantly associated with TF from monocytes (</w:t>
      </w:r>
      <w:r w:rsidRPr="00893D4A">
        <w:rPr>
          <w:b/>
          <w:color w:val="000000"/>
          <w:sz w:val="22"/>
          <w:szCs w:val="22"/>
        </w:rPr>
        <w:t>Panel A)</w:t>
      </w:r>
      <w:r w:rsidRPr="00893D4A">
        <w:rPr>
          <w:color w:val="000000"/>
          <w:sz w:val="22"/>
          <w:szCs w:val="22"/>
        </w:rPr>
        <w:t xml:space="preserve"> or neutrophils (</w:t>
      </w:r>
      <w:r w:rsidRPr="00893D4A">
        <w:rPr>
          <w:b/>
          <w:color w:val="000000"/>
          <w:sz w:val="22"/>
          <w:szCs w:val="22"/>
        </w:rPr>
        <w:t>Panel B</w:t>
      </w:r>
      <w:r w:rsidRPr="00893D4A">
        <w:rPr>
          <w:rFonts w:eastAsia="Arial Unicode MS"/>
          <w:color w:val="000000"/>
          <w:sz w:val="22"/>
          <w:szCs w:val="22"/>
        </w:rPr>
        <w:t xml:space="preserve">) were used to construct protein-protein interaction networks using the STRING plug-in in </w:t>
      </w:r>
      <w:proofErr w:type="spellStart"/>
      <w:r w:rsidRPr="00893D4A">
        <w:rPr>
          <w:rFonts w:eastAsia="Arial Unicode MS"/>
          <w:color w:val="000000"/>
          <w:sz w:val="22"/>
          <w:szCs w:val="22"/>
        </w:rPr>
        <w:t>Cytoscape</w:t>
      </w:r>
      <w:proofErr w:type="spellEnd"/>
      <w:r w:rsidRPr="00893D4A">
        <w:rPr>
          <w:rFonts w:eastAsia="Arial Unicode MS"/>
          <w:color w:val="000000"/>
          <w:sz w:val="22"/>
          <w:szCs w:val="22"/>
        </w:rPr>
        <w:t>. Genes within clouds were manually grouped based on functional categories. Nodes represent gene products and node colors represent up- or -downregulation in TF. Darker gray halos around the nodes indicate gene products in common between WGCNA and DE analyses. Protein networks with ≤ 3 nodes are not shown.  The Venn diagram (</w:t>
      </w:r>
      <w:r w:rsidRPr="00893D4A">
        <w:rPr>
          <w:b/>
          <w:color w:val="000000"/>
          <w:sz w:val="22"/>
          <w:szCs w:val="22"/>
        </w:rPr>
        <w:t>Panel C,</w:t>
      </w:r>
      <w:r w:rsidRPr="00893D4A">
        <w:rPr>
          <w:color w:val="000000"/>
          <w:sz w:val="22"/>
          <w:szCs w:val="22"/>
        </w:rPr>
        <w:t xml:space="preserve"> left) shows the overlap of genes among enriched modules from Mo: monocytes, </w:t>
      </w:r>
      <w:proofErr w:type="spellStart"/>
      <w:r w:rsidRPr="00893D4A">
        <w:rPr>
          <w:color w:val="000000"/>
          <w:sz w:val="22"/>
          <w:szCs w:val="22"/>
        </w:rPr>
        <w:t>Nφ</w:t>
      </w:r>
      <w:proofErr w:type="spellEnd"/>
      <w:r w:rsidRPr="00893D4A">
        <w:rPr>
          <w:color w:val="000000"/>
          <w:sz w:val="22"/>
          <w:szCs w:val="22"/>
        </w:rPr>
        <w:t xml:space="preserve">: neutrophils, </w:t>
      </w:r>
      <w:proofErr w:type="spellStart"/>
      <w:r w:rsidRPr="00893D4A">
        <w:rPr>
          <w:color w:val="000000"/>
          <w:sz w:val="22"/>
          <w:szCs w:val="22"/>
        </w:rPr>
        <w:t>Eφ</w:t>
      </w:r>
      <w:proofErr w:type="spellEnd"/>
      <w:r w:rsidRPr="00893D4A">
        <w:rPr>
          <w:color w:val="000000"/>
          <w:sz w:val="22"/>
          <w:szCs w:val="22"/>
        </w:rPr>
        <w:t>: eosinophils. The 36 gene products common to the three cell types were used as input to derive a protein-protein interaction network from existing data (right).</w:t>
      </w:r>
    </w:p>
    <w:p w:rsidR="00F91397" w:rsidRDefault="002B526B" w:rsidP="002B526B">
      <w:pPr>
        <w:widowControl w:val="0"/>
        <w:ind w:left="0"/>
        <w:jc w:val="left"/>
        <w:rPr>
          <w:color w:val="000000"/>
          <w:sz w:val="22"/>
          <w:szCs w:val="22"/>
        </w:rPr>
      </w:pPr>
      <w:r w:rsidRPr="00F91397">
        <w:rPr>
          <w:noProof/>
          <w:color w:val="00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729343</wp:posOffset>
            </wp:positionH>
            <wp:positionV relativeFrom="paragraph">
              <wp:posOffset>121648</wp:posOffset>
            </wp:positionV>
            <wp:extent cx="4953000" cy="7194682"/>
            <wp:effectExtent l="0" t="0" r="0" b="6350"/>
            <wp:wrapSquare wrapText="bothSides"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7194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B526B" w:rsidRDefault="002B526B" w:rsidP="002B526B">
      <w:pPr>
        <w:widowControl w:val="0"/>
        <w:ind w:left="0"/>
        <w:jc w:val="left"/>
        <w:rPr>
          <w:color w:val="000000"/>
          <w:sz w:val="22"/>
          <w:szCs w:val="22"/>
        </w:rPr>
      </w:pPr>
    </w:p>
    <w:p w:rsidR="00F91397" w:rsidRPr="00893D4A" w:rsidRDefault="00F91397" w:rsidP="002B526B">
      <w:pPr>
        <w:widowControl w:val="0"/>
        <w:ind w:left="0"/>
        <w:jc w:val="center"/>
        <w:rPr>
          <w:color w:val="000000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2B526B" w:rsidRDefault="002B526B" w:rsidP="002B526B">
      <w:pPr>
        <w:widowControl w:val="0"/>
        <w:ind w:left="0"/>
        <w:jc w:val="left"/>
        <w:rPr>
          <w:b/>
          <w:color w:val="auto"/>
          <w:sz w:val="22"/>
          <w:szCs w:val="22"/>
        </w:rPr>
      </w:pPr>
    </w:p>
    <w:p w:rsidR="007D4F27" w:rsidRPr="009B5652" w:rsidRDefault="007D4F27" w:rsidP="002B526B">
      <w:pPr>
        <w:widowControl w:val="0"/>
        <w:ind w:left="0"/>
        <w:jc w:val="left"/>
        <w:rPr>
          <w:color w:val="auto"/>
          <w:sz w:val="22"/>
          <w:szCs w:val="22"/>
        </w:rPr>
      </w:pPr>
      <w:r w:rsidRPr="009B5652">
        <w:rPr>
          <w:b/>
          <w:color w:val="auto"/>
          <w:sz w:val="22"/>
          <w:szCs w:val="22"/>
        </w:rPr>
        <w:t xml:space="preserve">Figure </w:t>
      </w:r>
      <w:proofErr w:type="spellStart"/>
      <w:r w:rsidRPr="009B5652">
        <w:rPr>
          <w:b/>
          <w:color w:val="auto"/>
          <w:sz w:val="22"/>
          <w:szCs w:val="22"/>
        </w:rPr>
        <w:t>S6</w:t>
      </w:r>
      <w:proofErr w:type="spellEnd"/>
      <w:r w:rsidRPr="009B5652">
        <w:rPr>
          <w:b/>
          <w:color w:val="auto"/>
          <w:sz w:val="22"/>
          <w:szCs w:val="22"/>
        </w:rPr>
        <w:t xml:space="preserve"> Score. Monocyte and eosinophil scores in cures and TF. </w:t>
      </w:r>
      <w:r w:rsidRPr="009B5652">
        <w:rPr>
          <w:color w:val="auto"/>
          <w:sz w:val="22"/>
          <w:szCs w:val="22"/>
        </w:rPr>
        <w:t>RPKM data of the 10 innate signature genes from Pre-</w:t>
      </w:r>
      <w:proofErr w:type="spellStart"/>
      <w:r w:rsidRPr="009B5652">
        <w:rPr>
          <w:color w:val="auto"/>
          <w:sz w:val="22"/>
          <w:szCs w:val="22"/>
        </w:rPr>
        <w:t>Tx</w:t>
      </w:r>
      <w:proofErr w:type="spellEnd"/>
      <w:r w:rsidRPr="009B5652">
        <w:rPr>
          <w:color w:val="auto"/>
          <w:sz w:val="22"/>
          <w:szCs w:val="22"/>
        </w:rPr>
        <w:t xml:space="preserve"> samples was used to construct monocyte (</w:t>
      </w:r>
      <w:r w:rsidR="009B5652" w:rsidRPr="009B5652">
        <w:rPr>
          <w:b/>
          <w:color w:val="auto"/>
          <w:sz w:val="22"/>
          <w:szCs w:val="22"/>
        </w:rPr>
        <w:t xml:space="preserve">Panels </w:t>
      </w:r>
      <w:r w:rsidRPr="009B5652">
        <w:rPr>
          <w:b/>
          <w:color w:val="auto"/>
          <w:sz w:val="22"/>
          <w:szCs w:val="22"/>
        </w:rPr>
        <w:t>A, B</w:t>
      </w:r>
      <w:r w:rsidRPr="009B5652">
        <w:rPr>
          <w:color w:val="auto"/>
          <w:sz w:val="22"/>
          <w:szCs w:val="22"/>
        </w:rPr>
        <w:t>) and eosinophil (</w:t>
      </w:r>
      <w:r w:rsidR="009B5652">
        <w:rPr>
          <w:color w:val="auto"/>
          <w:sz w:val="22"/>
          <w:szCs w:val="22"/>
        </w:rPr>
        <w:t xml:space="preserve">Panels </w:t>
      </w:r>
      <w:r w:rsidRPr="009B5652">
        <w:rPr>
          <w:b/>
          <w:color w:val="auto"/>
          <w:sz w:val="22"/>
          <w:szCs w:val="22"/>
        </w:rPr>
        <w:t>C, D</w:t>
      </w:r>
      <w:r w:rsidRPr="009B5652">
        <w:rPr>
          <w:color w:val="auto"/>
          <w:sz w:val="22"/>
          <w:szCs w:val="22"/>
        </w:rPr>
        <w:t>) composite scores. Raw (</w:t>
      </w:r>
      <w:r w:rsidRPr="009B5652">
        <w:rPr>
          <w:b/>
          <w:color w:val="auto"/>
          <w:sz w:val="22"/>
          <w:szCs w:val="22"/>
        </w:rPr>
        <w:t>A, C</w:t>
      </w:r>
      <w:r w:rsidRPr="009B5652">
        <w:rPr>
          <w:color w:val="auto"/>
          <w:sz w:val="22"/>
          <w:szCs w:val="22"/>
        </w:rPr>
        <w:t>) and normalized (Z-scores) (</w:t>
      </w:r>
      <w:r w:rsidRPr="009B5652">
        <w:rPr>
          <w:b/>
          <w:color w:val="auto"/>
          <w:sz w:val="22"/>
          <w:szCs w:val="22"/>
        </w:rPr>
        <w:t>B, D</w:t>
      </w:r>
      <w:r w:rsidRPr="009B5652">
        <w:rPr>
          <w:color w:val="auto"/>
          <w:sz w:val="22"/>
          <w:szCs w:val="22"/>
        </w:rPr>
        <w:t>) are shown. Statistical significance was evaluated by analysis of variance. P values from two-tailed analyses</w:t>
      </w:r>
      <w:r w:rsidR="005E41AC">
        <w:rPr>
          <w:color w:val="auto"/>
          <w:sz w:val="22"/>
          <w:szCs w:val="22"/>
        </w:rPr>
        <w:t xml:space="preserve"> of variance</w:t>
      </w:r>
      <w:r w:rsidRPr="009B5652">
        <w:rPr>
          <w:color w:val="auto"/>
          <w:sz w:val="22"/>
          <w:szCs w:val="22"/>
        </w:rPr>
        <w:t xml:space="preserve"> are shown</w:t>
      </w:r>
      <w:r w:rsidR="009B5652">
        <w:rPr>
          <w:color w:val="auto"/>
          <w:sz w:val="22"/>
          <w:szCs w:val="22"/>
        </w:rPr>
        <w:t>.</w:t>
      </w:r>
    </w:p>
    <w:p w:rsidR="007D4F27" w:rsidRPr="007D4F27" w:rsidRDefault="007D4F27" w:rsidP="002B526B">
      <w:pPr>
        <w:widowControl w:val="0"/>
        <w:ind w:left="0"/>
        <w:jc w:val="left"/>
        <w:rPr>
          <w:color w:val="000000"/>
          <w:sz w:val="18"/>
          <w:szCs w:val="18"/>
        </w:rPr>
      </w:pPr>
    </w:p>
    <w:p w:rsidR="007D4F27" w:rsidRPr="007D4F27" w:rsidRDefault="00F91397" w:rsidP="002B526B">
      <w:pPr>
        <w:widowControl w:val="0"/>
        <w:ind w:left="0"/>
        <w:jc w:val="center"/>
        <w:rPr>
          <w:sz w:val="22"/>
          <w:szCs w:val="22"/>
        </w:rPr>
      </w:pPr>
      <w:bookmarkStart w:id="0" w:name="_GoBack"/>
      <w:r w:rsidRPr="00F91397">
        <w:rPr>
          <w:noProof/>
          <w:sz w:val="22"/>
          <w:szCs w:val="22"/>
        </w:rPr>
        <w:drawing>
          <wp:inline distT="0" distB="0" distL="0" distR="0" wp14:anchorId="0B6EE719" wp14:editId="1615F812">
            <wp:extent cx="3026228" cy="3165900"/>
            <wp:effectExtent l="0" t="0" r="3175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43385" t="24507" r="25903" b="15717"/>
                    <a:stretch/>
                  </pic:blipFill>
                  <pic:spPr>
                    <a:xfrm>
                      <a:off x="0" y="0"/>
                      <a:ext cx="3037197" cy="317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43D79" w:rsidRPr="007D4F27" w:rsidRDefault="002B526B" w:rsidP="002B526B">
      <w:pPr>
        <w:jc w:val="left"/>
      </w:pPr>
    </w:p>
    <w:p w:rsidR="00893D4A" w:rsidRPr="007D4F27" w:rsidRDefault="00893D4A" w:rsidP="002B526B">
      <w:pPr>
        <w:jc w:val="left"/>
      </w:pPr>
    </w:p>
    <w:sectPr w:rsidR="00893D4A" w:rsidRPr="007D4F27" w:rsidSect="002B526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F27"/>
    <w:rsid w:val="002B526B"/>
    <w:rsid w:val="005E41AC"/>
    <w:rsid w:val="00675F4A"/>
    <w:rsid w:val="007C57B9"/>
    <w:rsid w:val="007D4F27"/>
    <w:rsid w:val="00893D4A"/>
    <w:rsid w:val="008A3E3F"/>
    <w:rsid w:val="009B5652"/>
    <w:rsid w:val="00A66953"/>
    <w:rsid w:val="00AA0B8C"/>
    <w:rsid w:val="00B262ED"/>
    <w:rsid w:val="00B502EC"/>
    <w:rsid w:val="00F91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000CF"/>
  <w15:chartTrackingRefBased/>
  <w15:docId w15:val="{21B58388-1417-42AA-AF3B-9BB89510A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4F27"/>
    <w:pPr>
      <w:spacing w:after="0" w:line="240" w:lineRule="auto"/>
      <w:ind w:left="-720"/>
      <w:jc w:val="both"/>
    </w:pPr>
    <w:rPr>
      <w:rFonts w:ascii="Arial" w:eastAsia="Arial" w:hAnsi="Arial" w:cs="Arial"/>
      <w:color w:val="231F20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Fernanda Giraldo Parra</dc:creator>
  <cp:keywords/>
  <dc:description/>
  <cp:lastModifiedBy>Maria Adelaida Gomez</cp:lastModifiedBy>
  <cp:revision>4</cp:revision>
  <dcterms:created xsi:type="dcterms:W3CDTF">2024-04-10T15:06:00Z</dcterms:created>
  <dcterms:modified xsi:type="dcterms:W3CDTF">2024-04-10T21:25:00Z</dcterms:modified>
</cp:coreProperties>
</file>