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43" w:firstLineChars="300"/>
        <w:jc w:val="center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The associations of circulating inflammatory-related proteins with asthma: a Mendelian randomization study</w:t>
      </w:r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Supplementary Figure 1 Bidirectional MR analysis for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(A) AOA and (B) COA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on levels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potential inflammatory-related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causal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proteins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.</w:t>
      </w:r>
      <w:bookmarkStart w:id="0" w:name="_GoBack"/>
      <w:bookmarkEnd w:id="0"/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2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 xml:space="preserve">Colocalization plots of pQTLs and genetic associations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>asthma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>.</w:t>
      </w:r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Protein-protein interaction network among the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identified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circulating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inflammatory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-related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proteins (</w:t>
      </w:r>
      <w:r>
        <w:rPr>
          <w:rFonts w:hint="default" w:ascii="Times New Roman" w:hAnsi="Times New Roman" w:cs="Times New Roman"/>
          <w:b/>
          <w:bCs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&lt; 0.05) and current asthma medications targets.</w:t>
      </w:r>
    </w:p>
    <w:p>
      <w:pPr>
        <w:numPr>
          <w:ilvl w:val="0"/>
          <w:numId w:val="0"/>
        </w:num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4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Docking results of identified proteins and small molecules.</w:t>
      </w:r>
    </w:p>
    <w:p>
      <w:pPr>
        <w:numPr>
          <w:ilvl w:val="0"/>
          <w:numId w:val="0"/>
        </w:numPr>
        <w:ind w:firstLine="843" w:firstLineChars="30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firstLine="630" w:firstLineChars="300"/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(A)</w:t>
      </w:r>
      <w:r>
        <w:rPr>
          <w:rFonts w:hint="eastAsia" w:ascii="Times New Roman" w:hAnsi="Times New Roman" w:cs="Times New Roman"/>
          <w:lang w:val="en-US" w:eastAsia="zh-CN"/>
        </w:rPr>
        <w:t>AOA</w:t>
      </w: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3519805" cy="3489325"/>
            <wp:effectExtent l="0" t="0" r="4445" b="6350"/>
            <wp:docPr id="9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9805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0" w:leftChars="0" w:firstLine="630" w:firstLineChars="30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(B)</w:t>
      </w:r>
      <w:r>
        <w:rPr>
          <w:rFonts w:hint="eastAsia" w:ascii="Times New Roman" w:hAnsi="Times New Roman" w:cs="Times New Roman"/>
          <w:lang w:val="en-US" w:eastAsia="zh-CN"/>
        </w:rPr>
        <w:t>COA</w:t>
      </w:r>
    </w:p>
    <w:p>
      <w:pPr>
        <w:jc w:val="center"/>
      </w:pP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3676015" cy="3757930"/>
            <wp:effectExtent l="0" t="0" r="635" b="4445"/>
            <wp:docPr id="11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76015" cy="375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Supplementary Figure 1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Bidirectional MR analysis for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(A) AOA and (B) COA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on levels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potential inflammatory-related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causal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proteins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OR for increased risk of asthma were expressed as per SD increase in protein levels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OR: odds ratio; CI: confidence interval;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MR-IVW: Mendelian randomization with inverse variance weighted method;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 xml:space="preserve">SD: standard deviation; </w:t>
      </w:r>
      <w:r>
        <w:rPr>
          <w:rFonts w:hint="default" w:ascii="Times New Roman" w:hAnsi="Times New Roman" w:cs="Times New Roman"/>
          <w:sz w:val="21"/>
          <w:szCs w:val="21"/>
          <w:highlight w:val="none"/>
          <w:lang w:val="en-US" w:eastAsia="zh-CN"/>
        </w:rPr>
        <w:t>AOA: adult-onset asthma; COA: childhood-onset asthma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(A)</w:t>
      </w:r>
      <w:r>
        <w:rPr>
          <w:rFonts w:hint="default" w:ascii="Times New Roman" w:hAnsi="Times New Roman" w:cs="Times New Roman"/>
          <w:lang w:val="en-US" w:eastAsia="zh-CN"/>
        </w:rPr>
        <w:t xml:space="preserve">ADA-AOA </w:t>
      </w:r>
      <w:r>
        <w:rPr>
          <w:rFonts w:hint="eastAsia" w:ascii="Times New Roman" w:hAnsi="Times New Roman" w:cs="Times New Roman"/>
          <w:lang w:val="en-US" w:eastAsia="zh-CN"/>
        </w:rPr>
        <w:t xml:space="preserve">                          </w:t>
      </w:r>
      <w:r>
        <w:rPr>
          <w:rFonts w:hint="default" w:ascii="Times New Roman" w:hAnsi="Times New Roman" w:cs="Times New Roman"/>
          <w:lang w:val="en-US" w:eastAsia="zh-CN"/>
        </w:rPr>
        <w:t>(B) CD40L-AOA</w:t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2555875" cy="2339975"/>
            <wp:effectExtent l="0" t="0" r="6350" b="3175"/>
            <wp:docPr id="12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55875" cy="2339975"/>
            <wp:effectExtent l="0" t="0" r="6350" b="317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ind w:left="0" w:leftChars="0" w:right="0" w:rightChars="0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lang w:val="en-US" w:eastAsia="zh-CN" w:bidi="ar"/>
        </w:rPr>
        <w:t>(C)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CST5-AOA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                        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(D) IL12B-AOA</w:t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2555875" cy="2339975"/>
            <wp:effectExtent l="0" t="0" r="6350" b="3175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55875" cy="2339975"/>
            <wp:effectExtent l="0" t="0" r="6350" b="3175"/>
            <wp:docPr id="8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Autospacing="0" w:afterAutospacing="0"/>
        <w:ind w:left="0" w:leftChars="0" w:right="0" w:rightChars="0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MMP1-AOA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                        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(F) ADA-COA</w:t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2555875" cy="2339975"/>
            <wp:effectExtent l="0" t="0" r="6350" b="3175"/>
            <wp:docPr id="13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55875" cy="2339975"/>
            <wp:effectExtent l="0" t="0" r="6350" b="3175"/>
            <wp:docPr id="18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beforeAutospacing="0" w:afterAutospacing="0"/>
        <w:ind w:left="0" w:leftChars="0" w:right="0" w:rightChars="0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CD40L-COA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                      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(H) CST5-COA</w:t>
      </w:r>
    </w:p>
    <w:p>
      <w:pPr>
        <w:pStyle w:val="2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2555875" cy="2339975"/>
            <wp:effectExtent l="0" t="0" r="6350" b="3175"/>
            <wp:docPr id="19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55875" cy="2339975"/>
            <wp:effectExtent l="0" t="0" r="6350" b="3175"/>
            <wp:docPr id="20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ind w:leftChars="0" w:right="0" w:right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CXCL6-COA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                        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(J) IL12B-COA</w:t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2555875" cy="2339975"/>
            <wp:effectExtent l="0" t="0" r="6350" b="3175"/>
            <wp:docPr id="21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55875" cy="2339975"/>
            <wp:effectExtent l="0" t="0" r="6350" b="3175"/>
            <wp:docPr id="22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MMP1-COA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                       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(L) TNFSF14-COA</w:t>
      </w:r>
    </w:p>
    <w:p>
      <w:pPr>
        <w:pStyle w:val="2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2555875" cy="2339975"/>
            <wp:effectExtent l="0" t="0" r="6350" b="3175"/>
            <wp:docPr id="23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55875" cy="2339975"/>
            <wp:effectExtent l="0" t="0" r="6350" b="3175"/>
            <wp:docPr id="24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1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 xml:space="preserve"> Colocalization plots of pQTLs and genetic associations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>asthma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>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Colocalization analysis of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circulating inflammatory-related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proteins for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ADA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,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CD40L,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CST5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,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IL12B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,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and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MMP1 on AOA;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F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ADA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,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(G) CD40L, (H) CST5, (I) CXCL6, 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IL12B, (K) MMP1, and (L) TNFSF14 on COA,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respectively. Diamond purple points represent SNP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with the minimal sum of </w:t>
      </w:r>
      <w:r>
        <w:rPr>
          <w:rFonts w:hint="default" w:ascii="Times New Roman" w:hAnsi="Times New Roman" w:eastAsia="宋体" w:cs="Times New Roman"/>
          <w:b w:val="0"/>
          <w:bCs w:val="0"/>
          <w:i/>
          <w:iCs/>
          <w:sz w:val="21"/>
          <w:szCs w:val="21"/>
          <w:highlight w:val="none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value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in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the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correspond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ing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protein GWAS and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asthma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>GWAS.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pQTL: 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protein quantitative trait loci;</w:t>
      </w:r>
      <w:r>
        <w:rPr>
          <w:rFonts w:hint="eastAsia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highlight w:val="none"/>
          <w:lang w:val="en-US" w:eastAsia="zh-CN"/>
        </w:rPr>
        <w:t>AOA: adult-onset asthma; COA: childhood-onset asthma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;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 SNP: single nucleotide polymorphism; GWAS: genome-wide association studies.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highlight w:val="none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611245" cy="2960370"/>
            <wp:effectExtent l="0" t="0" r="0" b="0"/>
            <wp:docPr id="25" name="图片 25" descr="23 P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23 PPI"/>
                    <pic:cNvPicPr>
                      <a:picLocks noChangeAspect="1"/>
                    </pic:cNvPicPr>
                  </pic:nvPicPr>
                  <pic:blipFill>
                    <a:blip r:embed="rId18"/>
                    <a:srcRect l="16072" t="2639" r="15410" b="14230"/>
                    <a:stretch>
                      <a:fillRect/>
                    </a:stretch>
                  </pic:blipFill>
                  <pic:spPr>
                    <a:xfrm>
                      <a:off x="0" y="0"/>
                      <a:ext cx="3611245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040" cy="342265"/>
            <wp:effectExtent l="0" t="0" r="3810" b="635"/>
            <wp:docPr id="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Protein-protein interaction network among the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identified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circulating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inflammatory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-related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proteins (</w:t>
      </w:r>
      <w:r>
        <w:rPr>
          <w:rFonts w:hint="default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&lt; 0.05) and current asthma medications targets.</w:t>
      </w:r>
    </w:p>
    <w:p>
      <w:pPr>
        <w:pStyle w:val="2"/>
        <w:keepNext w:val="0"/>
        <w:keepLines w:val="0"/>
        <w:widowControl/>
        <w:suppressLineNumbers w:val="0"/>
        <w:jc w:val="both"/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(A) ADA docking PENTOSTATIN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center"/>
      </w:pPr>
      <w:r>
        <w:drawing>
          <wp:inline distT="0" distB="0" distL="114300" distR="114300">
            <wp:extent cx="5219700" cy="2160270"/>
            <wp:effectExtent l="0" t="0" r="0" b="1905"/>
            <wp:docPr id="15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(B) ADA docking COFORMYCIN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center"/>
      </w:pPr>
      <w:r>
        <w:drawing>
          <wp:inline distT="0" distB="0" distL="114300" distR="114300">
            <wp:extent cx="5219700" cy="2520315"/>
            <wp:effectExtent l="0" t="0" r="0" b="3810"/>
            <wp:docPr id="14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(C) MMP-1 docking DOXYCYCLINE ANHYDROUS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center"/>
      </w:pPr>
      <w:r>
        <w:drawing>
          <wp:inline distT="0" distB="0" distL="114300" distR="114300">
            <wp:extent cx="5219700" cy="2520315"/>
            <wp:effectExtent l="0" t="0" r="0" b="3810"/>
            <wp:docPr id="17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(D) MMP-1 docking MARIMASTAT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219700" cy="2520315"/>
            <wp:effectExtent l="0" t="0" r="0" b="3810"/>
            <wp:docPr id="10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(E) MMP-1 docking REBIMASTAT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</w:pPr>
      <w:r>
        <w:drawing>
          <wp:inline distT="0" distB="0" distL="114300" distR="114300">
            <wp:extent cx="5270500" cy="2234565"/>
            <wp:effectExtent l="0" t="0" r="6350" b="381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3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Docking results of identified proteins and small molecules.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The left portion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depicts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the location of small molecule drugs on the protein receptor,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while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the right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portion specifies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the amino acid to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which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each protein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binds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along with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the length and number of hydrogen bonds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(A)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ADA docking PENTOSTATIN; (B)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ADA docking COFORMYCIN; (C)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MMP-1 docking DOXYCYCLINE ANHYDROUS; (D)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MMP-1 docking MARIMASTAT; (E) MMP-1 docking REBIMASTAT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eastAsiaTheme="minor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jc w:val="center"/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8113F9"/>
    <w:multiLevelType w:val="singleLevel"/>
    <w:tmpl w:val="8C8113F9"/>
    <w:lvl w:ilvl="0" w:tentative="0">
      <w:start w:val="7"/>
      <w:numFmt w:val="upperLetter"/>
      <w:suff w:val="space"/>
      <w:lvlText w:val="(%1)"/>
      <w:lvlJc w:val="left"/>
    </w:lvl>
  </w:abstractNum>
  <w:abstractNum w:abstractNumId="1">
    <w:nsid w:val="B36FBAE5"/>
    <w:multiLevelType w:val="singleLevel"/>
    <w:tmpl w:val="B36FBAE5"/>
    <w:lvl w:ilvl="0" w:tentative="0">
      <w:start w:val="11"/>
      <w:numFmt w:val="upperLetter"/>
      <w:suff w:val="space"/>
      <w:lvlText w:val="(%1)"/>
      <w:lvlJc w:val="left"/>
    </w:lvl>
  </w:abstractNum>
  <w:abstractNum w:abstractNumId="2">
    <w:nsid w:val="0D786BB1"/>
    <w:multiLevelType w:val="singleLevel"/>
    <w:tmpl w:val="0D786BB1"/>
    <w:lvl w:ilvl="0" w:tentative="0">
      <w:start w:val="10"/>
      <w:numFmt w:val="upperLetter"/>
      <w:suff w:val="space"/>
      <w:lvlText w:val="(%1)"/>
      <w:lvlJc w:val="left"/>
    </w:lvl>
  </w:abstractNum>
  <w:abstractNum w:abstractNumId="3">
    <w:nsid w:val="52437C88"/>
    <w:multiLevelType w:val="singleLevel"/>
    <w:tmpl w:val="52437C88"/>
    <w:lvl w:ilvl="0" w:tentative="0">
      <w:start w:val="1"/>
      <w:numFmt w:val="upperRoman"/>
      <w:suff w:val="space"/>
      <w:lvlText w:val="(%1)"/>
      <w:lvlJc w:val="left"/>
    </w:lvl>
  </w:abstractNum>
  <w:abstractNum w:abstractNumId="4">
    <w:nsid w:val="535CD6D8"/>
    <w:multiLevelType w:val="singleLevel"/>
    <w:tmpl w:val="535CD6D8"/>
    <w:lvl w:ilvl="0" w:tentative="0">
      <w:start w:val="5"/>
      <w:numFmt w:val="upperLetter"/>
      <w:suff w:val="space"/>
      <w:lvlText w:val="(%1)"/>
      <w:lvlJc w:val="left"/>
    </w:lvl>
  </w:abstractNum>
  <w:abstractNum w:abstractNumId="5">
    <w:nsid w:val="68FCC691"/>
    <w:multiLevelType w:val="singleLevel"/>
    <w:tmpl w:val="68FCC691"/>
    <w:lvl w:ilvl="0" w:tentative="0">
      <w:start w:val="3"/>
      <w:numFmt w:val="upperLetter"/>
      <w:suff w:val="space"/>
      <w:lvlText w:val="(%1)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wMDY5ZTlmYTUxMDViNDQzNGY0NGZkMzhkNDMwNTgifQ=="/>
  </w:docVars>
  <w:rsids>
    <w:rsidRoot w:val="00000000"/>
    <w:rsid w:val="16F44579"/>
    <w:rsid w:val="270E64D3"/>
    <w:rsid w:val="28CA467C"/>
    <w:rsid w:val="39DF785B"/>
    <w:rsid w:val="40C20CBD"/>
    <w:rsid w:val="462D194E"/>
    <w:rsid w:val="4967647B"/>
    <w:rsid w:val="4A1A7852"/>
    <w:rsid w:val="4F3D0E61"/>
    <w:rsid w:val="62173E67"/>
    <w:rsid w:val="66C537B1"/>
    <w:rsid w:val="771A36A5"/>
    <w:rsid w:val="789D68A0"/>
    <w:rsid w:val="7C78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2024-02-16T10:10:00Z</dcterms:created>
  <dc:creator>熊雅俊</dc:creator>
  <cp:lastModifiedBy></cp:lastModifiedBy>
  <dcterms:modified xsi:type="dcterms:W3CDTF">2024-03-14T08:02:04Z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BE9FD0AC42DA4CD6943E0A4CF2AF2C67_12</vt:lpwstr>
  </property>
</Properties>
</file>