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Bdr>
          <w:bottom w:val="single" w:color="auto" w:sz="6" w:space="1"/>
        </w:pBdr>
        <w:spacing w:before="240" w:after="0" w:line="360" w:lineRule="auto"/>
        <w:jc w:val="both"/>
        <w:rPr>
          <w:rFonts w:ascii="Times New Roman" w:hAnsi="Times New Roman" w:cs="Times New Roman"/>
          <w:b/>
          <w:bCs/>
          <w:sz w:val="32"/>
          <w:szCs w:val="32"/>
          <w:lang w:val="en-GB"/>
        </w:rPr>
      </w:pPr>
      <w:r>
        <w:rPr>
          <w:rFonts w:ascii="Times New Roman" w:hAnsi="Times New Roman" w:cs="Times New Roman"/>
          <w:b/>
          <w:bCs/>
          <w:sz w:val="32"/>
          <w:szCs w:val="32"/>
          <w:lang w:val="en-GB"/>
        </w:rPr>
        <w:t>Supplementary Information</w:t>
      </w:r>
    </w:p>
    <w:p>
      <w:pPr>
        <w:numPr>
          <w:ilvl w:val="255"/>
          <w:numId w:val="0"/>
        </w:numPr>
        <w:spacing w:line="360" w:lineRule="auto"/>
        <w:jc w:val="both"/>
        <w:rPr>
          <w:rFonts w:ascii="Times New Roman" w:hAnsi="Times New Roman" w:cs="Times New Roman"/>
          <w:lang w:val="en-GB"/>
        </w:rPr>
        <w:sectPr>
          <w:type w:val="continuous"/>
          <w:pgSz w:w="11906" w:h="16838"/>
          <w:pgMar w:top="1440" w:right="964" w:bottom="1440" w:left="964" w:header="851" w:footer="992" w:gutter="0"/>
          <w:pgBorders>
            <w:top w:val="none" w:sz="0" w:space="0"/>
            <w:left w:val="none" w:sz="0" w:space="0"/>
            <w:bottom w:val="none" w:sz="0" w:space="0"/>
            <w:right w:val="none" w:sz="0" w:space="0"/>
          </w:pgBorders>
          <w:cols w:space="425" w:num="1"/>
          <w:docGrid w:type="lines" w:linePitch="312" w:charSpace="0"/>
        </w:sectPr>
      </w:pPr>
      <w:bookmarkStart w:id="0" w:name="OLE_LINK31"/>
    </w:p>
    <w:p>
      <w:pPr>
        <w:numPr>
          <w:ilvl w:val="255"/>
          <w:numId w:val="0"/>
        </w:numPr>
        <w:spacing w:line="360" w:lineRule="auto"/>
        <w:jc w:val="both"/>
        <w:rPr>
          <w:rFonts w:ascii="Times New Roman" w:hAnsi="Times New Roman" w:eastAsia="Times New Roman" w:cs="Times New Roman"/>
          <w:color w:val="222222"/>
          <w:sz w:val="28"/>
          <w:szCs w:val="28"/>
          <w:lang w:val="en-GB" w:eastAsia="pt-BR"/>
        </w:rPr>
      </w:pPr>
      <w:r>
        <w:rPr>
          <w:rFonts w:ascii="Times New Roman" w:hAnsi="Times New Roman" w:eastAsia="Times New Roman" w:cs="Times New Roman"/>
          <w:color w:val="222222"/>
          <w:sz w:val="28"/>
          <w:szCs w:val="28"/>
          <w:lang w:val="en-GB" w:eastAsia="pt-BR"/>
        </w:rPr>
        <w:t xml:space="preserve">Comparison between </w:t>
      </w:r>
      <w:r>
        <w:rPr>
          <w:rFonts w:hint="eastAsia" w:ascii="Times New Roman" w:hAnsi="Times New Roman" w:cs="Times New Roman"/>
          <w:color w:val="222222"/>
          <w:sz w:val="28"/>
          <w:szCs w:val="28"/>
          <w:lang w:eastAsia="zh-CN"/>
        </w:rPr>
        <w:t>DBS-ON</w:t>
      </w:r>
      <w:r>
        <w:rPr>
          <w:rFonts w:ascii="Times New Roman" w:hAnsi="Times New Roman" w:eastAsia="Times New Roman" w:cs="Times New Roman"/>
          <w:color w:val="222222"/>
          <w:sz w:val="28"/>
          <w:szCs w:val="28"/>
          <w:lang w:val="en-GB" w:eastAsia="pt-BR"/>
        </w:rPr>
        <w:t xml:space="preserve"> and DBS-OFF models</w:t>
      </w:r>
    </w:p>
    <w:p>
      <w:pPr>
        <w:numPr>
          <w:ilvl w:val="255"/>
          <w:numId w:val="0"/>
        </w:numPr>
        <w:spacing w:line="360" w:lineRule="auto"/>
        <w:jc w:val="both"/>
        <w:rPr>
          <w:rFonts w:ascii="Times New Roman" w:hAnsi="Times New Roman" w:cs="Times New Roman"/>
          <w:lang w:eastAsia="zh-CN"/>
        </w:rPr>
      </w:pPr>
      <w:bookmarkStart w:id="4" w:name="_GoBack"/>
      <w:bookmarkEnd w:id="4"/>
      <w:r>
        <w:rPr>
          <w:rFonts w:hint="eastAsia" w:ascii="Times New Roman" w:hAnsi="Times New Roman" w:cs="Times New Roman"/>
          <w:lang w:eastAsia="zh-CN"/>
        </w:rPr>
        <w:t>Fig. S1</w:t>
      </w:r>
      <w:r>
        <w:rPr>
          <w:rFonts w:ascii="Times New Roman" w:hAnsi="Times New Roman" w:cs="Times New Roman"/>
          <w:lang w:eastAsia="zh-CN"/>
        </w:rPr>
        <w:t xml:space="preserve"> illustrates the changes in mean firing rate and connectivity intensity in the DBS-OFF group compared to the DBS-ON group.</w:t>
      </w:r>
      <w:r>
        <w:rPr>
          <w:rFonts w:hint="eastAsia" w:ascii="Times New Roman" w:hAnsi="Times New Roman" w:cs="Times New Roman"/>
          <w:lang w:eastAsia="zh-CN"/>
        </w:rPr>
        <w:t xml:space="preserve"> Interactions (excitatory and inhibitory) within the cortical region were significantly enhanced, which also resulted to decreased excitatory connectivity in the cortico-STN as a 38.98% reduction in the PY-STN. Note that the excitability effect of STN on the pallidum changes weakly, which may be caused by the large decrease in both the excitatory and inhibitory effects of STN. </w:t>
      </w:r>
    </w:p>
    <w:p>
      <w:pPr>
        <w:numPr>
          <w:ilvl w:val="255"/>
          <w:numId w:val="0"/>
        </w:numPr>
        <w:spacing w:line="360" w:lineRule="auto"/>
        <w:jc w:val="both"/>
        <w:rPr>
          <w:rFonts w:ascii="Times New Roman" w:hAnsi="Times New Roman" w:cs="Times New Roman"/>
          <w:lang w:eastAsia="zh-CN"/>
        </w:rPr>
      </w:pPr>
      <w:r>
        <w:rPr>
          <w:rFonts w:hint="eastAsia" w:ascii="Times New Roman" w:hAnsi="Times New Roman" w:cs="Times New Roman"/>
          <w:lang w:eastAsia="zh-CN"/>
        </w:rPr>
        <w:t>We compared the connection strength before and after the DBS switch by a</w:t>
      </w:r>
      <w:r>
        <w:rPr>
          <w:rFonts w:ascii="Times New Roman" w:hAnsi="Times New Roman" w:cs="Times New Roman"/>
          <w:lang w:eastAsia="zh-CN"/>
        </w:rPr>
        <w:t xml:space="preserve"> paired-samples</w:t>
      </w:r>
      <w:r>
        <w:rPr>
          <w:rFonts w:hint="eastAsia" w:ascii="Times New Roman" w:hAnsi="Times New Roman" w:cs="Times New Roman"/>
          <w:lang w:eastAsia="zh-CN"/>
        </w:rPr>
        <w:t xml:space="preserve"> t-test for independent samples , and the results are presented in Table S1. It can be found that the synaptic connection strength showed no significant change with a significance level ɑ = 0.05 in the synaptic connection strength between each nucleus before and after DBS programming, with the mo</w:t>
      </w:r>
      <w:r>
        <w:rPr>
          <w:rFonts w:ascii="Times New Roman" w:hAnsi="Times New Roman" w:cs="Times New Roman"/>
          <w:lang w:eastAsia="zh-CN"/>
        </w:rPr>
        <w:t>st</w:t>
      </w:r>
      <w:r>
        <w:rPr>
          <w:rFonts w:hint="eastAsia" w:ascii="Times New Roman" w:hAnsi="Times New Roman" w:cs="Times New Roman"/>
          <w:lang w:eastAsia="zh-CN"/>
        </w:rPr>
        <w:t xml:space="preserve"> significant chan</w:t>
      </w:r>
      <w:r>
        <w:rPr>
          <w:rFonts w:ascii="Times New Roman" w:hAnsi="Times New Roman" w:cs="Times New Roman"/>
          <w:lang w:eastAsia="zh-CN"/>
        </w:rPr>
        <w:t xml:space="preserve">ge in </w:t>
      </w:r>
      <w:r>
        <w:rPr>
          <w:rFonts w:hint="eastAsia" w:ascii="Times New Roman" w:hAnsi="Times New Roman" w:cs="Times New Roman"/>
          <w:lang w:eastAsia="zh-CN"/>
        </w:rPr>
        <w:t>PY-STN connection . In addition, GPe-STN has a small within-group standard deviation and high confidence.</w:t>
      </w:r>
    </w:p>
    <w:p>
      <w:pPr>
        <w:numPr>
          <w:ilvl w:val="255"/>
          <w:numId w:val="0"/>
        </w:numPr>
        <w:spacing w:line="360" w:lineRule="auto"/>
        <w:jc w:val="both"/>
        <w:rPr>
          <w:rFonts w:ascii="Times New Roman" w:hAnsi="Times New Roman" w:cs="Times New Roman"/>
          <w:lang w:eastAsia="zh-CN"/>
        </w:rPr>
      </w:pPr>
      <w:r>
        <w:rPr>
          <w:rFonts w:hint="eastAsia" w:ascii="Times New Roman" w:hAnsi="Times New Roman" w:cs="Times New Roman"/>
          <w:lang w:eastAsia="zh-CN"/>
        </w:rPr>
        <w:t>The firing rate of neurons also changed with the DBS. To calculate the resting-state mean firing rate for a region, the number of spikes occurring in the respective population was divided by time and population size. Fig. S1</w:t>
      </w:r>
      <w:r>
        <w:rPr>
          <w:rFonts w:ascii="Times New Roman" w:hAnsi="Times New Roman" w:cs="Times New Roman"/>
          <w:lang w:eastAsia="zh-CN"/>
        </w:rPr>
        <w:t xml:space="preserve"> </w:t>
      </w:r>
      <w:r>
        <w:rPr>
          <w:rFonts w:hint="eastAsia" w:ascii="Times New Roman" w:hAnsi="Times New Roman" w:cs="Times New Roman"/>
          <w:lang w:eastAsia="zh-CN"/>
        </w:rPr>
        <w:t xml:space="preserve">shows that the mean firing rate of the STN decreased significantly (-33.95%), influenced by changes in the strength of synaptic connections (greater attenuation of excitatory stimuli). The inhibitory stimulation of PY was significantly higher than the excitatory stimulation (25.2%&gt; 0.3%), so the mean firing rate of PY was significantly reduced to -18.40%. We compared the mean firing rates before and after the DBS switch by a </w:t>
      </w:r>
      <w:r>
        <w:rPr>
          <w:rFonts w:ascii="Times New Roman" w:hAnsi="Times New Roman" w:cs="Times New Roman"/>
          <w:lang w:eastAsia="zh-CN"/>
        </w:rPr>
        <w:t>paired-samples</w:t>
      </w:r>
      <w:r>
        <w:rPr>
          <w:rFonts w:hint="eastAsia" w:ascii="Times New Roman" w:hAnsi="Times New Roman" w:cs="Times New Roman"/>
          <w:lang w:eastAsia="zh-CN"/>
        </w:rPr>
        <w:t xml:space="preserve"> t-test for independent samples, with a significance level of ɑ = 0.05, and the results are presented in Table S2. Similar to the test results of synaptic connection strength, it is found that there was no significant change in the mean firing rate in the table. However, the mean firing rate of PY and thalamus is more prominent than other nuclei due to the large individual data.</w:t>
      </w:r>
    </w:p>
    <w:p>
      <w:pPr>
        <w:rPr>
          <w:rFonts w:hint="eastAsia" w:ascii="Times New Roman" w:hAnsi="Times New Roman"/>
          <w:color w:val="222222"/>
          <w:sz w:val="22"/>
          <w:szCs w:val="22"/>
          <w:lang w:val="en-GB" w:eastAsia="zh-CN"/>
        </w:rPr>
      </w:pPr>
      <w:r>
        <w:rPr>
          <w:rFonts w:hint="eastAsia" w:ascii="Times New Roman" w:hAnsi="Times New Roman"/>
          <w:color w:val="222222"/>
          <w:sz w:val="22"/>
          <w:szCs w:val="22"/>
          <w:lang w:val="en-GB" w:eastAsia="zh-CN"/>
        </w:rPr>
        <w:br w:type="page"/>
      </w:r>
    </w:p>
    <w:p>
      <w:pPr>
        <w:pStyle w:val="2"/>
        <w:shd w:val="clear" w:color="auto" w:fill="FFFFFF"/>
        <w:spacing w:before="300" w:after="240" w:line="360" w:lineRule="auto"/>
        <w:rPr>
          <w:rFonts w:hint="default" w:ascii="Times New Roman" w:hAnsi="Times New Roman"/>
          <w:sz w:val="22"/>
          <w:szCs w:val="22"/>
        </w:rPr>
      </w:pPr>
      <w:r>
        <w:rPr>
          <w:rFonts w:hint="eastAsia" w:ascii="Times New Roman" w:hAnsi="Times New Roman"/>
          <w:color w:val="222222"/>
          <w:sz w:val="22"/>
          <w:szCs w:val="22"/>
          <w:lang w:val="en-GB" w:eastAsia="zh-CN"/>
        </w:rPr>
        <w:t>Fig. S1</w:t>
      </w:r>
      <w:r>
        <w:rPr>
          <w:rFonts w:ascii="Times New Roman" w:hAnsi="Times New Roman"/>
          <w:color w:val="222222"/>
          <w:sz w:val="22"/>
          <w:szCs w:val="22"/>
          <w:lang w:val="en-GB"/>
        </w:rPr>
        <w:t xml:space="preserve">: </w:t>
      </w:r>
      <w:r>
        <w:rPr>
          <w:rFonts w:ascii="Times New Roman" w:hAnsi="Times New Roman"/>
          <w:color w:val="222222"/>
          <w:sz w:val="22"/>
          <w:szCs w:val="22"/>
        </w:rPr>
        <w:t xml:space="preserve"> </w:t>
      </w:r>
      <w:r>
        <w:rPr>
          <w:rFonts w:ascii="Times New Roman" w:hAnsi="Times New Roman"/>
          <w:sz w:val="22"/>
          <w:szCs w:val="22"/>
        </w:rPr>
        <w:t>The relative changes in mean firing rate and connectivity intensity between the DBS-OFF and DBS-ON groups</w:t>
      </w:r>
      <w:r>
        <w:rPr>
          <w:rFonts w:ascii="Times New Roman" w:hAnsi="Times New Roman"/>
          <w:color w:val="222222"/>
          <w:sz w:val="22"/>
          <w:szCs w:val="22"/>
        </w:rPr>
        <w:t>.</w:t>
      </w:r>
    </w:p>
    <w:p>
      <w:pPr>
        <w:numPr>
          <w:ilvl w:val="255"/>
          <w:numId w:val="0"/>
        </w:numPr>
        <w:spacing w:line="360" w:lineRule="auto"/>
        <w:jc w:val="center"/>
        <w:rPr>
          <w:lang w:eastAsia="zh-CN"/>
        </w:rPr>
      </w:pPr>
      <w:r>
        <w:rPr>
          <w:rFonts w:hint="eastAsia"/>
          <w:lang w:eastAsia="zh-CN"/>
        </w:rPr>
        <w:drawing>
          <wp:inline distT="0" distB="0" distL="114300" distR="114300">
            <wp:extent cx="3432175" cy="2889250"/>
            <wp:effectExtent l="0" t="0" r="15875" b="6350"/>
            <wp:docPr id="4" name="图片 4" descr="Fig.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S2"/>
                    <pic:cNvPicPr>
                      <a:picLocks noChangeAspect="1"/>
                    </pic:cNvPicPr>
                  </pic:nvPicPr>
                  <pic:blipFill>
                    <a:blip r:embed="rId6"/>
                    <a:stretch>
                      <a:fillRect/>
                    </a:stretch>
                  </pic:blipFill>
                  <pic:spPr>
                    <a:xfrm>
                      <a:off x="0" y="0"/>
                      <a:ext cx="3432175" cy="2889250"/>
                    </a:xfrm>
                    <a:prstGeom prst="rect">
                      <a:avLst/>
                    </a:prstGeom>
                  </pic:spPr>
                </pic:pic>
              </a:graphicData>
            </a:graphic>
          </wp:inline>
        </w:drawing>
      </w:r>
    </w:p>
    <w:p>
      <w:pPr>
        <w:spacing w:line="360" w:lineRule="auto"/>
        <w:jc w:val="both"/>
        <w:rPr>
          <w:lang w:eastAsia="zh-CN"/>
        </w:rPr>
        <w:sectPr>
          <w:type w:val="continuous"/>
          <w:pgSz w:w="11906" w:h="16838"/>
          <w:pgMar w:top="1440" w:right="964" w:bottom="1440" w:left="964" w:header="851" w:footer="992" w:gutter="0"/>
          <w:pgBorders>
            <w:top w:val="none" w:sz="0" w:space="0"/>
            <w:left w:val="none" w:sz="0" w:space="0"/>
            <w:bottom w:val="none" w:sz="0" w:space="0"/>
            <w:right w:val="none" w:sz="0" w:space="0"/>
          </w:pgBorders>
          <w:cols w:space="425" w:num="1"/>
          <w:docGrid w:type="lines" w:linePitch="312" w:charSpace="0"/>
        </w:sectPr>
      </w:pPr>
    </w:p>
    <w:p>
      <w:pPr>
        <w:numPr>
          <w:ilvl w:val="255"/>
          <w:numId w:val="0"/>
        </w:numPr>
        <w:spacing w:line="360" w:lineRule="auto"/>
        <w:jc w:val="both"/>
        <w:rPr>
          <w:rFonts w:ascii="Times New Roman" w:hAnsi="Times New Roman" w:cs="Times New Roman"/>
        </w:rPr>
      </w:pPr>
      <w:r>
        <w:rPr>
          <w:rFonts w:hint="eastAsia" w:ascii="Times New Roman" w:hAnsi="Times New Roman" w:cs="Times New Roman"/>
        </w:rPr>
        <w:t xml:space="preserve">The thickness of the arrow </w:t>
      </w:r>
      <w:r>
        <w:rPr>
          <w:rFonts w:ascii="Times New Roman" w:hAnsi="Times New Roman" w:cs="Times New Roman"/>
        </w:rPr>
        <w:t>reflects</w:t>
      </w:r>
      <w:r>
        <w:rPr>
          <w:rFonts w:hint="eastAsia" w:ascii="Times New Roman" w:hAnsi="Times New Roman" w:cs="Times New Roman"/>
        </w:rPr>
        <w:t xml:space="preserve"> the degree of change in synaptic connection, and the thickness of the rectangular border indicates the change of the average firing rate of each nucleus after DBS </w:t>
      </w:r>
      <w:r>
        <w:rPr>
          <w:rFonts w:ascii="Times New Roman" w:hAnsi="Times New Roman" w:cs="Times New Roman"/>
        </w:rPr>
        <w:t xml:space="preserve">is </w:t>
      </w:r>
      <w:r>
        <w:rPr>
          <w:rFonts w:hint="eastAsia" w:ascii="Times New Roman" w:hAnsi="Times New Roman" w:cs="Times New Roman"/>
          <w:lang w:eastAsia="zh-CN"/>
        </w:rPr>
        <w:t>turn</w:t>
      </w:r>
      <w:r>
        <w:rPr>
          <w:rFonts w:ascii="Times New Roman" w:hAnsi="Times New Roman" w:cs="Times New Roman"/>
          <w:lang w:eastAsia="zh-CN"/>
        </w:rPr>
        <w:t>ed</w:t>
      </w:r>
      <w:r>
        <w:rPr>
          <w:rFonts w:hint="eastAsia" w:ascii="Times New Roman" w:hAnsi="Times New Roman" w:cs="Times New Roman"/>
        </w:rPr>
        <w:t xml:space="preserve"> on. The </w:t>
      </w:r>
      <w:r>
        <w:rPr>
          <w:rFonts w:ascii="Times New Roman" w:hAnsi="Times New Roman" w:cs="Times New Roman"/>
        </w:rPr>
        <w:t>great</w:t>
      </w:r>
      <w:r>
        <w:rPr>
          <w:rFonts w:hint="eastAsia" w:ascii="Times New Roman" w:hAnsi="Times New Roman" w:cs="Times New Roman"/>
        </w:rPr>
        <w:t xml:space="preserve">er the thickness, the </w:t>
      </w:r>
      <w:r>
        <w:rPr>
          <w:rFonts w:ascii="Times New Roman" w:hAnsi="Times New Roman" w:cs="Times New Roman"/>
        </w:rPr>
        <w:t>more pronounced</w:t>
      </w:r>
      <w:r>
        <w:rPr>
          <w:rFonts w:hint="eastAsia" w:ascii="Times New Roman" w:hAnsi="Times New Roman" w:cs="Times New Roman"/>
        </w:rPr>
        <w:t xml:space="preserve"> the degree of change. </w:t>
      </w:r>
      <w:r>
        <w:rPr>
          <w:rFonts w:ascii="Times New Roman" w:hAnsi="Times New Roman" w:cs="Times New Roman"/>
        </w:rPr>
        <w:t>B</w:t>
      </w:r>
      <w:r>
        <w:rPr>
          <w:rFonts w:hint="eastAsia" w:ascii="Times New Roman" w:hAnsi="Times New Roman" w:cs="Times New Roman"/>
          <w:lang w:eastAsia="zh-CN"/>
        </w:rPr>
        <w:t>lack</w:t>
      </w:r>
      <w:r>
        <w:rPr>
          <w:rFonts w:hint="eastAsia" w:ascii="Times New Roman" w:hAnsi="Times New Roman" w:cs="Times New Roman"/>
        </w:rPr>
        <w:t xml:space="preserve"> indicates enlargement</w:t>
      </w:r>
      <w:r>
        <w:rPr>
          <w:rFonts w:ascii="Times New Roman" w:hAnsi="Times New Roman" w:cs="Times New Roman"/>
        </w:rPr>
        <w:t>, while</w:t>
      </w:r>
      <w:r>
        <w:rPr>
          <w:rFonts w:hint="eastAsia" w:ascii="Times New Roman" w:hAnsi="Times New Roman" w:cs="Times New Roman"/>
        </w:rPr>
        <w:t xml:space="preserve"> gray </w:t>
      </w:r>
      <w:r>
        <w:rPr>
          <w:rFonts w:ascii="Times New Roman" w:hAnsi="Times New Roman" w:cs="Times New Roman"/>
        </w:rPr>
        <w:t>signifie</w:t>
      </w:r>
      <w:r>
        <w:rPr>
          <w:rFonts w:hint="eastAsia" w:ascii="Times New Roman" w:hAnsi="Times New Roman" w:cs="Times New Roman"/>
        </w:rPr>
        <w:t>s weakening.</w:t>
      </w:r>
    </w:p>
    <w:p>
      <w:pPr>
        <w:numPr>
          <w:ilvl w:val="255"/>
          <w:numId w:val="0"/>
        </w:numPr>
        <w:spacing w:line="360" w:lineRule="auto"/>
        <w:jc w:val="both"/>
        <w:rPr>
          <w:rFonts w:ascii="Times New Roman" w:hAnsi="Times New Roman" w:eastAsia="Times New Roman" w:cs="Times New Roman"/>
          <w:color w:val="222222"/>
          <w:sz w:val="28"/>
          <w:szCs w:val="28"/>
          <w:lang w:val="en-GB" w:eastAsia="pt-BR"/>
        </w:rPr>
      </w:pPr>
      <w:r>
        <w:rPr>
          <w:rFonts w:ascii="Times New Roman" w:hAnsi="Times New Roman" w:eastAsia="Times New Roman" w:cs="Times New Roman"/>
          <w:color w:val="222222"/>
          <w:sz w:val="28"/>
          <w:szCs w:val="28"/>
          <w:lang w:val="en-GB" w:eastAsia="pt-BR"/>
        </w:rPr>
        <w:t>Comparison between HC and DBS-OFF models</w:t>
      </w:r>
    </w:p>
    <w:p>
      <w:pPr>
        <w:spacing w:line="360" w:lineRule="auto"/>
        <w:jc w:val="both"/>
        <w:rPr>
          <w:rFonts w:ascii="Times New Roman" w:hAnsi="Times New Roman" w:cs="Times New Roman"/>
          <w:lang w:eastAsia="zh-CN"/>
        </w:rPr>
      </w:pPr>
      <w:r>
        <w:rPr>
          <w:rFonts w:hint="eastAsia" w:ascii="Times New Roman" w:hAnsi="Times New Roman" w:cs="Times New Roman"/>
          <w:lang w:eastAsia="zh-CN"/>
        </w:rPr>
        <w:t xml:space="preserve">To further understand how STN-DBS </w:t>
      </w:r>
      <w:r>
        <w:rPr>
          <w:rFonts w:ascii="Times New Roman" w:hAnsi="Times New Roman" w:cs="Times New Roman"/>
          <w:lang w:eastAsia="zh-CN"/>
        </w:rPr>
        <w:t>affect</w:t>
      </w:r>
      <w:r>
        <w:rPr>
          <w:rFonts w:hint="eastAsia" w:ascii="Times New Roman" w:hAnsi="Times New Roman" w:cs="Times New Roman"/>
          <w:lang w:eastAsia="zh-CN"/>
        </w:rPr>
        <w:t xml:space="preserve">s functional connectivity in PD patients by correcting synaptic connection strength and how the correction works, we obtained the changes in connectivity strength </w:t>
      </w:r>
      <w:r>
        <w:rPr>
          <w:rFonts w:ascii="Times New Roman" w:hAnsi="Times New Roman" w:cs="Times New Roman"/>
          <w:lang w:eastAsia="zh-CN"/>
        </w:rPr>
        <w:t>associated with</w:t>
      </w:r>
      <w:r>
        <w:rPr>
          <w:rFonts w:hint="eastAsia" w:ascii="Times New Roman" w:hAnsi="Times New Roman" w:cs="Times New Roman"/>
          <w:lang w:eastAsia="zh-CN"/>
        </w:rPr>
        <w:t xml:space="preserve"> PD symptoms by comparing group differences between PD and HC. The Pearson correlation coefficient of each brain interval was calculated using fMRI data in the DBS-OFF state to form a connectivity matrix, from which the average parameter results obtained were fit as within-group data in the PD state. The mean firing rate of PD relative to HC versus synaptic connectivity strength changes is plotted in Fig. S2. </w:t>
      </w:r>
      <w:r>
        <w:rPr>
          <w:rFonts w:ascii="Times New Roman" w:hAnsi="Times New Roman" w:cs="Times New Roman"/>
          <w:lang w:eastAsia="zh-CN"/>
        </w:rPr>
        <w:t>Additionally</w:t>
      </w:r>
      <w:r>
        <w:rPr>
          <w:rFonts w:hint="eastAsia" w:ascii="Times New Roman" w:hAnsi="Times New Roman" w:cs="Times New Roman"/>
          <w:lang w:eastAsia="zh-CN"/>
        </w:rPr>
        <w:t>, we compared the strength of synaptic connectivity (Table S6) and mean firing rates between patients and controls by a</w:t>
      </w:r>
      <w:r>
        <w:rPr>
          <w:rFonts w:ascii="Times New Roman" w:hAnsi="Times New Roman" w:cs="Times New Roman"/>
          <w:lang w:eastAsia="zh-CN"/>
        </w:rPr>
        <w:t>n</w:t>
      </w:r>
      <w:r>
        <w:rPr>
          <w:rFonts w:hint="eastAsia" w:ascii="Times New Roman" w:hAnsi="Times New Roman" w:cs="Times New Roman"/>
          <w:lang w:eastAsia="zh-CN"/>
        </w:rPr>
        <w:t xml:space="preserve"> independent</w:t>
      </w:r>
      <w:r>
        <w:rPr>
          <w:rFonts w:ascii="Times New Roman" w:hAnsi="Times New Roman" w:cs="Times New Roman"/>
          <w:lang w:eastAsia="zh-CN"/>
        </w:rPr>
        <w:t>-</w:t>
      </w:r>
      <w:r>
        <w:rPr>
          <w:rFonts w:hint="eastAsia" w:ascii="Times New Roman" w:hAnsi="Times New Roman" w:cs="Times New Roman"/>
          <w:lang w:eastAsia="zh-CN"/>
        </w:rPr>
        <w:t>samples t-test (Table S7) of each region</w:t>
      </w:r>
      <w:r>
        <w:rPr>
          <w:rFonts w:hint="eastAsia" w:ascii="Times New Roman" w:hAnsi="Times New Roman" w:cs="Times New Roman"/>
        </w:rPr>
        <w:t xml:space="preserve">, with a significance level of </w:t>
      </w:r>
      <w:r>
        <w:rPr>
          <w:rFonts w:ascii="Times New Roman" w:hAnsi="Times New Roman" w:cs="Times New Roman"/>
        </w:rPr>
        <w:t>ɑ</w:t>
      </w:r>
      <w:r>
        <w:rPr>
          <w:rFonts w:hint="eastAsia" w:ascii="Times New Roman" w:hAnsi="Times New Roman" w:cs="Times New Roman"/>
        </w:rPr>
        <w:t xml:space="preserve"> = 0.05</w:t>
      </w:r>
      <w:r>
        <w:rPr>
          <w:rFonts w:hint="eastAsia" w:ascii="Times New Roman" w:hAnsi="Times New Roman" w:cs="Times New Roman"/>
          <w:lang w:eastAsia="zh-CN"/>
        </w:rPr>
        <w:t>.</w:t>
      </w:r>
    </w:p>
    <w:p>
      <w:pPr>
        <w:rPr>
          <w:rFonts w:hint="eastAsia" w:ascii="Times New Roman" w:hAnsi="Times New Roman"/>
          <w:color w:val="222222"/>
          <w:sz w:val="22"/>
          <w:szCs w:val="22"/>
          <w:lang w:val="en-GB" w:eastAsia="zh-CN"/>
        </w:rPr>
      </w:pPr>
      <w:r>
        <w:rPr>
          <w:rFonts w:hint="eastAsia" w:ascii="Times New Roman" w:hAnsi="Times New Roman"/>
          <w:color w:val="222222"/>
          <w:sz w:val="22"/>
          <w:szCs w:val="22"/>
          <w:lang w:val="en-GB" w:eastAsia="zh-CN"/>
        </w:rPr>
        <w:br w:type="page"/>
      </w:r>
    </w:p>
    <w:p>
      <w:pPr>
        <w:pStyle w:val="2"/>
        <w:shd w:val="clear" w:color="auto" w:fill="FFFFFF"/>
        <w:spacing w:before="300" w:after="240" w:line="360" w:lineRule="auto"/>
        <w:rPr>
          <w:rFonts w:hint="default" w:ascii="Times New Roman" w:hAnsi="Times New Roman"/>
          <w:sz w:val="22"/>
          <w:szCs w:val="22"/>
        </w:rPr>
      </w:pPr>
      <w:r>
        <w:rPr>
          <w:rFonts w:hint="eastAsia" w:ascii="Times New Roman" w:hAnsi="Times New Roman"/>
          <w:color w:val="222222"/>
          <w:sz w:val="22"/>
          <w:szCs w:val="22"/>
          <w:lang w:val="en-GB" w:eastAsia="zh-CN"/>
        </w:rPr>
        <w:t>Fig. S2</w:t>
      </w:r>
      <w:r>
        <w:rPr>
          <w:rFonts w:ascii="Times New Roman" w:hAnsi="Times New Roman"/>
          <w:color w:val="222222"/>
          <w:sz w:val="22"/>
          <w:szCs w:val="22"/>
          <w:lang w:val="en-GB"/>
        </w:rPr>
        <w:t xml:space="preserve">: </w:t>
      </w:r>
      <w:r>
        <w:rPr>
          <w:rFonts w:ascii="Times New Roman" w:hAnsi="Times New Roman"/>
          <w:color w:val="222222"/>
          <w:sz w:val="22"/>
          <w:szCs w:val="22"/>
        </w:rPr>
        <w:t xml:space="preserve"> </w:t>
      </w:r>
      <w:r>
        <w:rPr>
          <w:rFonts w:ascii="Times New Roman" w:hAnsi="Times New Roman"/>
          <w:sz w:val="22"/>
          <w:szCs w:val="22"/>
        </w:rPr>
        <w:t>The relative changes in mean firing rate and connectivity intensity between the DBS-OFF and HC groups</w:t>
      </w:r>
      <w:r>
        <w:rPr>
          <w:rFonts w:ascii="Times New Roman" w:hAnsi="Times New Roman"/>
          <w:color w:val="222222"/>
          <w:sz w:val="22"/>
          <w:szCs w:val="22"/>
        </w:rPr>
        <w:t>.</w:t>
      </w:r>
    </w:p>
    <w:p>
      <w:pPr>
        <w:numPr>
          <w:ilvl w:val="255"/>
          <w:numId w:val="0"/>
        </w:numPr>
        <w:spacing w:line="360" w:lineRule="auto"/>
        <w:jc w:val="center"/>
      </w:pPr>
      <w:r>
        <w:drawing>
          <wp:inline distT="0" distB="0" distL="114300" distR="114300">
            <wp:extent cx="3552825" cy="3016885"/>
            <wp:effectExtent l="0" t="0" r="9525" b="12065"/>
            <wp:docPr id="1" name="图片 1" descr="Fig.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S1"/>
                    <pic:cNvPicPr>
                      <a:picLocks noChangeAspect="1"/>
                    </pic:cNvPicPr>
                  </pic:nvPicPr>
                  <pic:blipFill>
                    <a:blip r:embed="rId7"/>
                    <a:stretch>
                      <a:fillRect/>
                    </a:stretch>
                  </pic:blipFill>
                  <pic:spPr>
                    <a:xfrm>
                      <a:off x="0" y="0"/>
                      <a:ext cx="3552825" cy="3016885"/>
                    </a:xfrm>
                    <a:prstGeom prst="rect">
                      <a:avLst/>
                    </a:prstGeom>
                  </pic:spPr>
                </pic:pic>
              </a:graphicData>
            </a:graphic>
          </wp:inline>
        </w:drawing>
      </w:r>
    </w:p>
    <w:p>
      <w:pPr>
        <w:numPr>
          <w:ilvl w:val="255"/>
          <w:numId w:val="0"/>
        </w:numPr>
        <w:spacing w:line="360" w:lineRule="auto"/>
        <w:jc w:val="both"/>
        <w:rPr>
          <w:rFonts w:ascii="Times New Roman" w:hAnsi="Times New Roman" w:cs="Times New Roman"/>
        </w:rPr>
      </w:pPr>
      <w:r>
        <w:rPr>
          <w:rFonts w:hint="eastAsia" w:ascii="Times New Roman" w:hAnsi="Times New Roman" w:cs="Times New Roman"/>
        </w:rPr>
        <w:t xml:space="preserve">The thickness of the arrow </w:t>
      </w:r>
      <w:r>
        <w:rPr>
          <w:rFonts w:ascii="Times New Roman" w:hAnsi="Times New Roman" w:cs="Times New Roman"/>
        </w:rPr>
        <w:t>reflects</w:t>
      </w:r>
      <w:r>
        <w:rPr>
          <w:rFonts w:hint="eastAsia" w:ascii="Times New Roman" w:hAnsi="Times New Roman" w:cs="Times New Roman"/>
        </w:rPr>
        <w:t xml:space="preserve"> the degree of change in synaptic connection, and the thickness of the rectangular border indicates the change of the average firing rate of each nucleus after DBS </w:t>
      </w:r>
      <w:r>
        <w:rPr>
          <w:rFonts w:ascii="Times New Roman" w:hAnsi="Times New Roman" w:cs="Times New Roman"/>
        </w:rPr>
        <w:t xml:space="preserve">is </w:t>
      </w:r>
      <w:r>
        <w:rPr>
          <w:rFonts w:hint="eastAsia" w:ascii="Times New Roman" w:hAnsi="Times New Roman" w:cs="Times New Roman"/>
          <w:lang w:eastAsia="zh-CN"/>
        </w:rPr>
        <w:t>turn</w:t>
      </w:r>
      <w:r>
        <w:rPr>
          <w:rFonts w:ascii="Times New Roman" w:hAnsi="Times New Roman" w:cs="Times New Roman"/>
          <w:lang w:eastAsia="zh-CN"/>
        </w:rPr>
        <w:t>ed</w:t>
      </w:r>
      <w:r>
        <w:rPr>
          <w:rFonts w:hint="eastAsia" w:ascii="Times New Roman" w:hAnsi="Times New Roman" w:cs="Times New Roman"/>
        </w:rPr>
        <w:t xml:space="preserve"> on. The </w:t>
      </w:r>
      <w:r>
        <w:rPr>
          <w:rFonts w:ascii="Times New Roman" w:hAnsi="Times New Roman" w:cs="Times New Roman"/>
        </w:rPr>
        <w:t>great</w:t>
      </w:r>
      <w:r>
        <w:rPr>
          <w:rFonts w:hint="eastAsia" w:ascii="Times New Roman" w:hAnsi="Times New Roman" w:cs="Times New Roman"/>
        </w:rPr>
        <w:t xml:space="preserve">er the thickness, the </w:t>
      </w:r>
      <w:r>
        <w:rPr>
          <w:rFonts w:ascii="Times New Roman" w:hAnsi="Times New Roman" w:cs="Times New Roman"/>
        </w:rPr>
        <w:t>more pronounced</w:t>
      </w:r>
      <w:r>
        <w:rPr>
          <w:rFonts w:hint="eastAsia" w:ascii="Times New Roman" w:hAnsi="Times New Roman" w:cs="Times New Roman"/>
        </w:rPr>
        <w:t xml:space="preserve"> the degree of change. </w:t>
      </w:r>
      <w:r>
        <w:rPr>
          <w:rFonts w:ascii="Times New Roman" w:hAnsi="Times New Roman" w:cs="Times New Roman"/>
        </w:rPr>
        <w:t>B</w:t>
      </w:r>
      <w:r>
        <w:rPr>
          <w:rFonts w:hint="eastAsia" w:ascii="Times New Roman" w:hAnsi="Times New Roman" w:cs="Times New Roman"/>
          <w:lang w:eastAsia="zh-CN"/>
        </w:rPr>
        <w:t>lack</w:t>
      </w:r>
      <w:r>
        <w:rPr>
          <w:rFonts w:hint="eastAsia" w:ascii="Times New Roman" w:hAnsi="Times New Roman" w:cs="Times New Roman"/>
        </w:rPr>
        <w:t xml:space="preserve"> indicates enlargement</w:t>
      </w:r>
      <w:r>
        <w:rPr>
          <w:rFonts w:ascii="Times New Roman" w:hAnsi="Times New Roman" w:cs="Times New Roman"/>
        </w:rPr>
        <w:t>, while</w:t>
      </w:r>
      <w:r>
        <w:rPr>
          <w:rFonts w:hint="eastAsia" w:ascii="Times New Roman" w:hAnsi="Times New Roman" w:cs="Times New Roman"/>
        </w:rPr>
        <w:t xml:space="preserve"> gray </w:t>
      </w:r>
      <w:r>
        <w:rPr>
          <w:rFonts w:ascii="Times New Roman" w:hAnsi="Times New Roman" w:cs="Times New Roman"/>
        </w:rPr>
        <w:t>signifie</w:t>
      </w:r>
      <w:r>
        <w:rPr>
          <w:rFonts w:hint="eastAsia" w:ascii="Times New Roman" w:hAnsi="Times New Roman" w:cs="Times New Roman"/>
        </w:rPr>
        <w:t>s weakening.</w:t>
      </w:r>
    </w:p>
    <w:p>
      <w:pPr>
        <w:spacing w:line="360" w:lineRule="auto"/>
        <w:jc w:val="both"/>
        <w:rPr>
          <w:rFonts w:ascii="Times New Roman" w:hAnsi="Times New Roman" w:cs="Times New Roman"/>
          <w:lang w:eastAsia="zh-CN"/>
        </w:rPr>
      </w:pPr>
    </w:p>
    <w:p>
      <w:pPr>
        <w:spacing w:line="360" w:lineRule="auto"/>
        <w:jc w:val="both"/>
        <w:rPr>
          <w:rFonts w:ascii="Times New Roman" w:hAnsi="Times New Roman" w:cs="Times New Roman"/>
          <w:lang w:eastAsia="zh-CN"/>
        </w:rPr>
      </w:pPr>
      <w:r>
        <w:rPr>
          <w:rFonts w:hint="eastAsia" w:ascii="Times New Roman" w:hAnsi="Times New Roman" w:cs="Times New Roman"/>
          <w:lang w:eastAsia="zh-CN"/>
        </w:rPr>
        <w:t>Observing the data of synaptic connection strength in Table S6, we can find that the inhibitory stimulation in the pallidal region of</w:t>
      </w:r>
      <w:r>
        <w:rPr>
          <w:rFonts w:ascii="Times New Roman" w:hAnsi="Times New Roman" w:cs="Times New Roman"/>
          <w:lang w:eastAsia="zh-CN"/>
        </w:rPr>
        <w:t xml:space="preserve"> the PD group </w:t>
      </w:r>
      <w:r>
        <w:rPr>
          <w:rFonts w:hint="eastAsia" w:ascii="Times New Roman" w:hAnsi="Times New Roman" w:cs="Times New Roman"/>
          <w:lang w:eastAsia="zh-CN"/>
        </w:rPr>
        <w:t>increased by more than ten percent</w:t>
      </w:r>
      <w:r>
        <w:rPr>
          <w:rFonts w:ascii="Times New Roman" w:hAnsi="Times New Roman" w:cs="Times New Roman"/>
          <w:lang w:eastAsia="zh-CN"/>
        </w:rPr>
        <w:t xml:space="preserve"> in comparison to the HC group</w:t>
      </w:r>
      <w:r>
        <w:rPr>
          <w:rFonts w:hint="eastAsia" w:ascii="Times New Roman" w:hAnsi="Times New Roman" w:cs="Times New Roman"/>
          <w:lang w:eastAsia="zh-CN"/>
        </w:rPr>
        <w:t>, while the</w:t>
      </w:r>
      <w:r>
        <w:rPr>
          <w:rFonts w:ascii="Times New Roman" w:hAnsi="Times New Roman" w:cs="Times New Roman"/>
          <w:lang w:eastAsia="zh-CN"/>
        </w:rPr>
        <w:t xml:space="preserve"> </w:t>
      </w:r>
      <w:r>
        <w:rPr>
          <w:rFonts w:hint="eastAsia" w:ascii="Times New Roman" w:hAnsi="Times New Roman" w:cs="Times New Roman"/>
          <w:lang w:eastAsia="zh-CN"/>
        </w:rPr>
        <w:t xml:space="preserve">connection strength in the other areas </w:t>
      </w:r>
      <w:r>
        <w:rPr>
          <w:rFonts w:ascii="Times New Roman" w:hAnsi="Times New Roman" w:cs="Times New Roman"/>
          <w:lang w:eastAsia="zh-CN"/>
        </w:rPr>
        <w:t>of the PD group decreased.</w:t>
      </w:r>
      <w:r>
        <w:rPr>
          <w:rFonts w:hint="eastAsia" w:ascii="Times New Roman" w:hAnsi="Times New Roman" w:cs="Times New Roman"/>
          <w:lang w:eastAsia="zh-CN"/>
        </w:rPr>
        <w:t xml:space="preserve"> In expand, the data presents the following characteristics:</w:t>
      </w:r>
    </w:p>
    <w:p>
      <w:pPr>
        <w:numPr>
          <w:ilvl w:val="0"/>
          <w:numId w:val="1"/>
        </w:numPr>
        <w:spacing w:line="360" w:lineRule="auto"/>
        <w:jc w:val="both"/>
        <w:rPr>
          <w:rFonts w:ascii="Times New Roman" w:hAnsi="Times New Roman" w:cs="Times New Roman"/>
          <w:lang w:eastAsia="zh-CN"/>
        </w:rPr>
      </w:pPr>
      <w:r>
        <w:rPr>
          <w:rFonts w:ascii="Times New Roman" w:hAnsi="Times New Roman" w:cs="Times New Roman"/>
          <w:lang w:eastAsia="zh-CN"/>
        </w:rPr>
        <w:t xml:space="preserve">Interactions (excitatory and inhibitory) all decreased within the cortical region, with a significant decrease in inhibitory effects (-33.43%). </w:t>
      </w:r>
    </w:p>
    <w:p>
      <w:pPr>
        <w:numPr>
          <w:ilvl w:val="0"/>
          <w:numId w:val="1"/>
        </w:numPr>
        <w:spacing w:line="360" w:lineRule="auto"/>
        <w:jc w:val="both"/>
        <w:rPr>
          <w:rFonts w:ascii="Times New Roman" w:hAnsi="Times New Roman" w:cs="Times New Roman"/>
          <w:lang w:eastAsia="zh-CN"/>
        </w:rPr>
      </w:pPr>
      <w:r>
        <w:rPr>
          <w:rFonts w:ascii="Times New Roman" w:hAnsi="Times New Roman" w:cs="Times New Roman"/>
          <w:lang w:eastAsia="zh-CN"/>
        </w:rPr>
        <w:t xml:space="preserve">The synaptic connections decreased in both STN received and output. The significant reduction in inhibitory stimulation (68.71%&gt;46.85%) from GPe to STN resulted in a diminished excitatory effect of STN output to the pallidum and a significant decrease in the mean STN firing rate (-63.68%). </w:t>
      </w:r>
    </w:p>
    <w:p>
      <w:pPr>
        <w:numPr>
          <w:ilvl w:val="0"/>
          <w:numId w:val="1"/>
        </w:numPr>
        <w:spacing w:line="360" w:lineRule="auto"/>
        <w:jc w:val="both"/>
        <w:rPr>
          <w:rFonts w:ascii="Times New Roman" w:hAnsi="Times New Roman" w:cs="Times New Roman"/>
          <w:lang w:eastAsia="zh-CN"/>
        </w:rPr>
      </w:pPr>
      <w:r>
        <w:rPr>
          <w:rFonts w:ascii="Times New Roman" w:hAnsi="Times New Roman" w:cs="Times New Roman"/>
          <w:lang w:eastAsia="zh-CN"/>
        </w:rPr>
        <w:t xml:space="preserve">GPi exhibited enhanced internuclear inhibitory effects on Th, which in turn led to decreased excitatory effects of Th on PY. </w:t>
      </w:r>
    </w:p>
    <w:p>
      <w:pPr>
        <w:numPr>
          <w:ilvl w:val="0"/>
          <w:numId w:val="1"/>
        </w:numPr>
        <w:spacing w:line="360" w:lineRule="auto"/>
        <w:jc w:val="both"/>
        <w:rPr>
          <w:rFonts w:ascii="Times New Roman" w:hAnsi="Times New Roman" w:cs="Times New Roman"/>
          <w:lang w:eastAsia="zh-CN"/>
        </w:rPr>
      </w:pPr>
      <w:r>
        <w:rPr>
          <w:rFonts w:ascii="Times New Roman" w:hAnsi="Times New Roman" w:cs="Times New Roman"/>
          <w:lang w:eastAsia="zh-CN"/>
        </w:rPr>
        <w:t>The inhibitory effects within GPe, GPe-to-GPi, and GPi output pathways all increased, echoing the study that different pallidum pathways regulate behavioral abnormalities in different stages of PD.</w:t>
      </w:r>
      <w:r>
        <w:rPr>
          <w:rFonts w:hint="eastAsia" w:ascii="Times New Roman" w:hAnsi="Times New Roman" w:cs="Times New Roman"/>
          <w:lang w:eastAsia="zh-CN"/>
        </w:rPr>
        <w:t xml:space="preserve"> </w:t>
      </w:r>
    </w:p>
    <w:p>
      <w:pPr>
        <w:numPr>
          <w:ilvl w:val="0"/>
          <w:numId w:val="1"/>
        </w:numPr>
        <w:spacing w:line="360" w:lineRule="auto"/>
        <w:jc w:val="both"/>
        <w:rPr>
          <w:rFonts w:ascii="Times New Roman" w:hAnsi="Times New Roman" w:cs="Times New Roman"/>
          <w:lang w:eastAsia="zh-CN"/>
        </w:rPr>
      </w:pPr>
      <w:r>
        <w:rPr>
          <w:rFonts w:ascii="Times New Roman" w:hAnsi="Times New Roman" w:cs="Times New Roman"/>
          <w:lang w:eastAsia="zh-CN"/>
        </w:rPr>
        <w:t>The mean firing rate of each nuclear in the PD group was lower than that in the HC group.</w:t>
      </w:r>
    </w:p>
    <w:p>
      <w:pPr>
        <w:numPr>
          <w:ilvl w:val="255"/>
          <w:numId w:val="0"/>
        </w:numPr>
        <w:spacing w:line="360" w:lineRule="auto"/>
        <w:jc w:val="both"/>
        <w:rPr>
          <w:rFonts w:ascii="Times New Roman" w:hAnsi="Times New Roman" w:cs="Times New Roman"/>
          <w:lang w:eastAsia="zh-CN"/>
        </w:rPr>
      </w:pPr>
      <w:r>
        <w:rPr>
          <w:rFonts w:hint="eastAsia" w:ascii="Times New Roman" w:hAnsi="Times New Roman" w:cs="Times New Roman"/>
          <w:lang w:eastAsia="zh-CN"/>
        </w:rPr>
        <w:t>Table S6</w:t>
      </w:r>
      <w:r>
        <w:rPr>
          <w:rFonts w:ascii="Times New Roman" w:hAnsi="Times New Roman" w:cs="Times New Roman"/>
          <w:lang w:eastAsia="zh-CN"/>
        </w:rPr>
        <w:t xml:space="preserve"> and </w:t>
      </w:r>
      <w:r>
        <w:rPr>
          <w:rFonts w:hint="eastAsia" w:ascii="Times New Roman" w:hAnsi="Times New Roman" w:cs="Times New Roman"/>
          <w:lang w:val="en-US" w:eastAsia="zh-CN"/>
        </w:rPr>
        <w:t>7</w:t>
      </w:r>
      <w:r>
        <w:rPr>
          <w:rFonts w:ascii="Times New Roman" w:hAnsi="Times New Roman" w:cs="Times New Roman"/>
          <w:lang w:eastAsia="zh-CN"/>
        </w:rPr>
        <w:t xml:space="preserve"> revealed the following features:</w:t>
      </w:r>
    </w:p>
    <w:p>
      <w:pPr>
        <w:numPr>
          <w:ilvl w:val="0"/>
          <w:numId w:val="2"/>
        </w:numPr>
        <w:spacing w:line="360" w:lineRule="auto"/>
        <w:jc w:val="both"/>
        <w:rPr>
          <w:rFonts w:ascii="Times New Roman" w:hAnsi="Times New Roman" w:cs="Times New Roman"/>
          <w:lang w:eastAsia="zh-CN"/>
        </w:rPr>
      </w:pPr>
      <w:r>
        <w:rPr>
          <w:rFonts w:ascii="Times New Roman" w:hAnsi="Times New Roman" w:cs="Times New Roman"/>
          <w:lang w:eastAsia="zh-CN"/>
        </w:rPr>
        <w:t xml:space="preserve">The synaptic connection strengths of </w:t>
      </w:r>
      <w:r>
        <w:rPr>
          <w:rFonts w:hint="eastAsia" w:ascii="Times New Roman" w:hAnsi="Times New Roman" w:cs="Times New Roman"/>
          <w:lang w:eastAsia="zh-CN"/>
        </w:rPr>
        <w:t>g</w:t>
      </w:r>
      <w:r>
        <w:rPr>
          <w:rFonts w:ascii="Times New Roman" w:hAnsi="Times New Roman" w:cs="Times New Roman"/>
          <w:vertAlign w:val="subscript"/>
          <w:lang w:eastAsia="zh-CN"/>
        </w:rPr>
        <w:t>GPe-STN</w:t>
      </w:r>
      <w:r>
        <w:rPr>
          <w:rFonts w:ascii="Times New Roman" w:hAnsi="Times New Roman" w:cs="Times New Roman"/>
          <w:lang w:eastAsia="zh-CN"/>
        </w:rPr>
        <w:t xml:space="preserve">, </w:t>
      </w:r>
      <w:r>
        <w:rPr>
          <w:rFonts w:hint="eastAsia" w:ascii="Times New Roman" w:hAnsi="Times New Roman" w:cs="Times New Roman"/>
          <w:lang w:eastAsia="zh-CN"/>
        </w:rPr>
        <w:t>g</w:t>
      </w:r>
      <w:r>
        <w:rPr>
          <w:rFonts w:ascii="Times New Roman" w:hAnsi="Times New Roman" w:cs="Times New Roman"/>
          <w:vertAlign w:val="subscript"/>
          <w:lang w:eastAsia="zh-CN"/>
        </w:rPr>
        <w:t>PY-STN</w:t>
      </w:r>
      <w:r>
        <w:rPr>
          <w:rFonts w:ascii="Times New Roman" w:hAnsi="Times New Roman" w:cs="Times New Roman"/>
          <w:lang w:eastAsia="zh-CN"/>
        </w:rPr>
        <w:t xml:space="preserve">, </w:t>
      </w:r>
      <w:r>
        <w:rPr>
          <w:rFonts w:hint="eastAsia" w:ascii="Times New Roman" w:hAnsi="Times New Roman" w:cs="Times New Roman"/>
          <w:lang w:eastAsia="zh-CN"/>
        </w:rPr>
        <w:t>g</w:t>
      </w:r>
      <w:r>
        <w:rPr>
          <w:rFonts w:ascii="Times New Roman" w:hAnsi="Times New Roman" w:cs="Times New Roman"/>
          <w:vertAlign w:val="subscript"/>
          <w:lang w:eastAsia="zh-CN"/>
        </w:rPr>
        <w:t>Th-PY</w:t>
      </w:r>
      <w:r>
        <w:rPr>
          <w:rFonts w:ascii="Times New Roman" w:hAnsi="Times New Roman" w:cs="Times New Roman"/>
          <w:lang w:eastAsia="zh-CN"/>
        </w:rPr>
        <w:t xml:space="preserve">, </w:t>
      </w:r>
      <w:r>
        <w:rPr>
          <w:rFonts w:hint="eastAsia" w:ascii="Times New Roman" w:hAnsi="Times New Roman" w:cs="Times New Roman"/>
          <w:lang w:eastAsia="zh-CN"/>
        </w:rPr>
        <w:t>g</w:t>
      </w:r>
      <w:r>
        <w:rPr>
          <w:rFonts w:ascii="Times New Roman" w:hAnsi="Times New Roman" w:cs="Times New Roman"/>
          <w:vertAlign w:val="subscript"/>
          <w:lang w:eastAsia="zh-CN"/>
        </w:rPr>
        <w:t>STN-GPi</w:t>
      </w:r>
      <w:r>
        <w:rPr>
          <w:rFonts w:ascii="Times New Roman" w:hAnsi="Times New Roman" w:cs="Times New Roman"/>
          <w:lang w:eastAsia="zh-CN"/>
        </w:rPr>
        <w:t xml:space="preserve">, and </w:t>
      </w:r>
      <w:r>
        <w:rPr>
          <w:rFonts w:hint="eastAsia" w:ascii="Times New Roman" w:hAnsi="Times New Roman" w:cs="Times New Roman"/>
          <w:lang w:eastAsia="zh-CN"/>
        </w:rPr>
        <w:t>g</w:t>
      </w:r>
      <w:r>
        <w:rPr>
          <w:rFonts w:ascii="Times New Roman" w:hAnsi="Times New Roman" w:cs="Times New Roman"/>
          <w:vertAlign w:val="subscript"/>
          <w:lang w:eastAsia="zh-CN"/>
        </w:rPr>
        <w:t>STN-GPe</w:t>
      </w:r>
      <w:r>
        <w:rPr>
          <w:rFonts w:ascii="Times New Roman" w:hAnsi="Times New Roman" w:cs="Times New Roman"/>
          <w:lang w:eastAsia="zh-CN"/>
        </w:rPr>
        <w:t xml:space="preserve"> varied significantly between the groups, suggesting that the changes in the STN-related response led to the manifestation of PD symptoms. </w:t>
      </w:r>
    </w:p>
    <w:p>
      <w:pPr>
        <w:numPr>
          <w:ilvl w:val="0"/>
          <w:numId w:val="2"/>
        </w:numPr>
        <w:spacing w:line="360" w:lineRule="auto"/>
        <w:jc w:val="both"/>
        <w:rPr>
          <w:rFonts w:ascii="Times New Roman" w:hAnsi="Times New Roman" w:cs="Times New Roman"/>
          <w:lang w:eastAsia="zh-CN"/>
        </w:rPr>
      </w:pPr>
      <w:r>
        <w:rPr>
          <w:rFonts w:ascii="Times New Roman" w:hAnsi="Times New Roman" w:cs="Times New Roman"/>
          <w:lang w:eastAsia="zh-CN"/>
        </w:rPr>
        <w:t xml:space="preserve">There were significant group differences in mean firing rates of STN, GPi and PY. </w:t>
      </w:r>
    </w:p>
    <w:p>
      <w:pPr>
        <w:numPr>
          <w:ilvl w:val="0"/>
          <w:numId w:val="2"/>
        </w:numPr>
        <w:spacing w:line="360" w:lineRule="auto"/>
        <w:jc w:val="both"/>
        <w:rPr>
          <w:rFonts w:ascii="Times New Roman" w:hAnsi="Times New Roman" w:cs="Times New Roman"/>
          <w:lang w:eastAsia="zh-CN"/>
        </w:rPr>
      </w:pPr>
      <w:r>
        <w:rPr>
          <w:rFonts w:ascii="Times New Roman" w:hAnsi="Times New Roman" w:cs="Times New Roman"/>
          <w:lang w:eastAsia="zh-CN"/>
        </w:rPr>
        <w:t>Due to the large individual values of PY, the standard deviation is quite different from the other nuclear group data.</w:t>
      </w:r>
    </w:p>
    <w:p>
      <w:pPr>
        <w:rPr>
          <w:rFonts w:ascii="Gill Sans MT" w:hAnsi="Gill Sans MT" w:eastAsiaTheme="minorHAnsi" w:cstheme="minorBidi"/>
          <w:bCs w:val="0"/>
          <w:kern w:val="0"/>
          <w:sz w:val="16"/>
          <w:szCs w:val="16"/>
          <w:lang w:val="en-GB"/>
        </w:rPr>
      </w:pPr>
      <w:r>
        <w:rPr>
          <w:rFonts w:ascii="Gill Sans MT" w:hAnsi="Gill Sans MT" w:eastAsiaTheme="minorHAnsi" w:cstheme="minorBidi"/>
          <w:bCs w:val="0"/>
          <w:kern w:val="0"/>
          <w:sz w:val="16"/>
          <w:szCs w:val="16"/>
          <w:lang w:val="en-GB"/>
        </w:rPr>
        <w:br w:type="page"/>
      </w:r>
    </w:p>
    <w:p>
      <w:pPr>
        <w:rPr>
          <w:rFonts w:ascii="Gill Sans MT" w:hAnsi="Gill Sans MT" w:eastAsia="宋体" w:cstheme="minorBidi"/>
          <w:b/>
          <w:bCs w:val="0"/>
          <w:kern w:val="0"/>
          <w:sz w:val="16"/>
          <w:szCs w:val="16"/>
          <w:lang w:val="en-GB"/>
        </w:rPr>
      </w:pPr>
      <w:r>
        <w:rPr>
          <w:rFonts w:hint="eastAsia" w:ascii="Gill Sans MT" w:hAnsi="Gill Sans MT" w:cstheme="minorBidi"/>
          <w:b/>
          <w:bCs w:val="0"/>
          <w:kern w:val="0"/>
          <w:sz w:val="16"/>
          <w:szCs w:val="16"/>
          <w:lang w:val="en-GB" w:eastAsia="zh-CN"/>
        </w:rPr>
        <w:t>Table S1</w:t>
      </w:r>
      <w:r>
        <w:rPr>
          <w:rFonts w:ascii="Gill Sans MT" w:hAnsi="Gill Sans MT" w:eastAsia="宋体" w:cstheme="minorBidi"/>
          <w:b/>
          <w:bCs w:val="0"/>
          <w:kern w:val="0"/>
          <w:sz w:val="16"/>
          <w:szCs w:val="16"/>
          <w:lang w:val="en-GB"/>
        </w:rPr>
        <w:t xml:space="preserve"> The mean connection strengths</w:t>
      </w:r>
    </w:p>
    <w:tbl>
      <w:tblPr>
        <w:tblStyle w:val="8"/>
        <w:tblW w:w="0" w:type="auto"/>
        <w:tblInd w:w="0" w:type="dxa"/>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Layout w:type="autofit"/>
        <w:tblCellMar>
          <w:top w:w="0" w:type="dxa"/>
          <w:left w:w="108" w:type="dxa"/>
          <w:bottom w:w="0" w:type="dxa"/>
          <w:right w:w="108" w:type="dxa"/>
        </w:tblCellMar>
      </w:tblPr>
      <w:tblGrid>
        <w:gridCol w:w="1292"/>
        <w:gridCol w:w="1113"/>
        <w:gridCol w:w="1113"/>
        <w:gridCol w:w="1113"/>
        <w:gridCol w:w="1114"/>
        <w:gridCol w:w="1116"/>
        <w:gridCol w:w="1107"/>
        <w:gridCol w:w="1113"/>
        <w:gridCol w:w="1113"/>
      </w:tblGrid>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PrEx>
        <w:tc>
          <w:tcPr>
            <w:tcW w:w="1292" w:type="dxa"/>
            <w:tcBorders>
              <w:top w:val="single" w:color="auto" w:sz="4" w:space="0"/>
              <w:left w:val="nil"/>
              <w:bottom w:val="single" w:color="auto" w:sz="4" w:space="0"/>
              <w:right w:val="nil"/>
            </w:tcBorders>
            <w:shd w:val="clear" w:color="auto" w:fill="FFFFFF" w:themeFill="background1"/>
            <w:vAlign w:val="center"/>
          </w:tcPr>
          <w:p>
            <w:pPr>
              <w:widowControl/>
              <w:spacing w:after="0" w:line="240" w:lineRule="auto"/>
              <w:jc w:val="both"/>
              <w:rPr>
                <w:rFonts w:hint="eastAsia" w:ascii="Gill Sans MT" w:hAnsi="Gill Sans MT" w:eastAsiaTheme="minorHAnsi"/>
                <w:b/>
                <w:bCs/>
                <w:sz w:val="16"/>
                <w:szCs w:val="16"/>
                <w:lang w:val="en-GB" w:eastAsia="zh-CN" w:bidi="ar"/>
              </w:rPr>
            </w:pPr>
            <w:bookmarkStart w:id="1" w:name="OLE_LINK1"/>
            <w:r>
              <w:rPr>
                <w:rFonts w:hint="eastAsia" w:ascii="Gill Sans MT" w:hAnsi="Gill Sans MT" w:eastAsiaTheme="minorHAnsi" w:cstheme="minorBidi"/>
                <w:b/>
                <w:bCs/>
                <w:sz w:val="16"/>
                <w:szCs w:val="16"/>
                <w:lang w:val="en-GB" w:eastAsia="zh-CN" w:bidi="ar"/>
              </w:rPr>
              <w:t>Connection</w:t>
            </w:r>
          </w:p>
        </w:tc>
        <w:tc>
          <w:tcPr>
            <w:tcW w:w="1113" w:type="dxa"/>
            <w:tcBorders>
              <w:top w:val="single" w:color="auto" w:sz="4" w:space="0"/>
              <w:left w:val="nil"/>
              <w:bottom w:val="single" w:color="auto" w:sz="4" w:space="0"/>
              <w:right w:val="nil"/>
            </w:tcBorders>
            <w:shd w:val="clear" w:color="auto" w:fill="FFFFFF" w:themeFill="background1"/>
            <w:vAlign w:val="center"/>
          </w:tcPr>
          <w:p>
            <w:pPr>
              <w:widowControl/>
              <w:spacing w:after="0" w:line="240" w:lineRule="auto"/>
              <w:jc w:val="both"/>
              <w:textAlignment w:val="auto"/>
              <w:rPr>
                <w:rFonts w:hint="default" w:ascii="Gill Sans MT" w:hAnsi="Gill Sans MT" w:eastAsiaTheme="minorHAnsi"/>
                <w:b/>
                <w:bCs/>
                <w:sz w:val="16"/>
                <w:szCs w:val="16"/>
                <w:lang w:val="en-US" w:eastAsia="zh-CN" w:bidi="ar"/>
              </w:rPr>
            </w:pPr>
            <w:r>
              <w:rPr>
                <w:rFonts w:hint="eastAsia" w:ascii="Gill Sans MT" w:hAnsi="Gill Sans MT" w:eastAsiaTheme="minorHAnsi" w:cstheme="minorBidi"/>
                <w:b/>
                <w:bCs/>
                <w:sz w:val="16"/>
                <w:szCs w:val="16"/>
                <w:lang w:val="en-GB" w:eastAsia="zh-CN" w:bidi="ar"/>
              </w:rPr>
              <w:t>M</w:t>
            </w:r>
            <w:r>
              <w:rPr>
                <w:rFonts w:hint="eastAsia" w:ascii="Gill Sans MT" w:hAnsi="Gill Sans MT" w:eastAsiaTheme="minorHAnsi" w:cstheme="minorBidi"/>
                <w:b/>
                <w:bCs/>
                <w:sz w:val="16"/>
                <w:szCs w:val="16"/>
                <w:lang w:val="en-US" w:eastAsia="zh-CN" w:bidi="ar"/>
              </w:rPr>
              <w:t>on</w:t>
            </w:r>
          </w:p>
        </w:tc>
        <w:tc>
          <w:tcPr>
            <w:tcW w:w="1113" w:type="dxa"/>
            <w:tcBorders>
              <w:top w:val="single" w:color="auto" w:sz="4" w:space="0"/>
              <w:left w:val="nil"/>
              <w:bottom w:val="single" w:color="auto" w:sz="4" w:space="0"/>
              <w:right w:val="nil"/>
            </w:tcBorders>
            <w:shd w:val="clear" w:color="auto" w:fill="FFFFFF" w:themeFill="background1"/>
            <w:vAlign w:val="center"/>
          </w:tcPr>
          <w:p>
            <w:pPr>
              <w:widowControl/>
              <w:spacing w:after="0" w:line="240" w:lineRule="auto"/>
              <w:jc w:val="both"/>
              <w:textAlignment w:val="auto"/>
              <w:rPr>
                <w:rFonts w:hint="default" w:ascii="Gill Sans MT" w:hAnsi="Gill Sans MT" w:eastAsiaTheme="minorHAnsi"/>
                <w:b/>
                <w:bCs/>
                <w:sz w:val="16"/>
                <w:szCs w:val="16"/>
                <w:lang w:val="en-US" w:eastAsia="zh-CN" w:bidi="ar"/>
              </w:rPr>
            </w:pPr>
            <w:r>
              <w:rPr>
                <w:rFonts w:hint="eastAsia" w:ascii="Gill Sans MT" w:hAnsi="Gill Sans MT" w:eastAsiaTheme="minorHAnsi" w:cstheme="minorBidi"/>
                <w:b/>
                <w:bCs/>
                <w:sz w:val="16"/>
                <w:szCs w:val="16"/>
                <w:lang w:val="en-GB" w:eastAsia="zh-CN" w:bidi="ar"/>
              </w:rPr>
              <w:t>SD</w:t>
            </w:r>
            <w:r>
              <w:rPr>
                <w:rFonts w:hint="eastAsia" w:ascii="Gill Sans MT" w:hAnsi="Gill Sans MT" w:eastAsiaTheme="minorHAnsi" w:cstheme="minorBidi"/>
                <w:b/>
                <w:bCs/>
                <w:sz w:val="16"/>
                <w:szCs w:val="16"/>
                <w:lang w:val="en-US" w:eastAsia="zh-CN" w:bidi="ar"/>
              </w:rPr>
              <w:t>on</w:t>
            </w:r>
          </w:p>
        </w:tc>
        <w:tc>
          <w:tcPr>
            <w:tcW w:w="1113" w:type="dxa"/>
            <w:tcBorders>
              <w:top w:val="single" w:color="auto" w:sz="4" w:space="0"/>
              <w:left w:val="nil"/>
              <w:bottom w:val="single" w:color="auto" w:sz="4" w:space="0"/>
              <w:right w:val="nil"/>
            </w:tcBorders>
            <w:shd w:val="clear" w:color="auto" w:fill="FFFFFF" w:themeFill="background1"/>
            <w:vAlign w:val="center"/>
          </w:tcPr>
          <w:p>
            <w:pPr>
              <w:widowControl/>
              <w:spacing w:after="0" w:line="240" w:lineRule="auto"/>
              <w:jc w:val="both"/>
              <w:textAlignment w:val="auto"/>
              <w:rPr>
                <w:rFonts w:hint="default" w:ascii="Gill Sans MT" w:hAnsi="Gill Sans MT" w:eastAsiaTheme="minorHAnsi"/>
                <w:b/>
                <w:bCs/>
                <w:sz w:val="16"/>
                <w:szCs w:val="16"/>
                <w:lang w:val="en-US" w:eastAsia="zh-CN" w:bidi="ar"/>
              </w:rPr>
            </w:pPr>
            <w:r>
              <w:rPr>
                <w:rFonts w:hint="eastAsia" w:ascii="Gill Sans MT" w:hAnsi="Gill Sans MT" w:eastAsiaTheme="minorHAnsi" w:cstheme="minorBidi"/>
                <w:b/>
                <w:bCs/>
                <w:sz w:val="16"/>
                <w:szCs w:val="16"/>
                <w:lang w:val="en-GB" w:eastAsia="zh-CN" w:bidi="ar"/>
              </w:rPr>
              <w:t>M</w:t>
            </w:r>
            <w:r>
              <w:rPr>
                <w:rFonts w:hint="eastAsia" w:ascii="Gill Sans MT" w:hAnsi="Gill Sans MT" w:eastAsiaTheme="minorHAnsi" w:cstheme="minorBidi"/>
                <w:b/>
                <w:bCs/>
                <w:sz w:val="16"/>
                <w:szCs w:val="16"/>
                <w:lang w:val="en-US" w:eastAsia="zh-CN" w:bidi="ar"/>
              </w:rPr>
              <w:t>off</w:t>
            </w:r>
          </w:p>
        </w:tc>
        <w:tc>
          <w:tcPr>
            <w:tcW w:w="1114" w:type="dxa"/>
            <w:tcBorders>
              <w:top w:val="single" w:color="auto" w:sz="4" w:space="0"/>
              <w:left w:val="nil"/>
              <w:bottom w:val="single" w:color="auto" w:sz="4" w:space="0"/>
              <w:right w:val="nil"/>
            </w:tcBorders>
            <w:shd w:val="clear" w:color="auto" w:fill="FFFFFF" w:themeFill="background1"/>
            <w:vAlign w:val="center"/>
          </w:tcPr>
          <w:p>
            <w:pPr>
              <w:widowControl/>
              <w:spacing w:after="0" w:line="240" w:lineRule="auto"/>
              <w:jc w:val="both"/>
              <w:textAlignment w:val="auto"/>
              <w:rPr>
                <w:rFonts w:hint="default" w:ascii="Gill Sans MT" w:hAnsi="Gill Sans MT" w:eastAsiaTheme="minorHAnsi"/>
                <w:b/>
                <w:bCs/>
                <w:sz w:val="16"/>
                <w:szCs w:val="16"/>
                <w:lang w:val="en-US" w:eastAsia="zh-CN" w:bidi="ar"/>
              </w:rPr>
            </w:pPr>
            <w:r>
              <w:rPr>
                <w:rFonts w:hint="eastAsia" w:ascii="Gill Sans MT" w:hAnsi="Gill Sans MT" w:eastAsiaTheme="minorHAnsi" w:cstheme="minorBidi"/>
                <w:b/>
                <w:bCs/>
                <w:sz w:val="16"/>
                <w:szCs w:val="16"/>
                <w:lang w:val="en-GB" w:eastAsia="zh-CN" w:bidi="ar"/>
              </w:rPr>
              <w:t>SD</w:t>
            </w:r>
            <w:bookmarkStart w:id="2" w:name="OLE_LINK2"/>
            <w:r>
              <w:rPr>
                <w:rFonts w:hint="eastAsia" w:ascii="Gill Sans MT" w:hAnsi="Gill Sans MT" w:eastAsiaTheme="minorHAnsi" w:cstheme="minorBidi"/>
                <w:b/>
                <w:bCs/>
                <w:sz w:val="16"/>
                <w:szCs w:val="16"/>
                <w:lang w:val="en-US" w:eastAsia="zh-CN" w:bidi="ar"/>
              </w:rPr>
              <w:t>off</w:t>
            </w:r>
            <w:bookmarkEnd w:id="2"/>
          </w:p>
        </w:tc>
        <w:tc>
          <w:tcPr>
            <w:tcW w:w="1116" w:type="dxa"/>
            <w:tcBorders>
              <w:top w:val="single" w:color="auto" w:sz="4" w:space="0"/>
              <w:left w:val="nil"/>
              <w:bottom w:val="single" w:color="auto" w:sz="4" w:space="0"/>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b/>
                <w:bCs/>
                <w:sz w:val="16"/>
                <w:szCs w:val="16"/>
                <w:lang w:val="en-GB" w:eastAsia="zh-CN" w:bidi="ar"/>
              </w:rPr>
            </w:pPr>
            <w:r>
              <w:rPr>
                <w:rFonts w:hint="eastAsia" w:ascii="Gill Sans MT" w:hAnsi="Gill Sans MT" w:eastAsiaTheme="minorHAnsi" w:cstheme="minorBidi"/>
                <w:b/>
                <w:bCs/>
                <w:sz w:val="16"/>
                <w:szCs w:val="16"/>
                <w:lang w:val="en-GB" w:eastAsia="zh-CN" w:bidi="ar"/>
              </w:rPr>
              <w:t>t</w:t>
            </w:r>
          </w:p>
        </w:tc>
        <w:tc>
          <w:tcPr>
            <w:tcW w:w="1107" w:type="dxa"/>
            <w:tcBorders>
              <w:top w:val="single" w:color="auto" w:sz="4" w:space="0"/>
              <w:left w:val="nil"/>
              <w:bottom w:val="single" w:color="auto" w:sz="4" w:space="0"/>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cstheme="minorBidi"/>
                <w:b/>
                <w:bCs/>
                <w:sz w:val="16"/>
                <w:szCs w:val="16"/>
                <w:lang w:val="en-GB" w:eastAsia="zh-CN" w:bidi="ar"/>
              </w:rPr>
            </w:pPr>
            <w:r>
              <w:rPr>
                <w:rFonts w:hint="eastAsia" w:ascii="Gill Sans MT" w:hAnsi="Gill Sans MT" w:eastAsiaTheme="minorHAnsi" w:cstheme="minorBidi"/>
                <w:b/>
                <w:bCs/>
                <w:sz w:val="16"/>
                <w:szCs w:val="16"/>
                <w:lang w:val="en-GB" w:eastAsia="zh-CN" w:bidi="ar"/>
              </w:rPr>
              <w:t>df</w:t>
            </w:r>
          </w:p>
        </w:tc>
        <w:tc>
          <w:tcPr>
            <w:tcW w:w="1113" w:type="dxa"/>
            <w:tcBorders>
              <w:top w:val="single" w:color="auto" w:sz="4" w:space="0"/>
              <w:left w:val="nil"/>
              <w:bottom w:val="single" w:color="auto" w:sz="4" w:space="0"/>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cstheme="minorBidi"/>
                <w:b/>
                <w:bCs/>
                <w:sz w:val="16"/>
                <w:szCs w:val="16"/>
                <w:lang w:val="en-GB" w:eastAsia="zh-CN" w:bidi="ar"/>
              </w:rPr>
            </w:pPr>
            <w:r>
              <w:rPr>
                <w:rFonts w:ascii="Gill Sans MT" w:hAnsi="Gill Sans MT"/>
                <w:b/>
                <w:bCs/>
                <w:i/>
                <w:sz w:val="16"/>
                <w:szCs w:val="16"/>
              </w:rPr>
              <w:t>P</w:t>
            </w:r>
            <w:r>
              <w:rPr>
                <w:rFonts w:hint="default" w:ascii="Gill Sans MT" w:hAnsi="Gill Sans MT"/>
                <w:b/>
                <w:sz w:val="16"/>
                <w:szCs w:val="16"/>
              </w:rPr>
              <w:t>-value</w:t>
            </w:r>
          </w:p>
        </w:tc>
        <w:tc>
          <w:tcPr>
            <w:tcW w:w="1113" w:type="dxa"/>
            <w:tcBorders>
              <w:top w:val="single" w:color="auto" w:sz="4" w:space="0"/>
              <w:left w:val="nil"/>
              <w:bottom w:val="single" w:color="auto" w:sz="4" w:space="0"/>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cstheme="minorBidi"/>
                <w:b/>
                <w:bCs/>
                <w:sz w:val="16"/>
                <w:szCs w:val="16"/>
                <w:lang w:val="en-GB" w:eastAsia="zh-CN" w:bidi="ar"/>
              </w:rPr>
            </w:pPr>
            <w:r>
              <w:rPr>
                <w:rFonts w:hint="eastAsia" w:ascii="Gill Sans MT" w:hAnsi="Gill Sans MT" w:eastAsiaTheme="minorHAnsi" w:cstheme="minorBidi"/>
                <w:b/>
                <w:bCs/>
                <w:sz w:val="16"/>
                <w:szCs w:val="16"/>
                <w:lang w:val="en-GB" w:eastAsia="zh-CN" w:bidi="ar"/>
              </w:rPr>
              <w:t>sd</w:t>
            </w:r>
          </w:p>
        </w:tc>
      </w:tr>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292" w:type="dxa"/>
            <w:tcBorders>
              <w:top w:val="single" w:color="auto" w:sz="4" w:space="0"/>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g</w:t>
            </w:r>
            <w:r>
              <w:rPr>
                <w:rFonts w:hint="eastAsia" w:ascii="Gill Sans MT" w:hAnsi="Gill Sans MT" w:eastAsiaTheme="minorHAnsi" w:cstheme="minorBidi"/>
                <w:sz w:val="16"/>
                <w:szCs w:val="16"/>
                <w:vertAlign w:val="subscript"/>
                <w:lang w:val="en-GB" w:eastAsia="zh-CN" w:bidi="ar"/>
              </w:rPr>
              <w:t>Gpe-GPi</w:t>
            </w:r>
          </w:p>
        </w:tc>
        <w:tc>
          <w:tcPr>
            <w:tcW w:w="1113" w:type="dxa"/>
            <w:tcBorders>
              <w:top w:val="single" w:color="auto" w:sz="4" w:space="0"/>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1.35</w:t>
            </w:r>
          </w:p>
        </w:tc>
        <w:tc>
          <w:tcPr>
            <w:tcW w:w="1113" w:type="dxa"/>
            <w:tcBorders>
              <w:top w:val="single" w:color="auto" w:sz="4" w:space="0"/>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0.69</w:t>
            </w:r>
          </w:p>
        </w:tc>
        <w:tc>
          <w:tcPr>
            <w:tcW w:w="1113" w:type="dxa"/>
            <w:tcBorders>
              <w:top w:val="single" w:color="auto" w:sz="4" w:space="0"/>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1.27</w:t>
            </w:r>
          </w:p>
        </w:tc>
        <w:tc>
          <w:tcPr>
            <w:tcW w:w="1114" w:type="dxa"/>
            <w:tcBorders>
              <w:top w:val="single" w:color="auto" w:sz="4" w:space="0"/>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0.64</w:t>
            </w:r>
          </w:p>
        </w:tc>
        <w:tc>
          <w:tcPr>
            <w:tcW w:w="1116" w:type="dxa"/>
            <w:tcBorders>
              <w:top w:val="single" w:color="auto" w:sz="4" w:space="0"/>
              <w:left w:val="nil"/>
              <w:bottom w:val="nil"/>
              <w:right w:val="nil"/>
            </w:tcBorders>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-0.397</w:t>
            </w:r>
          </w:p>
        </w:tc>
        <w:tc>
          <w:tcPr>
            <w:tcW w:w="1107" w:type="dxa"/>
            <w:tcBorders>
              <w:top w:val="single" w:color="auto" w:sz="4" w:space="0"/>
              <w:left w:val="nil"/>
              <w:bottom w:val="nil"/>
              <w:right w:val="nil"/>
            </w:tcBorders>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26</w:t>
            </w:r>
          </w:p>
        </w:tc>
        <w:tc>
          <w:tcPr>
            <w:tcW w:w="1113" w:type="dxa"/>
            <w:tcBorders>
              <w:top w:val="single" w:color="auto" w:sz="4" w:space="0"/>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0.69</w:t>
            </w:r>
          </w:p>
        </w:tc>
        <w:tc>
          <w:tcPr>
            <w:tcW w:w="1113" w:type="dxa"/>
            <w:tcBorders>
              <w:top w:val="single" w:color="auto" w:sz="4" w:space="0"/>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0.97</w:t>
            </w:r>
          </w:p>
        </w:tc>
      </w:tr>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29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g</w:t>
            </w:r>
            <w:r>
              <w:rPr>
                <w:rFonts w:hint="eastAsia" w:ascii="Gill Sans MT" w:hAnsi="Gill Sans MT" w:eastAsiaTheme="minorHAnsi" w:cstheme="minorBidi"/>
                <w:sz w:val="16"/>
                <w:szCs w:val="16"/>
                <w:vertAlign w:val="subscript"/>
                <w:lang w:val="en-GB" w:eastAsia="zh-CN" w:bidi="ar"/>
              </w:rPr>
              <w:t>GPe-GPe</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1.26</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0.71</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1.08</w:t>
            </w:r>
          </w:p>
        </w:tc>
        <w:tc>
          <w:tcPr>
            <w:tcW w:w="1114"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0.64</w:t>
            </w:r>
          </w:p>
        </w:tc>
        <w:tc>
          <w:tcPr>
            <w:tcW w:w="1116" w:type="dxa"/>
            <w:tcBorders>
              <w:top w:val="nil"/>
              <w:left w:val="nil"/>
              <w:bottom w:val="nil"/>
              <w:right w:val="nil"/>
            </w:tcBorders>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-1.047</w:t>
            </w:r>
          </w:p>
        </w:tc>
        <w:tc>
          <w:tcPr>
            <w:tcW w:w="1107" w:type="dxa"/>
            <w:tcBorders>
              <w:top w:val="nil"/>
              <w:left w:val="nil"/>
              <w:bottom w:val="nil"/>
              <w:right w:val="nil"/>
            </w:tcBorders>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26</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0.30</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0.86</w:t>
            </w:r>
          </w:p>
        </w:tc>
      </w:tr>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29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g</w:t>
            </w:r>
            <w:r>
              <w:rPr>
                <w:rFonts w:hint="eastAsia" w:ascii="Gill Sans MT" w:hAnsi="Gill Sans MT" w:eastAsiaTheme="minorHAnsi" w:cstheme="minorBidi"/>
                <w:sz w:val="16"/>
                <w:szCs w:val="16"/>
                <w:vertAlign w:val="subscript"/>
                <w:lang w:val="en-GB" w:eastAsia="zh-CN" w:bidi="ar"/>
              </w:rPr>
              <w:t>GPe-STN</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0.1</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0.2</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0.14</w:t>
            </w:r>
          </w:p>
        </w:tc>
        <w:tc>
          <w:tcPr>
            <w:tcW w:w="1114"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0.33</w:t>
            </w:r>
          </w:p>
        </w:tc>
        <w:tc>
          <w:tcPr>
            <w:tcW w:w="1116" w:type="dxa"/>
            <w:tcBorders>
              <w:top w:val="nil"/>
              <w:left w:val="nil"/>
              <w:bottom w:val="nil"/>
              <w:right w:val="nil"/>
            </w:tcBorders>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0.806</w:t>
            </w:r>
          </w:p>
        </w:tc>
        <w:tc>
          <w:tcPr>
            <w:tcW w:w="1107" w:type="dxa"/>
            <w:tcBorders>
              <w:top w:val="nil"/>
              <w:left w:val="nil"/>
              <w:bottom w:val="nil"/>
              <w:right w:val="nil"/>
            </w:tcBorders>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26</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0.43</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0.29</w:t>
            </w:r>
          </w:p>
        </w:tc>
      </w:tr>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29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g</w:t>
            </w:r>
            <w:r>
              <w:rPr>
                <w:rFonts w:hint="eastAsia" w:ascii="Gill Sans MT" w:hAnsi="Gill Sans MT" w:eastAsiaTheme="minorHAnsi" w:cstheme="minorBidi"/>
                <w:sz w:val="16"/>
                <w:szCs w:val="16"/>
                <w:vertAlign w:val="subscript"/>
                <w:lang w:val="en-GB" w:eastAsia="zh-CN" w:bidi="ar"/>
              </w:rPr>
              <w:t>PY-STN</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0.36</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0.45</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0.6</w:t>
            </w:r>
          </w:p>
        </w:tc>
        <w:tc>
          <w:tcPr>
            <w:tcW w:w="1114"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0.62</w:t>
            </w:r>
          </w:p>
        </w:tc>
        <w:tc>
          <w:tcPr>
            <w:tcW w:w="1116" w:type="dxa"/>
            <w:tcBorders>
              <w:top w:val="nil"/>
              <w:left w:val="nil"/>
              <w:bottom w:val="nil"/>
              <w:right w:val="nil"/>
            </w:tcBorders>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2.075</w:t>
            </w:r>
          </w:p>
        </w:tc>
        <w:tc>
          <w:tcPr>
            <w:tcW w:w="1107" w:type="dxa"/>
            <w:tcBorders>
              <w:top w:val="nil"/>
              <w:left w:val="nil"/>
              <w:bottom w:val="nil"/>
              <w:right w:val="nil"/>
            </w:tcBorders>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26</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b w:val="0"/>
                <w:bCs w:val="0"/>
                <w:sz w:val="16"/>
                <w:szCs w:val="16"/>
                <w:lang w:val="en-GB" w:eastAsia="zh-CN" w:bidi="ar"/>
              </w:rPr>
              <w:t>0.048</w:t>
            </w:r>
            <w:r>
              <w:rPr>
                <w:rFonts w:hint="eastAsia" w:ascii="Gill Sans MT" w:hAnsi="Gill Sans MT" w:eastAsiaTheme="minorHAnsi" w:cstheme="minorBidi"/>
                <w:b w:val="0"/>
                <w:bCs w:val="0"/>
                <w:sz w:val="16"/>
                <w:szCs w:val="16"/>
                <w:vertAlign w:val="superscript"/>
                <w:lang w:val="en-GB" w:eastAsia="zh-CN" w:bidi="ar"/>
              </w:rPr>
              <w:t>*</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0.58</w:t>
            </w:r>
          </w:p>
        </w:tc>
      </w:tr>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29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g</w:t>
            </w:r>
            <w:r>
              <w:rPr>
                <w:rFonts w:hint="eastAsia" w:ascii="Gill Sans MT" w:hAnsi="Gill Sans MT" w:eastAsiaTheme="minorHAnsi" w:cstheme="minorBidi"/>
                <w:sz w:val="16"/>
                <w:szCs w:val="16"/>
                <w:vertAlign w:val="subscript"/>
                <w:lang w:val="en-GB" w:eastAsia="zh-CN" w:bidi="ar"/>
              </w:rPr>
              <w:t>PY-IN</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0.43</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0.52</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0.33</w:t>
            </w:r>
          </w:p>
        </w:tc>
        <w:tc>
          <w:tcPr>
            <w:tcW w:w="1114"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0.58</w:t>
            </w:r>
          </w:p>
        </w:tc>
        <w:tc>
          <w:tcPr>
            <w:tcW w:w="1116" w:type="dxa"/>
            <w:tcBorders>
              <w:top w:val="nil"/>
              <w:left w:val="nil"/>
              <w:bottom w:val="nil"/>
              <w:right w:val="nil"/>
            </w:tcBorders>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-0.623</w:t>
            </w:r>
          </w:p>
        </w:tc>
        <w:tc>
          <w:tcPr>
            <w:tcW w:w="1107" w:type="dxa"/>
            <w:tcBorders>
              <w:top w:val="nil"/>
              <w:left w:val="nil"/>
              <w:bottom w:val="nil"/>
              <w:right w:val="nil"/>
            </w:tcBorders>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26</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0.54</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0.83</w:t>
            </w:r>
          </w:p>
        </w:tc>
      </w:tr>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29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g</w:t>
            </w:r>
            <w:r>
              <w:rPr>
                <w:rFonts w:hint="eastAsia" w:ascii="Gill Sans MT" w:hAnsi="Gill Sans MT" w:eastAsiaTheme="minorHAnsi" w:cstheme="minorBidi"/>
                <w:sz w:val="16"/>
                <w:szCs w:val="16"/>
                <w:vertAlign w:val="subscript"/>
                <w:lang w:val="en-GB" w:eastAsia="zh-CN" w:bidi="ar"/>
              </w:rPr>
              <w:t>Th-PY</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3.77</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1.44</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3.79</w:t>
            </w:r>
          </w:p>
        </w:tc>
        <w:tc>
          <w:tcPr>
            <w:tcW w:w="1114"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1.38</w:t>
            </w:r>
          </w:p>
        </w:tc>
        <w:tc>
          <w:tcPr>
            <w:tcW w:w="1116" w:type="dxa"/>
            <w:tcBorders>
              <w:top w:val="nil"/>
              <w:left w:val="nil"/>
              <w:bottom w:val="nil"/>
              <w:right w:val="nil"/>
            </w:tcBorders>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0.027</w:t>
            </w:r>
          </w:p>
        </w:tc>
        <w:tc>
          <w:tcPr>
            <w:tcW w:w="1107" w:type="dxa"/>
            <w:tcBorders>
              <w:top w:val="nil"/>
              <w:left w:val="nil"/>
              <w:bottom w:val="nil"/>
              <w:right w:val="nil"/>
            </w:tcBorders>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26</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0.98</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2.19</w:t>
            </w:r>
          </w:p>
        </w:tc>
      </w:tr>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29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g</w:t>
            </w:r>
            <w:r>
              <w:rPr>
                <w:rFonts w:hint="eastAsia" w:ascii="Gill Sans MT" w:hAnsi="Gill Sans MT" w:eastAsiaTheme="minorHAnsi" w:cstheme="minorBidi"/>
                <w:sz w:val="16"/>
                <w:szCs w:val="16"/>
                <w:vertAlign w:val="subscript"/>
                <w:lang w:val="en-GB" w:eastAsia="zh-CN" w:bidi="ar"/>
              </w:rPr>
              <w:t>STN-GPi</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0.72</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0.74</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0.72</w:t>
            </w:r>
          </w:p>
        </w:tc>
        <w:tc>
          <w:tcPr>
            <w:tcW w:w="1114"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0.64</w:t>
            </w:r>
          </w:p>
        </w:tc>
        <w:tc>
          <w:tcPr>
            <w:tcW w:w="1116" w:type="dxa"/>
            <w:tcBorders>
              <w:top w:val="nil"/>
              <w:left w:val="nil"/>
              <w:bottom w:val="nil"/>
              <w:right w:val="nil"/>
            </w:tcBorders>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-0.029</w:t>
            </w:r>
          </w:p>
        </w:tc>
        <w:tc>
          <w:tcPr>
            <w:tcW w:w="1107" w:type="dxa"/>
            <w:tcBorders>
              <w:top w:val="nil"/>
              <w:left w:val="nil"/>
              <w:bottom w:val="nil"/>
              <w:right w:val="nil"/>
            </w:tcBorders>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26</w:t>
            </w:r>
          </w:p>
        </w:tc>
        <w:tc>
          <w:tcPr>
            <w:tcW w:w="1113" w:type="dxa"/>
            <w:tcBorders>
              <w:top w:val="nil"/>
              <w:left w:val="nil"/>
              <w:bottom w:val="nil"/>
              <w:right w:val="nil"/>
            </w:tcBorders>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0.98</w:t>
            </w:r>
          </w:p>
        </w:tc>
        <w:tc>
          <w:tcPr>
            <w:tcW w:w="1113" w:type="dxa"/>
            <w:tcBorders>
              <w:top w:val="nil"/>
              <w:left w:val="nil"/>
              <w:bottom w:val="nil"/>
              <w:right w:val="nil"/>
            </w:tcBorders>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0.93</w:t>
            </w:r>
          </w:p>
        </w:tc>
      </w:tr>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29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g</w:t>
            </w:r>
            <w:r>
              <w:rPr>
                <w:rFonts w:hint="eastAsia" w:ascii="Gill Sans MT" w:hAnsi="Gill Sans MT" w:eastAsiaTheme="minorHAnsi" w:cstheme="minorBidi"/>
                <w:sz w:val="16"/>
                <w:szCs w:val="16"/>
                <w:vertAlign w:val="subscript"/>
                <w:lang w:val="en-GB" w:eastAsia="zh-CN" w:bidi="ar"/>
              </w:rPr>
              <w:t>STN-GPe</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0.49</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0.65</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0.49</w:t>
            </w:r>
          </w:p>
        </w:tc>
        <w:tc>
          <w:tcPr>
            <w:tcW w:w="1114"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0.59</w:t>
            </w:r>
          </w:p>
        </w:tc>
        <w:tc>
          <w:tcPr>
            <w:tcW w:w="1116" w:type="dxa"/>
            <w:tcBorders>
              <w:top w:val="nil"/>
              <w:left w:val="nil"/>
              <w:bottom w:val="nil"/>
              <w:right w:val="nil"/>
            </w:tcBorders>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-0.041</w:t>
            </w:r>
          </w:p>
        </w:tc>
        <w:tc>
          <w:tcPr>
            <w:tcW w:w="1107" w:type="dxa"/>
            <w:tcBorders>
              <w:top w:val="nil"/>
              <w:left w:val="nil"/>
              <w:bottom w:val="nil"/>
              <w:right w:val="nil"/>
            </w:tcBorders>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26</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0.97</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0.61</w:t>
            </w:r>
          </w:p>
        </w:tc>
      </w:tr>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29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g</w:t>
            </w:r>
            <w:r>
              <w:rPr>
                <w:rFonts w:hint="eastAsia" w:ascii="Gill Sans MT" w:hAnsi="Gill Sans MT" w:eastAsiaTheme="minorHAnsi" w:cstheme="minorBidi"/>
                <w:sz w:val="16"/>
                <w:szCs w:val="16"/>
                <w:vertAlign w:val="subscript"/>
                <w:lang w:val="en-GB" w:eastAsia="zh-CN" w:bidi="ar"/>
              </w:rPr>
              <w:t>GPi-Th</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0.71</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0.71</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0.95</w:t>
            </w:r>
          </w:p>
        </w:tc>
        <w:tc>
          <w:tcPr>
            <w:tcW w:w="1114"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0.65</w:t>
            </w:r>
          </w:p>
        </w:tc>
        <w:tc>
          <w:tcPr>
            <w:tcW w:w="1116" w:type="dxa"/>
            <w:tcBorders>
              <w:top w:val="nil"/>
              <w:left w:val="nil"/>
              <w:bottom w:val="nil"/>
              <w:right w:val="nil"/>
            </w:tcBorders>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1.349</w:t>
            </w:r>
          </w:p>
        </w:tc>
        <w:tc>
          <w:tcPr>
            <w:tcW w:w="1107" w:type="dxa"/>
            <w:tcBorders>
              <w:top w:val="nil"/>
              <w:left w:val="nil"/>
              <w:bottom w:val="nil"/>
              <w:right w:val="nil"/>
            </w:tcBorders>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26</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0.19</w:t>
            </w:r>
          </w:p>
        </w:tc>
        <w:tc>
          <w:tcPr>
            <w:tcW w:w="1113"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0.91</w:t>
            </w:r>
          </w:p>
        </w:tc>
      </w:tr>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292" w:type="dxa"/>
            <w:tcBorders>
              <w:top w:val="nil"/>
              <w:left w:val="nil"/>
              <w:bottom w:val="single" w:color="auto" w:sz="4" w:space="0"/>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g</w:t>
            </w:r>
            <w:r>
              <w:rPr>
                <w:rFonts w:hint="eastAsia" w:ascii="Gill Sans MT" w:hAnsi="Gill Sans MT" w:eastAsiaTheme="minorHAnsi" w:cstheme="minorBidi"/>
                <w:sz w:val="16"/>
                <w:szCs w:val="16"/>
                <w:vertAlign w:val="subscript"/>
                <w:lang w:val="en-GB" w:eastAsia="zh-CN" w:bidi="ar"/>
              </w:rPr>
              <w:t>IN-PY</w:t>
            </w:r>
          </w:p>
        </w:tc>
        <w:tc>
          <w:tcPr>
            <w:tcW w:w="1113" w:type="dxa"/>
            <w:tcBorders>
              <w:top w:val="nil"/>
              <w:left w:val="nil"/>
              <w:bottom w:val="single" w:color="auto" w:sz="4" w:space="0"/>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0.46</w:t>
            </w:r>
          </w:p>
        </w:tc>
        <w:tc>
          <w:tcPr>
            <w:tcW w:w="1113" w:type="dxa"/>
            <w:tcBorders>
              <w:top w:val="nil"/>
              <w:left w:val="nil"/>
              <w:bottom w:val="single" w:color="auto" w:sz="4" w:space="0"/>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0.63</w:t>
            </w:r>
          </w:p>
        </w:tc>
        <w:tc>
          <w:tcPr>
            <w:tcW w:w="1113" w:type="dxa"/>
            <w:tcBorders>
              <w:top w:val="nil"/>
              <w:left w:val="nil"/>
              <w:bottom w:val="single" w:color="auto" w:sz="4" w:space="0"/>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0.37</w:t>
            </w:r>
          </w:p>
        </w:tc>
        <w:tc>
          <w:tcPr>
            <w:tcW w:w="1114" w:type="dxa"/>
            <w:tcBorders>
              <w:top w:val="nil"/>
              <w:left w:val="nil"/>
              <w:bottom w:val="single" w:color="auto" w:sz="4" w:space="0"/>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0.59</w:t>
            </w:r>
          </w:p>
        </w:tc>
        <w:tc>
          <w:tcPr>
            <w:tcW w:w="1116" w:type="dxa"/>
            <w:tcBorders>
              <w:top w:val="nil"/>
              <w:left w:val="nil"/>
              <w:bottom w:val="single" w:color="auto" w:sz="4" w:space="0"/>
              <w:right w:val="nil"/>
            </w:tcBorders>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-0.502</w:t>
            </w:r>
          </w:p>
        </w:tc>
        <w:tc>
          <w:tcPr>
            <w:tcW w:w="1107" w:type="dxa"/>
            <w:tcBorders>
              <w:top w:val="nil"/>
              <w:left w:val="nil"/>
              <w:bottom w:val="single" w:color="auto" w:sz="4" w:space="0"/>
              <w:right w:val="nil"/>
            </w:tcBorders>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26</w:t>
            </w:r>
          </w:p>
        </w:tc>
        <w:tc>
          <w:tcPr>
            <w:tcW w:w="1113" w:type="dxa"/>
            <w:tcBorders>
              <w:top w:val="nil"/>
              <w:left w:val="nil"/>
              <w:bottom w:val="single" w:color="auto" w:sz="4" w:space="0"/>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0.62</w:t>
            </w:r>
          </w:p>
        </w:tc>
        <w:tc>
          <w:tcPr>
            <w:tcW w:w="1113" w:type="dxa"/>
            <w:tcBorders>
              <w:top w:val="nil"/>
              <w:left w:val="nil"/>
              <w:bottom w:val="single" w:color="auto" w:sz="4" w:space="0"/>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0.96</w:t>
            </w:r>
          </w:p>
        </w:tc>
      </w:tr>
    </w:tbl>
    <w:p>
      <w:pPr>
        <w:spacing w:line="276" w:lineRule="auto"/>
        <w:jc w:val="both"/>
        <w:rPr>
          <w:rFonts w:ascii="Gill Sans MT" w:hAnsi="Gill Sans MT" w:cs="Gill Sans MT"/>
          <w:sz w:val="16"/>
          <w:szCs w:val="16"/>
          <w:lang w:eastAsia="zh-CN"/>
        </w:rPr>
      </w:pPr>
      <w:r>
        <w:rPr>
          <w:rFonts w:hint="default" w:ascii="Gill Sans MT" w:hAnsi="Gill Sans MT" w:cs="Gill Sans MT"/>
          <w:sz w:val="16"/>
          <w:szCs w:val="16"/>
          <w:lang w:eastAsia="zh-CN"/>
        </w:rPr>
        <w:t>M</w:t>
      </w:r>
      <w:r>
        <w:rPr>
          <w:rFonts w:hint="eastAsia" w:ascii="Gill Sans MT" w:hAnsi="Gill Sans MT" w:cs="Gill Sans MT"/>
          <w:sz w:val="16"/>
          <w:szCs w:val="16"/>
          <w:lang w:val="en-US" w:eastAsia="zh-CN"/>
        </w:rPr>
        <w:t>on</w:t>
      </w:r>
      <w:r>
        <w:rPr>
          <w:rFonts w:hint="default" w:ascii="Gill Sans MT" w:hAnsi="Gill Sans MT" w:cs="Gill Sans MT"/>
          <w:sz w:val="16"/>
          <w:szCs w:val="16"/>
          <w:lang w:eastAsia="zh-CN"/>
        </w:rPr>
        <w:t>/SD</w:t>
      </w:r>
      <w:r>
        <w:rPr>
          <w:rFonts w:hint="eastAsia" w:ascii="Gill Sans MT" w:hAnsi="Gill Sans MT" w:cs="Gill Sans MT"/>
          <w:sz w:val="16"/>
          <w:szCs w:val="16"/>
          <w:lang w:val="en-US" w:eastAsia="zh-CN"/>
        </w:rPr>
        <w:t>on</w:t>
      </w:r>
      <w:r>
        <w:rPr>
          <w:rFonts w:hint="default" w:ascii="Gill Sans MT" w:hAnsi="Gill Sans MT" w:cs="Gill Sans MT"/>
          <w:sz w:val="16"/>
          <w:szCs w:val="16"/>
          <w:lang w:eastAsia="zh-CN"/>
        </w:rPr>
        <w:t xml:space="preserve"> are the means/standard deviations of the connection strengths of all models of the DBS-ON group. M</w:t>
      </w:r>
      <w:r>
        <w:rPr>
          <w:rFonts w:hint="eastAsia" w:ascii="Gill Sans MT" w:hAnsi="Gill Sans MT" w:cs="Gill Sans MT"/>
          <w:sz w:val="16"/>
          <w:szCs w:val="16"/>
          <w:lang w:val="en-US" w:eastAsia="zh-CN"/>
        </w:rPr>
        <w:t>off</w:t>
      </w:r>
      <w:r>
        <w:rPr>
          <w:rFonts w:hint="default" w:ascii="Gill Sans MT" w:hAnsi="Gill Sans MT" w:cs="Gill Sans MT"/>
          <w:sz w:val="16"/>
          <w:szCs w:val="16"/>
          <w:lang w:eastAsia="zh-CN"/>
        </w:rPr>
        <w:t>/SD</w:t>
      </w:r>
      <w:r>
        <w:rPr>
          <w:rFonts w:hint="eastAsia" w:ascii="Gill Sans MT" w:hAnsi="Gill Sans MT" w:cs="Gill Sans MT"/>
          <w:sz w:val="16"/>
          <w:szCs w:val="16"/>
          <w:lang w:val="en-US" w:eastAsia="zh-CN"/>
        </w:rPr>
        <w:t>off</w:t>
      </w:r>
      <w:r>
        <w:rPr>
          <w:rFonts w:hint="default" w:ascii="Gill Sans MT" w:hAnsi="Gill Sans MT" w:cs="Gill Sans MT"/>
          <w:sz w:val="16"/>
          <w:szCs w:val="16"/>
          <w:lang w:eastAsia="zh-CN"/>
        </w:rPr>
        <w:t xml:space="preserve"> are the means/standard deviations of the connection strengths of all models of the DBS-OFF group. A paired-samples t-test for independent samples was made to compare these two samples. * represents the significance levels of 5%.</w:t>
      </w:r>
    </w:p>
    <w:bookmarkEnd w:id="1"/>
    <w:p>
      <w:pPr>
        <w:spacing w:line="276" w:lineRule="auto"/>
        <w:jc w:val="both"/>
        <w:rPr>
          <w:rFonts w:ascii="Gill Sans MT" w:hAnsi="Gill Sans MT" w:cs="Gill Sans MT"/>
          <w:sz w:val="16"/>
          <w:szCs w:val="16"/>
          <w:lang w:eastAsia="zh-CN"/>
        </w:rPr>
        <w:sectPr>
          <w:type w:val="continuous"/>
          <w:pgSz w:w="11906" w:h="16838"/>
          <w:pgMar w:top="1440" w:right="964" w:bottom="1270" w:left="964" w:header="851" w:footer="992" w:gutter="0"/>
          <w:pgBorders>
            <w:top w:val="none" w:sz="0" w:space="0"/>
            <w:left w:val="none" w:sz="0" w:space="0"/>
            <w:bottom w:val="none" w:sz="0" w:space="0"/>
            <w:right w:val="none" w:sz="0" w:space="0"/>
          </w:pgBorders>
          <w:cols w:space="425" w:num="1"/>
          <w:docGrid w:type="lines" w:linePitch="312" w:charSpace="0"/>
        </w:sectPr>
      </w:pPr>
    </w:p>
    <w:p>
      <w:pPr>
        <w:rPr>
          <w:rFonts w:hint="default" w:ascii="Gill Sans MT" w:hAnsi="Gill Sans MT" w:eastAsia="宋体" w:cstheme="minorBidi"/>
          <w:b/>
          <w:bCs w:val="0"/>
          <w:kern w:val="0"/>
          <w:sz w:val="16"/>
          <w:szCs w:val="16"/>
          <w:lang w:val="en-GB"/>
        </w:rPr>
      </w:pPr>
      <w:r>
        <w:rPr>
          <w:rFonts w:hint="eastAsia" w:ascii="Gill Sans MT" w:hAnsi="Gill Sans MT" w:cstheme="minorBidi"/>
          <w:b/>
          <w:bCs w:val="0"/>
          <w:kern w:val="0"/>
          <w:sz w:val="16"/>
          <w:szCs w:val="16"/>
          <w:lang w:val="en-GB" w:eastAsia="zh-CN"/>
        </w:rPr>
        <w:t>Table S2</w:t>
      </w:r>
      <w:r>
        <w:rPr>
          <w:rFonts w:ascii="Gill Sans MT" w:hAnsi="Gill Sans MT" w:eastAsia="宋体" w:cstheme="minorBidi"/>
          <w:b/>
          <w:bCs w:val="0"/>
          <w:kern w:val="0"/>
          <w:sz w:val="16"/>
          <w:szCs w:val="16"/>
          <w:lang w:val="en-GB"/>
        </w:rPr>
        <w:t xml:space="preserve"> The mean resting firing rates</w:t>
      </w:r>
    </w:p>
    <w:tbl>
      <w:tblPr>
        <w:tblStyle w:val="8"/>
        <w:tblW w:w="0" w:type="auto"/>
        <w:tblInd w:w="0" w:type="dxa"/>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Layout w:type="autofit"/>
        <w:tblCellMar>
          <w:top w:w="0" w:type="dxa"/>
          <w:left w:w="108" w:type="dxa"/>
          <w:bottom w:w="0" w:type="dxa"/>
          <w:right w:w="108" w:type="dxa"/>
        </w:tblCellMar>
      </w:tblPr>
      <w:tblGrid>
        <w:gridCol w:w="1131"/>
        <w:gridCol w:w="1132"/>
        <w:gridCol w:w="1132"/>
        <w:gridCol w:w="1132"/>
        <w:gridCol w:w="1132"/>
        <w:gridCol w:w="1132"/>
        <w:gridCol w:w="1132"/>
        <w:gridCol w:w="1132"/>
        <w:gridCol w:w="1132"/>
      </w:tblGrid>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131" w:type="dxa"/>
            <w:tcBorders>
              <w:top w:val="single" w:color="auto" w:sz="4" w:space="0"/>
              <w:left w:val="nil"/>
              <w:bottom w:val="single" w:color="auto" w:sz="4" w:space="0"/>
              <w:right w:val="nil"/>
            </w:tcBorders>
            <w:shd w:val="clear" w:color="auto" w:fill="FFFFFF" w:themeFill="background1"/>
            <w:vAlign w:val="center"/>
          </w:tcPr>
          <w:p>
            <w:pPr>
              <w:widowControl/>
              <w:spacing w:after="0" w:line="240" w:lineRule="auto"/>
              <w:jc w:val="both"/>
              <w:rPr>
                <w:rFonts w:hint="eastAsia" w:ascii="Gill Sans MT" w:hAnsi="Gill Sans MT" w:eastAsiaTheme="minorHAnsi"/>
                <w:b/>
                <w:bCs/>
                <w:sz w:val="16"/>
                <w:szCs w:val="16"/>
                <w:lang w:val="en-GB" w:eastAsia="zh-CN" w:bidi="ar"/>
              </w:rPr>
            </w:pPr>
            <w:r>
              <w:rPr>
                <w:rFonts w:hint="eastAsia" w:ascii="Gill Sans MT" w:hAnsi="Gill Sans MT" w:eastAsiaTheme="minorHAnsi" w:cstheme="minorBidi"/>
                <w:b/>
                <w:bCs/>
                <w:sz w:val="16"/>
                <w:szCs w:val="16"/>
                <w:lang w:val="en-GB" w:eastAsia="zh-CN" w:bidi="ar"/>
              </w:rPr>
              <w:t>Rate</w:t>
            </w:r>
          </w:p>
        </w:tc>
        <w:tc>
          <w:tcPr>
            <w:tcW w:w="1132" w:type="dxa"/>
            <w:tcBorders>
              <w:top w:val="single" w:color="auto" w:sz="4" w:space="0"/>
              <w:left w:val="nil"/>
              <w:bottom w:val="single" w:color="auto" w:sz="4" w:space="0"/>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b/>
                <w:bCs/>
                <w:sz w:val="16"/>
                <w:szCs w:val="16"/>
                <w:lang w:val="en-GB" w:eastAsia="zh-CN" w:bidi="ar"/>
              </w:rPr>
            </w:pPr>
            <w:r>
              <w:rPr>
                <w:rFonts w:hint="eastAsia" w:ascii="Gill Sans MT" w:hAnsi="Gill Sans MT" w:eastAsiaTheme="minorHAnsi" w:cstheme="minorBidi"/>
                <w:b/>
                <w:bCs/>
                <w:sz w:val="16"/>
                <w:szCs w:val="16"/>
                <w:lang w:val="en-GB" w:eastAsia="zh-CN" w:bidi="ar"/>
              </w:rPr>
              <w:t>M</w:t>
            </w:r>
            <w:r>
              <w:rPr>
                <w:rFonts w:hint="eastAsia" w:ascii="Gill Sans MT" w:hAnsi="Gill Sans MT" w:cs="Gill Sans MT"/>
                <w:b/>
                <w:bCs/>
                <w:sz w:val="16"/>
                <w:szCs w:val="16"/>
                <w:lang w:val="en-US" w:eastAsia="zh-CN"/>
              </w:rPr>
              <w:t>on</w:t>
            </w:r>
          </w:p>
        </w:tc>
        <w:tc>
          <w:tcPr>
            <w:tcW w:w="1132" w:type="dxa"/>
            <w:tcBorders>
              <w:top w:val="single" w:color="auto" w:sz="4" w:space="0"/>
              <w:left w:val="nil"/>
              <w:bottom w:val="single" w:color="auto" w:sz="4" w:space="0"/>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b/>
                <w:bCs/>
                <w:sz w:val="16"/>
                <w:szCs w:val="16"/>
                <w:lang w:val="en-GB" w:eastAsia="zh-CN" w:bidi="ar"/>
              </w:rPr>
            </w:pPr>
            <w:r>
              <w:rPr>
                <w:rFonts w:hint="eastAsia" w:ascii="Gill Sans MT" w:hAnsi="Gill Sans MT" w:eastAsiaTheme="minorHAnsi" w:cstheme="minorBidi"/>
                <w:b/>
                <w:bCs/>
                <w:sz w:val="16"/>
                <w:szCs w:val="16"/>
                <w:lang w:val="en-GB" w:eastAsia="zh-CN" w:bidi="ar"/>
              </w:rPr>
              <w:t>SD</w:t>
            </w:r>
            <w:r>
              <w:rPr>
                <w:rFonts w:hint="eastAsia" w:ascii="Gill Sans MT" w:hAnsi="Gill Sans MT" w:cs="Gill Sans MT"/>
                <w:b/>
                <w:bCs/>
                <w:sz w:val="16"/>
                <w:szCs w:val="16"/>
                <w:lang w:val="en-US" w:eastAsia="zh-CN"/>
              </w:rPr>
              <w:t>on</w:t>
            </w:r>
          </w:p>
        </w:tc>
        <w:tc>
          <w:tcPr>
            <w:tcW w:w="1132" w:type="dxa"/>
            <w:tcBorders>
              <w:top w:val="single" w:color="auto" w:sz="4" w:space="0"/>
              <w:left w:val="nil"/>
              <w:bottom w:val="single" w:color="auto" w:sz="4" w:space="0"/>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b/>
                <w:bCs/>
                <w:sz w:val="16"/>
                <w:szCs w:val="16"/>
                <w:lang w:val="en-GB" w:eastAsia="zh-CN" w:bidi="ar"/>
              </w:rPr>
            </w:pPr>
            <w:r>
              <w:rPr>
                <w:rFonts w:hint="eastAsia" w:ascii="Gill Sans MT" w:hAnsi="Gill Sans MT" w:eastAsiaTheme="minorHAnsi" w:cstheme="minorBidi"/>
                <w:b/>
                <w:bCs/>
                <w:sz w:val="16"/>
                <w:szCs w:val="16"/>
                <w:lang w:val="en-GB" w:eastAsia="zh-CN" w:bidi="ar"/>
              </w:rPr>
              <w:t>M</w:t>
            </w:r>
            <w:r>
              <w:rPr>
                <w:rFonts w:hint="eastAsia" w:ascii="Gill Sans MT" w:hAnsi="Gill Sans MT" w:eastAsiaTheme="minorHAnsi" w:cstheme="minorBidi"/>
                <w:b/>
                <w:bCs/>
                <w:sz w:val="16"/>
                <w:szCs w:val="16"/>
                <w:lang w:val="en-US" w:eastAsia="zh-CN" w:bidi="ar"/>
              </w:rPr>
              <w:t>off</w:t>
            </w:r>
          </w:p>
        </w:tc>
        <w:tc>
          <w:tcPr>
            <w:tcW w:w="1132" w:type="dxa"/>
            <w:tcBorders>
              <w:top w:val="single" w:color="auto" w:sz="4" w:space="0"/>
              <w:left w:val="nil"/>
              <w:bottom w:val="single" w:color="auto" w:sz="4" w:space="0"/>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b/>
                <w:bCs/>
                <w:sz w:val="16"/>
                <w:szCs w:val="16"/>
                <w:lang w:val="en-GB" w:eastAsia="zh-CN" w:bidi="ar"/>
              </w:rPr>
            </w:pPr>
            <w:r>
              <w:rPr>
                <w:rFonts w:hint="eastAsia" w:ascii="Gill Sans MT" w:hAnsi="Gill Sans MT" w:eastAsiaTheme="minorHAnsi" w:cstheme="minorBidi"/>
                <w:b/>
                <w:bCs/>
                <w:sz w:val="16"/>
                <w:szCs w:val="16"/>
                <w:lang w:val="en-GB" w:eastAsia="zh-CN" w:bidi="ar"/>
              </w:rPr>
              <w:t>SD</w:t>
            </w:r>
            <w:r>
              <w:rPr>
                <w:rFonts w:hint="eastAsia" w:ascii="Gill Sans MT" w:hAnsi="Gill Sans MT" w:eastAsiaTheme="minorHAnsi" w:cstheme="minorBidi"/>
                <w:b/>
                <w:bCs/>
                <w:sz w:val="16"/>
                <w:szCs w:val="16"/>
                <w:lang w:val="en-US" w:eastAsia="zh-CN" w:bidi="ar"/>
              </w:rPr>
              <w:t>off</w:t>
            </w:r>
          </w:p>
        </w:tc>
        <w:tc>
          <w:tcPr>
            <w:tcW w:w="1132" w:type="dxa"/>
            <w:tcBorders>
              <w:top w:val="single" w:color="auto" w:sz="4" w:space="0"/>
              <w:left w:val="nil"/>
              <w:bottom w:val="single" w:color="auto" w:sz="4" w:space="0"/>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b/>
                <w:bCs/>
                <w:sz w:val="16"/>
                <w:szCs w:val="16"/>
                <w:lang w:val="en-GB" w:eastAsia="zh-CN" w:bidi="ar"/>
              </w:rPr>
            </w:pPr>
            <w:r>
              <w:rPr>
                <w:rFonts w:hint="eastAsia" w:ascii="Gill Sans MT" w:hAnsi="Gill Sans MT" w:eastAsiaTheme="minorHAnsi" w:cstheme="minorBidi"/>
                <w:b/>
                <w:bCs/>
                <w:sz w:val="16"/>
                <w:szCs w:val="16"/>
                <w:lang w:val="en-GB" w:eastAsia="zh-CN" w:bidi="ar"/>
              </w:rPr>
              <w:t>t</w:t>
            </w:r>
          </w:p>
        </w:tc>
        <w:tc>
          <w:tcPr>
            <w:tcW w:w="1132" w:type="dxa"/>
            <w:tcBorders>
              <w:top w:val="single" w:color="auto" w:sz="4" w:space="0"/>
              <w:left w:val="nil"/>
              <w:bottom w:val="single" w:color="auto" w:sz="4" w:space="0"/>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b/>
                <w:bCs/>
                <w:sz w:val="16"/>
                <w:szCs w:val="16"/>
                <w:lang w:val="en-GB" w:eastAsia="zh-CN" w:bidi="ar"/>
              </w:rPr>
            </w:pPr>
            <w:r>
              <w:rPr>
                <w:rFonts w:hint="eastAsia" w:ascii="Gill Sans MT" w:hAnsi="Gill Sans MT" w:eastAsiaTheme="minorHAnsi" w:cstheme="minorBidi"/>
                <w:b/>
                <w:bCs/>
                <w:sz w:val="16"/>
                <w:szCs w:val="16"/>
                <w:lang w:val="en-GB" w:eastAsia="zh-CN" w:bidi="ar"/>
              </w:rPr>
              <w:t>df</w:t>
            </w:r>
          </w:p>
        </w:tc>
        <w:tc>
          <w:tcPr>
            <w:tcW w:w="1132" w:type="dxa"/>
            <w:tcBorders>
              <w:top w:val="single" w:color="auto" w:sz="4" w:space="0"/>
              <w:left w:val="nil"/>
              <w:bottom w:val="single" w:color="auto" w:sz="4" w:space="0"/>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b/>
                <w:bCs/>
                <w:sz w:val="16"/>
                <w:szCs w:val="16"/>
                <w:lang w:val="en-GB" w:eastAsia="zh-CN" w:bidi="ar"/>
              </w:rPr>
            </w:pPr>
            <w:r>
              <w:rPr>
                <w:rFonts w:ascii="Gill Sans MT" w:hAnsi="Gill Sans MT"/>
                <w:b/>
                <w:bCs/>
                <w:i/>
                <w:sz w:val="16"/>
                <w:szCs w:val="16"/>
              </w:rPr>
              <w:t>P</w:t>
            </w:r>
            <w:r>
              <w:rPr>
                <w:rFonts w:hint="default" w:ascii="Gill Sans MT" w:hAnsi="Gill Sans MT"/>
                <w:b/>
                <w:sz w:val="16"/>
                <w:szCs w:val="16"/>
              </w:rPr>
              <w:t>-value</w:t>
            </w:r>
          </w:p>
        </w:tc>
        <w:tc>
          <w:tcPr>
            <w:tcW w:w="1132" w:type="dxa"/>
            <w:tcBorders>
              <w:top w:val="single" w:color="auto" w:sz="4" w:space="0"/>
              <w:left w:val="nil"/>
              <w:bottom w:val="single" w:color="auto" w:sz="4" w:space="0"/>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b/>
                <w:bCs/>
                <w:sz w:val="16"/>
                <w:szCs w:val="16"/>
                <w:lang w:val="en-GB" w:eastAsia="zh-CN" w:bidi="ar"/>
              </w:rPr>
            </w:pPr>
            <w:r>
              <w:rPr>
                <w:rFonts w:hint="eastAsia" w:ascii="Gill Sans MT" w:hAnsi="Gill Sans MT" w:eastAsiaTheme="minorHAnsi" w:cstheme="minorBidi"/>
                <w:b/>
                <w:bCs/>
                <w:sz w:val="16"/>
                <w:szCs w:val="16"/>
                <w:lang w:val="en-GB" w:eastAsia="zh-CN" w:bidi="ar"/>
              </w:rPr>
              <w:t>sd</w:t>
            </w:r>
          </w:p>
        </w:tc>
      </w:tr>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131" w:type="dxa"/>
            <w:tcBorders>
              <w:top w:val="single" w:color="auto" w:sz="4" w:space="0"/>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STN</w:t>
            </w:r>
          </w:p>
        </w:tc>
        <w:tc>
          <w:tcPr>
            <w:tcW w:w="1132" w:type="dxa"/>
            <w:tcBorders>
              <w:top w:val="single" w:color="auto" w:sz="4" w:space="0"/>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10.95</w:t>
            </w:r>
          </w:p>
        </w:tc>
        <w:tc>
          <w:tcPr>
            <w:tcW w:w="1132" w:type="dxa"/>
            <w:tcBorders>
              <w:top w:val="single" w:color="auto" w:sz="4" w:space="0"/>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11.07</w:t>
            </w:r>
          </w:p>
        </w:tc>
        <w:tc>
          <w:tcPr>
            <w:tcW w:w="1132" w:type="dxa"/>
            <w:tcBorders>
              <w:top w:val="single" w:color="auto" w:sz="4" w:space="0"/>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16.57</w:t>
            </w:r>
          </w:p>
        </w:tc>
        <w:tc>
          <w:tcPr>
            <w:tcW w:w="1132" w:type="dxa"/>
            <w:tcBorders>
              <w:top w:val="single" w:color="auto" w:sz="4" w:space="0"/>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17.18</w:t>
            </w:r>
          </w:p>
        </w:tc>
        <w:tc>
          <w:tcPr>
            <w:tcW w:w="1132" w:type="dxa"/>
            <w:tcBorders>
              <w:top w:val="single" w:color="auto" w:sz="4" w:space="0"/>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1.418</w:t>
            </w:r>
          </w:p>
        </w:tc>
        <w:tc>
          <w:tcPr>
            <w:tcW w:w="1132" w:type="dxa"/>
            <w:tcBorders>
              <w:top w:val="single" w:color="auto" w:sz="4" w:space="0"/>
              <w:left w:val="nil"/>
              <w:bottom w:val="nil"/>
              <w:right w:val="nil"/>
            </w:tcBorders>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26</w:t>
            </w:r>
          </w:p>
        </w:tc>
        <w:tc>
          <w:tcPr>
            <w:tcW w:w="1132" w:type="dxa"/>
            <w:tcBorders>
              <w:top w:val="single" w:color="auto" w:sz="4" w:space="0"/>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0.17</w:t>
            </w:r>
          </w:p>
        </w:tc>
        <w:tc>
          <w:tcPr>
            <w:tcW w:w="1132" w:type="dxa"/>
            <w:tcBorders>
              <w:top w:val="single" w:color="auto" w:sz="4" w:space="0"/>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20.61</w:t>
            </w:r>
          </w:p>
        </w:tc>
      </w:tr>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131"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GPi</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91.81</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11.09</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91.42</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13.68</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-0.166</w:t>
            </w:r>
          </w:p>
        </w:tc>
        <w:tc>
          <w:tcPr>
            <w:tcW w:w="1132" w:type="dxa"/>
            <w:tcBorders>
              <w:top w:val="nil"/>
              <w:left w:val="nil"/>
              <w:bottom w:val="nil"/>
              <w:right w:val="nil"/>
            </w:tcBorders>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26</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0.87</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12.22</w:t>
            </w:r>
          </w:p>
        </w:tc>
      </w:tr>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131"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GPe</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99.37</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33.56</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93.49</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31.51</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-0.953</w:t>
            </w:r>
          </w:p>
        </w:tc>
        <w:tc>
          <w:tcPr>
            <w:tcW w:w="1132" w:type="dxa"/>
            <w:tcBorders>
              <w:top w:val="nil"/>
              <w:left w:val="nil"/>
              <w:bottom w:val="nil"/>
              <w:right w:val="nil"/>
            </w:tcBorders>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26</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0.35</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32.01</w:t>
            </w:r>
          </w:p>
        </w:tc>
      </w:tr>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131"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PY</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215.79</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118.87</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264.44</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146.91</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1.1</w:t>
            </w:r>
          </w:p>
        </w:tc>
        <w:tc>
          <w:tcPr>
            <w:tcW w:w="1132" w:type="dxa"/>
            <w:tcBorders>
              <w:top w:val="nil"/>
              <w:left w:val="nil"/>
              <w:bottom w:val="nil"/>
              <w:right w:val="nil"/>
            </w:tcBorders>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26</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0.28</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229.77</w:t>
            </w:r>
          </w:p>
        </w:tc>
      </w:tr>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131"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Th</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102.15</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79.08</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123.73</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73.04</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1.257</w:t>
            </w:r>
          </w:p>
        </w:tc>
        <w:tc>
          <w:tcPr>
            <w:tcW w:w="1132" w:type="dxa"/>
            <w:tcBorders>
              <w:top w:val="nil"/>
              <w:left w:val="nil"/>
              <w:bottom w:val="nil"/>
              <w:right w:val="nil"/>
            </w:tcBorders>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26</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0.22</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89.23</w:t>
            </w:r>
          </w:p>
        </w:tc>
      </w:tr>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131" w:type="dxa"/>
            <w:tcBorders>
              <w:top w:val="nil"/>
              <w:left w:val="nil"/>
              <w:bottom w:val="single" w:color="auto" w:sz="4" w:space="0"/>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IN</w:t>
            </w:r>
          </w:p>
        </w:tc>
        <w:tc>
          <w:tcPr>
            <w:tcW w:w="1132" w:type="dxa"/>
            <w:tcBorders>
              <w:top w:val="nil"/>
              <w:left w:val="nil"/>
              <w:bottom w:val="single" w:color="auto" w:sz="4" w:space="0"/>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33.92</w:t>
            </w:r>
          </w:p>
        </w:tc>
        <w:tc>
          <w:tcPr>
            <w:tcW w:w="1132" w:type="dxa"/>
            <w:tcBorders>
              <w:top w:val="nil"/>
              <w:left w:val="nil"/>
              <w:bottom w:val="single" w:color="auto" w:sz="4" w:space="0"/>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33.51</w:t>
            </w:r>
          </w:p>
        </w:tc>
        <w:tc>
          <w:tcPr>
            <w:tcW w:w="1132" w:type="dxa"/>
            <w:tcBorders>
              <w:top w:val="nil"/>
              <w:left w:val="nil"/>
              <w:bottom w:val="single" w:color="auto" w:sz="4" w:space="0"/>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31.82</w:t>
            </w:r>
          </w:p>
        </w:tc>
        <w:tc>
          <w:tcPr>
            <w:tcW w:w="1132" w:type="dxa"/>
            <w:tcBorders>
              <w:top w:val="nil"/>
              <w:left w:val="nil"/>
              <w:bottom w:val="single" w:color="auto" w:sz="4" w:space="0"/>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41.55</w:t>
            </w:r>
          </w:p>
        </w:tc>
        <w:tc>
          <w:tcPr>
            <w:tcW w:w="1132" w:type="dxa"/>
            <w:tcBorders>
              <w:top w:val="nil"/>
              <w:left w:val="nil"/>
              <w:bottom w:val="single" w:color="auto" w:sz="4" w:space="0"/>
              <w:right w:val="nil"/>
            </w:tcBorders>
            <w:vAlign w:val="center"/>
          </w:tcPr>
          <w:p>
            <w:pPr>
              <w:widowControl/>
              <w:spacing w:after="0" w:line="240" w:lineRule="auto"/>
              <w:jc w:val="both"/>
              <w:textAlignment w:val="auto"/>
              <w:rPr>
                <w:rFonts w:hint="eastAsia" w:ascii="Gill Sans MT" w:hAnsi="Gill Sans MT" w:eastAsiaTheme="minorHAnsi"/>
                <w:sz w:val="16"/>
                <w:szCs w:val="16"/>
                <w:lang w:val="en-GB" w:eastAsia="zh-CN" w:bidi="ar"/>
              </w:rPr>
            </w:pPr>
            <w:r>
              <w:rPr>
                <w:rFonts w:hint="eastAsia" w:ascii="Gill Sans MT" w:hAnsi="Gill Sans MT" w:eastAsiaTheme="minorHAnsi" w:cstheme="minorBidi"/>
                <w:sz w:val="16"/>
                <w:szCs w:val="16"/>
                <w:lang w:val="en-GB" w:eastAsia="zh-CN" w:bidi="ar"/>
              </w:rPr>
              <w:t>-0.183</w:t>
            </w:r>
          </w:p>
        </w:tc>
        <w:tc>
          <w:tcPr>
            <w:tcW w:w="1132" w:type="dxa"/>
            <w:tcBorders>
              <w:top w:val="nil"/>
              <w:left w:val="nil"/>
              <w:bottom w:val="single" w:color="auto" w:sz="4" w:space="0"/>
              <w:right w:val="nil"/>
            </w:tcBorders>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26</w:t>
            </w:r>
          </w:p>
        </w:tc>
        <w:tc>
          <w:tcPr>
            <w:tcW w:w="1132" w:type="dxa"/>
            <w:tcBorders>
              <w:top w:val="nil"/>
              <w:left w:val="nil"/>
              <w:bottom w:val="single" w:color="auto" w:sz="4" w:space="0"/>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0.86</w:t>
            </w:r>
          </w:p>
        </w:tc>
        <w:tc>
          <w:tcPr>
            <w:tcW w:w="1132" w:type="dxa"/>
            <w:tcBorders>
              <w:top w:val="nil"/>
              <w:left w:val="nil"/>
              <w:bottom w:val="single" w:color="auto" w:sz="4" w:space="0"/>
              <w:right w:val="nil"/>
            </w:tcBorders>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59.65</w:t>
            </w:r>
          </w:p>
        </w:tc>
      </w:tr>
    </w:tbl>
    <w:p>
      <w:pPr>
        <w:spacing w:line="276" w:lineRule="auto"/>
        <w:jc w:val="both"/>
        <w:rPr>
          <w:rFonts w:ascii="Gill Sans MT" w:hAnsi="Gill Sans MT" w:cs="Gill Sans MT"/>
          <w:sz w:val="16"/>
          <w:szCs w:val="16"/>
          <w:lang w:eastAsia="zh-CN"/>
        </w:rPr>
      </w:pPr>
      <w:r>
        <w:rPr>
          <w:rFonts w:hint="default" w:ascii="Gill Sans MT" w:hAnsi="Gill Sans MT" w:cs="Gill Sans MT"/>
          <w:sz w:val="16"/>
          <w:szCs w:val="16"/>
          <w:lang w:eastAsia="zh-CN"/>
        </w:rPr>
        <w:t>M</w:t>
      </w:r>
      <w:r>
        <w:rPr>
          <w:rFonts w:hint="eastAsia" w:ascii="Gill Sans MT" w:hAnsi="Gill Sans MT" w:cs="Gill Sans MT"/>
          <w:sz w:val="16"/>
          <w:szCs w:val="16"/>
          <w:lang w:val="en-US" w:eastAsia="zh-CN"/>
        </w:rPr>
        <w:t>on</w:t>
      </w:r>
      <w:r>
        <w:rPr>
          <w:rFonts w:hint="default" w:ascii="Gill Sans MT" w:hAnsi="Gill Sans MT" w:cs="Gill Sans MT"/>
          <w:sz w:val="16"/>
          <w:szCs w:val="16"/>
          <w:lang w:eastAsia="zh-CN"/>
        </w:rPr>
        <w:t>/SD</w:t>
      </w:r>
      <w:r>
        <w:rPr>
          <w:rFonts w:hint="eastAsia" w:ascii="Gill Sans MT" w:hAnsi="Gill Sans MT" w:cs="Gill Sans MT"/>
          <w:sz w:val="16"/>
          <w:szCs w:val="16"/>
          <w:lang w:val="en-US" w:eastAsia="zh-CN"/>
        </w:rPr>
        <w:t>on</w:t>
      </w:r>
      <w:r>
        <w:rPr>
          <w:rFonts w:hint="default" w:ascii="Gill Sans MT" w:hAnsi="Gill Sans MT" w:cs="Gill Sans MT"/>
          <w:sz w:val="16"/>
          <w:szCs w:val="16"/>
          <w:lang w:eastAsia="zh-CN"/>
        </w:rPr>
        <w:t xml:space="preserve"> are the means/standard deviations of the connection strengths of all models of the DBS-ON group. M</w:t>
      </w:r>
      <w:r>
        <w:rPr>
          <w:rFonts w:hint="eastAsia" w:ascii="Gill Sans MT" w:hAnsi="Gill Sans MT" w:eastAsiaTheme="minorHAnsi" w:cstheme="minorBidi"/>
          <w:b w:val="0"/>
          <w:bCs w:val="0"/>
          <w:sz w:val="16"/>
          <w:szCs w:val="16"/>
          <w:lang w:val="en-US" w:eastAsia="zh-CN" w:bidi="ar"/>
        </w:rPr>
        <w:t>off</w:t>
      </w:r>
      <w:r>
        <w:rPr>
          <w:rFonts w:hint="default" w:ascii="Gill Sans MT" w:hAnsi="Gill Sans MT" w:cs="Gill Sans MT"/>
          <w:sz w:val="16"/>
          <w:szCs w:val="16"/>
          <w:lang w:eastAsia="zh-CN"/>
        </w:rPr>
        <w:t>/SD</w:t>
      </w:r>
      <w:r>
        <w:rPr>
          <w:rFonts w:hint="eastAsia" w:ascii="Gill Sans MT" w:hAnsi="Gill Sans MT" w:eastAsiaTheme="minorHAnsi" w:cstheme="minorBidi"/>
          <w:b w:val="0"/>
          <w:bCs w:val="0"/>
          <w:sz w:val="16"/>
          <w:szCs w:val="16"/>
          <w:lang w:val="en-US" w:eastAsia="zh-CN" w:bidi="ar"/>
        </w:rPr>
        <w:t>off</w:t>
      </w:r>
      <w:r>
        <w:rPr>
          <w:rFonts w:hint="default" w:ascii="Gill Sans MT" w:hAnsi="Gill Sans MT" w:cs="Gill Sans MT"/>
          <w:sz w:val="16"/>
          <w:szCs w:val="16"/>
          <w:lang w:eastAsia="zh-CN"/>
        </w:rPr>
        <w:t xml:space="preserve"> are the means/standard deviations of the connection strengths of all models of the DBS-OFF group. A paired-samples t-test for independent samples was made to compare these two samples. </w:t>
      </w:r>
    </w:p>
    <w:p>
      <w:pPr>
        <w:spacing w:line="480" w:lineRule="auto"/>
        <w:jc w:val="both"/>
        <w:rPr>
          <w:lang w:eastAsia="zh-CN"/>
        </w:rPr>
        <w:sectPr>
          <w:type w:val="continuous"/>
          <w:pgSz w:w="11906" w:h="16838"/>
          <w:pgMar w:top="1440" w:right="964" w:bottom="1270" w:left="964" w:header="851" w:footer="992" w:gutter="0"/>
          <w:pgBorders>
            <w:top w:val="none" w:sz="0" w:space="0"/>
            <w:left w:val="none" w:sz="0" w:space="0"/>
            <w:bottom w:val="none" w:sz="0" w:space="0"/>
            <w:right w:val="none" w:sz="0" w:space="0"/>
          </w:pgBorders>
          <w:cols w:space="425" w:num="1"/>
          <w:docGrid w:type="lines" w:linePitch="312" w:charSpace="0"/>
        </w:sectPr>
      </w:pPr>
    </w:p>
    <w:p>
      <w:pPr>
        <w:spacing w:line="240" w:lineRule="auto"/>
        <w:jc w:val="both"/>
        <w:rPr>
          <w:rFonts w:ascii="Gill Sans MT" w:hAnsi="Gill Sans MT"/>
          <w:b/>
          <w:sz w:val="16"/>
          <w:szCs w:val="16"/>
        </w:rPr>
      </w:pPr>
      <w:r>
        <w:rPr>
          <w:rFonts w:hint="eastAsia" w:ascii="Gill Sans MT" w:hAnsi="Gill Sans MT"/>
          <w:b/>
          <w:sz w:val="16"/>
          <w:szCs w:val="16"/>
          <w:lang w:eastAsia="zh-CN"/>
        </w:rPr>
        <w:t>Table S3</w:t>
      </w:r>
      <w:r>
        <w:rPr>
          <w:rFonts w:ascii="Gill Sans MT" w:hAnsi="Gill Sans MT"/>
          <w:b/>
          <w:sz w:val="16"/>
          <w:szCs w:val="16"/>
        </w:rPr>
        <w:t xml:space="preserve"> </w:t>
      </w:r>
      <w:r>
        <w:rPr>
          <w:rFonts w:hint="eastAsia" w:ascii="Gill Sans MT" w:hAnsi="Gill Sans MT"/>
          <w:b/>
          <w:sz w:val="16"/>
          <w:szCs w:val="16"/>
        </w:rPr>
        <w:t>Spearman</w:t>
      </w:r>
      <w:r>
        <w:rPr>
          <w:rFonts w:hint="default" w:ascii="Gill Sans MT" w:hAnsi="Gill Sans MT" w:eastAsia="宋体"/>
          <w:b/>
          <w:sz w:val="16"/>
          <w:szCs w:val="16"/>
          <w:lang w:val="en-US" w:eastAsia="zh-CN"/>
        </w:rPr>
        <w:t>’</w:t>
      </w:r>
      <w:r>
        <w:rPr>
          <w:rFonts w:hint="eastAsia" w:ascii="Gill Sans MT" w:hAnsi="Gill Sans MT" w:eastAsia="宋体"/>
          <w:b/>
          <w:sz w:val="16"/>
          <w:szCs w:val="16"/>
          <w:lang w:val="en-US" w:eastAsia="zh-CN"/>
        </w:rPr>
        <w:t>s</w:t>
      </w:r>
      <w:r>
        <w:rPr>
          <w:rFonts w:hint="eastAsia" w:ascii="Gill Sans MT" w:hAnsi="Gill Sans MT"/>
          <w:b/>
          <w:sz w:val="16"/>
          <w:szCs w:val="16"/>
        </w:rPr>
        <w:t xml:space="preserve"> correlation between PD symptoms and connectivity strength parameters</w:t>
      </w:r>
    </w:p>
    <w:tbl>
      <w:tblPr>
        <w:tblStyle w:val="8"/>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036"/>
        <w:gridCol w:w="2293"/>
        <w:gridCol w:w="2395"/>
        <w:gridCol w:w="24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490" w:type="pct"/>
            <w:tcBorders>
              <w:top w:val="single" w:color="auto" w:sz="4" w:space="0"/>
              <w:bottom w:val="single" w:color="auto" w:sz="4" w:space="0"/>
            </w:tcBorders>
            <w:vAlign w:val="center"/>
          </w:tcPr>
          <w:p>
            <w:pPr>
              <w:widowControl w:val="0"/>
              <w:spacing w:after="0" w:line="240" w:lineRule="auto"/>
              <w:jc w:val="both"/>
              <w:rPr>
                <w:rFonts w:ascii="Gill Sans MT" w:hAnsi="Gill Sans MT"/>
                <w:b/>
                <w:sz w:val="16"/>
                <w:szCs w:val="16"/>
              </w:rPr>
            </w:pPr>
            <w:r>
              <w:rPr>
                <w:rFonts w:hint="eastAsia" w:ascii="Gill Sans MT" w:hAnsi="Gill Sans MT"/>
                <w:b/>
                <w:sz w:val="16"/>
                <w:szCs w:val="16"/>
                <w:lang w:eastAsia="zh-CN"/>
              </w:rPr>
              <w:t>Symptoms</w:t>
            </w:r>
          </w:p>
        </w:tc>
        <w:tc>
          <w:tcPr>
            <w:tcW w:w="1125" w:type="pct"/>
            <w:tcBorders>
              <w:top w:val="single" w:color="auto" w:sz="4" w:space="0"/>
              <w:bottom w:val="single" w:color="auto" w:sz="4" w:space="0"/>
            </w:tcBorders>
            <w:vAlign w:val="center"/>
          </w:tcPr>
          <w:p>
            <w:pPr>
              <w:widowControl w:val="0"/>
              <w:spacing w:after="0" w:line="240" w:lineRule="auto"/>
              <w:jc w:val="both"/>
              <w:rPr>
                <w:rFonts w:ascii="Gill Sans MT" w:hAnsi="Gill Sans MT"/>
                <w:b/>
                <w:sz w:val="16"/>
                <w:szCs w:val="16"/>
              </w:rPr>
            </w:pPr>
            <w:r>
              <w:rPr>
                <w:rFonts w:hint="eastAsia" w:ascii="Gill Sans MT" w:hAnsi="Gill Sans MT"/>
                <w:b/>
                <w:sz w:val="16"/>
                <w:szCs w:val="16"/>
                <w:lang w:eastAsia="zh-CN"/>
              </w:rPr>
              <w:t xml:space="preserve">relevant parameter </w:t>
            </w:r>
          </w:p>
        </w:tc>
        <w:tc>
          <w:tcPr>
            <w:tcW w:w="1175" w:type="pct"/>
            <w:tcBorders>
              <w:top w:val="single" w:color="auto" w:sz="4" w:space="0"/>
              <w:bottom w:val="single" w:color="auto" w:sz="4" w:space="0"/>
            </w:tcBorders>
            <w:vAlign w:val="center"/>
          </w:tcPr>
          <w:p>
            <w:pPr>
              <w:widowControl w:val="0"/>
              <w:spacing w:after="0" w:line="240" w:lineRule="auto"/>
              <w:jc w:val="both"/>
              <w:rPr>
                <w:rFonts w:ascii="Gill Sans MT" w:hAnsi="Gill Sans MT"/>
                <w:b/>
                <w:sz w:val="16"/>
                <w:szCs w:val="16"/>
              </w:rPr>
            </w:pPr>
            <w:r>
              <w:rPr>
                <w:rFonts w:hint="eastAsia" w:ascii="Gill Sans MT" w:hAnsi="Gill Sans MT"/>
                <w:b/>
                <w:sz w:val="16"/>
                <w:szCs w:val="16"/>
                <w:lang w:eastAsia="zh-CN"/>
              </w:rPr>
              <w:t>relativity</w:t>
            </w:r>
          </w:p>
        </w:tc>
        <w:tc>
          <w:tcPr>
            <w:tcW w:w="1208" w:type="pct"/>
            <w:tcBorders>
              <w:top w:val="single" w:color="auto" w:sz="4" w:space="0"/>
              <w:bottom w:val="single" w:color="auto" w:sz="4" w:space="0"/>
            </w:tcBorders>
            <w:vAlign w:val="center"/>
          </w:tcPr>
          <w:p>
            <w:pPr>
              <w:widowControl w:val="0"/>
              <w:spacing w:after="0" w:line="240" w:lineRule="auto"/>
              <w:jc w:val="both"/>
              <w:rPr>
                <w:rFonts w:ascii="Gill Sans MT" w:hAnsi="Gill Sans MT"/>
                <w:b/>
                <w:sz w:val="16"/>
                <w:szCs w:val="16"/>
              </w:rPr>
            </w:pPr>
            <w:r>
              <w:rPr>
                <w:rFonts w:ascii="Gill Sans MT" w:hAnsi="Gill Sans MT"/>
                <w:b/>
                <w:bCs/>
                <w:i/>
                <w:sz w:val="16"/>
                <w:szCs w:val="16"/>
              </w:rPr>
              <w:t>P</w:t>
            </w:r>
            <w:r>
              <w:rPr>
                <w:rFonts w:hint="default" w:ascii="Gill Sans MT" w:hAnsi="Gill Sans MT"/>
                <w:b/>
                <w:sz w:val="16"/>
                <w:szCs w:val="16"/>
              </w:rPr>
              <w:t>-value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490" w:type="pct"/>
            <w:tcBorders>
              <w:top w:val="single" w:color="auto" w:sz="4" w:space="0"/>
            </w:tcBorders>
            <w:vAlign w:val="center"/>
          </w:tcPr>
          <w:p>
            <w:pPr>
              <w:widowControl w:val="0"/>
              <w:spacing w:after="0" w:line="240" w:lineRule="auto"/>
              <w:jc w:val="both"/>
              <w:rPr>
                <w:rFonts w:ascii="Gill Sans MT" w:hAnsi="Gill Sans MT"/>
                <w:sz w:val="16"/>
                <w:szCs w:val="16"/>
              </w:rPr>
            </w:pPr>
            <w:r>
              <w:rPr>
                <w:rFonts w:hint="eastAsia" w:ascii="Gill Sans MT" w:hAnsi="Gill Sans MT"/>
                <w:sz w:val="16"/>
                <w:szCs w:val="16"/>
                <w:lang w:eastAsia="zh-CN"/>
              </w:rPr>
              <w:t>Rigidity-Neck</w:t>
            </w:r>
          </w:p>
        </w:tc>
        <w:tc>
          <w:tcPr>
            <w:tcW w:w="1125" w:type="pct"/>
            <w:tcBorders>
              <w:top w:val="single" w:color="auto" w:sz="4" w:space="0"/>
            </w:tcBorders>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g</w:t>
            </w:r>
            <w:r>
              <w:rPr>
                <w:rFonts w:hint="eastAsia" w:ascii="Gill Sans MT" w:hAnsi="Gill Sans MT"/>
                <w:sz w:val="16"/>
                <w:szCs w:val="16"/>
                <w:vertAlign w:val="subscript"/>
                <w:lang w:eastAsia="zh-CN"/>
              </w:rPr>
              <w:t>GPi-Th</w:t>
            </w:r>
          </w:p>
        </w:tc>
        <w:tc>
          <w:tcPr>
            <w:tcW w:w="1175" w:type="pct"/>
            <w:tcBorders>
              <w:top w:val="single" w:color="auto" w:sz="4" w:space="0"/>
            </w:tcBorders>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+0.376</w:t>
            </w:r>
          </w:p>
        </w:tc>
        <w:tc>
          <w:tcPr>
            <w:tcW w:w="1208" w:type="pct"/>
            <w:tcBorders>
              <w:top w:val="single" w:color="auto" w:sz="4" w:space="0"/>
            </w:tcBorders>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0.0051</w:t>
            </w:r>
            <w:r>
              <w:rPr>
                <w:rFonts w:hint="eastAsia" w:ascii="Gill Sans MT" w:hAnsi="Gill Sans MT"/>
                <w:sz w:val="16"/>
                <w:szCs w:val="16"/>
                <w:vertAlign w:val="superscript"/>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490" w:type="pct"/>
            <w:vAlign w:val="center"/>
          </w:tcPr>
          <w:p>
            <w:pPr>
              <w:widowControl w:val="0"/>
              <w:spacing w:after="0" w:line="240" w:lineRule="auto"/>
              <w:jc w:val="both"/>
              <w:rPr>
                <w:rFonts w:ascii="Gill Sans MT" w:hAnsi="Gill Sans MT"/>
                <w:sz w:val="16"/>
                <w:szCs w:val="16"/>
              </w:rPr>
            </w:pPr>
            <w:r>
              <w:rPr>
                <w:rFonts w:hint="eastAsia" w:ascii="Gill Sans MT" w:hAnsi="Gill Sans MT"/>
                <w:sz w:val="16"/>
                <w:szCs w:val="16"/>
                <w:lang w:eastAsia="zh-CN"/>
              </w:rPr>
              <w:t>Rigidity-RUE</w:t>
            </w:r>
          </w:p>
        </w:tc>
        <w:tc>
          <w:tcPr>
            <w:tcW w:w="1125"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g</w:t>
            </w:r>
            <w:r>
              <w:rPr>
                <w:rFonts w:hint="eastAsia" w:ascii="Gill Sans MT" w:hAnsi="Gill Sans MT"/>
                <w:sz w:val="16"/>
                <w:szCs w:val="16"/>
                <w:vertAlign w:val="subscript"/>
                <w:lang w:eastAsia="zh-CN"/>
              </w:rPr>
              <w:t>Th-PY</w:t>
            </w:r>
          </w:p>
        </w:tc>
        <w:tc>
          <w:tcPr>
            <w:tcW w:w="1175"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+0.321</w:t>
            </w:r>
          </w:p>
        </w:tc>
        <w:tc>
          <w:tcPr>
            <w:tcW w:w="1208"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0.018</w:t>
            </w:r>
            <w:r>
              <w:rPr>
                <w:rFonts w:hint="eastAsia" w:ascii="Gill Sans MT" w:hAnsi="Gill Sans MT"/>
                <w:sz w:val="16"/>
                <w:szCs w:val="16"/>
                <w:vertAlign w:val="superscript"/>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490" w:type="pct"/>
            <w:vAlign w:val="center"/>
          </w:tcPr>
          <w:p>
            <w:pPr>
              <w:widowControl w:val="0"/>
              <w:spacing w:after="0" w:line="240" w:lineRule="auto"/>
              <w:jc w:val="both"/>
              <w:rPr>
                <w:rFonts w:ascii="Gill Sans MT" w:hAnsi="Gill Sans MT"/>
                <w:sz w:val="16"/>
                <w:szCs w:val="16"/>
              </w:rPr>
            </w:pPr>
            <w:r>
              <w:rPr>
                <w:rFonts w:hint="eastAsia" w:ascii="Gill Sans MT" w:hAnsi="Gill Sans MT"/>
                <w:sz w:val="16"/>
                <w:szCs w:val="16"/>
                <w:lang w:eastAsia="zh-CN"/>
              </w:rPr>
              <w:t>Rigidity-LUE</w:t>
            </w:r>
          </w:p>
        </w:tc>
        <w:tc>
          <w:tcPr>
            <w:tcW w:w="1125"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g</w:t>
            </w:r>
            <w:r>
              <w:rPr>
                <w:rFonts w:hint="eastAsia" w:ascii="Gill Sans MT" w:hAnsi="Gill Sans MT"/>
                <w:sz w:val="16"/>
                <w:szCs w:val="16"/>
                <w:vertAlign w:val="subscript"/>
                <w:lang w:eastAsia="zh-CN"/>
              </w:rPr>
              <w:t>Th-PY</w:t>
            </w:r>
          </w:p>
        </w:tc>
        <w:tc>
          <w:tcPr>
            <w:tcW w:w="1175"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+0.273</w:t>
            </w:r>
          </w:p>
        </w:tc>
        <w:tc>
          <w:tcPr>
            <w:tcW w:w="1208"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0.046</w:t>
            </w:r>
            <w:r>
              <w:rPr>
                <w:rFonts w:hint="eastAsia" w:ascii="Gill Sans MT" w:hAnsi="Gill Sans MT"/>
                <w:sz w:val="16"/>
                <w:szCs w:val="16"/>
                <w:vertAlign w:val="superscript"/>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490" w:type="pct"/>
            <w:vAlign w:val="center"/>
          </w:tcPr>
          <w:p>
            <w:pPr>
              <w:widowControl w:val="0"/>
              <w:spacing w:after="0" w:line="240" w:lineRule="auto"/>
              <w:jc w:val="both"/>
              <w:rPr>
                <w:rFonts w:ascii="Gill Sans MT" w:hAnsi="Gill Sans MT"/>
                <w:sz w:val="16"/>
                <w:szCs w:val="16"/>
              </w:rPr>
            </w:pPr>
            <w:r>
              <w:rPr>
                <w:rFonts w:hint="eastAsia" w:ascii="Gill Sans MT" w:hAnsi="Gill Sans MT"/>
                <w:sz w:val="16"/>
                <w:szCs w:val="16"/>
                <w:lang w:eastAsia="zh-CN"/>
              </w:rPr>
              <w:t>Finger tapping-Left hand</w:t>
            </w:r>
          </w:p>
        </w:tc>
        <w:tc>
          <w:tcPr>
            <w:tcW w:w="1125"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g</w:t>
            </w:r>
            <w:r>
              <w:rPr>
                <w:rFonts w:hint="eastAsia" w:ascii="Gill Sans MT" w:hAnsi="Gill Sans MT"/>
                <w:sz w:val="16"/>
                <w:szCs w:val="16"/>
                <w:vertAlign w:val="subscript"/>
                <w:lang w:eastAsia="zh-CN"/>
              </w:rPr>
              <w:t>IN-PY</w:t>
            </w:r>
          </w:p>
        </w:tc>
        <w:tc>
          <w:tcPr>
            <w:tcW w:w="1175"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-0.309</w:t>
            </w:r>
          </w:p>
        </w:tc>
        <w:tc>
          <w:tcPr>
            <w:tcW w:w="1208"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0.023</w:t>
            </w:r>
            <w:r>
              <w:rPr>
                <w:rFonts w:hint="eastAsia" w:ascii="Gill Sans MT" w:hAnsi="Gill Sans MT"/>
                <w:sz w:val="16"/>
                <w:szCs w:val="16"/>
                <w:vertAlign w:val="superscript"/>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490" w:type="pct"/>
            <w:vAlign w:val="center"/>
          </w:tcPr>
          <w:p>
            <w:pPr>
              <w:widowControl w:val="0"/>
              <w:spacing w:after="0" w:line="240" w:lineRule="auto"/>
              <w:jc w:val="both"/>
              <w:rPr>
                <w:rFonts w:ascii="Gill Sans MT" w:hAnsi="Gill Sans MT"/>
                <w:sz w:val="16"/>
                <w:szCs w:val="16"/>
              </w:rPr>
            </w:pPr>
            <w:r>
              <w:rPr>
                <w:rFonts w:hint="eastAsia" w:ascii="Gill Sans MT" w:hAnsi="Gill Sans MT"/>
                <w:sz w:val="16"/>
                <w:szCs w:val="16"/>
                <w:lang w:eastAsia="zh-CN"/>
              </w:rPr>
              <w:t>Hand movements-Right hand</w:t>
            </w:r>
          </w:p>
        </w:tc>
        <w:tc>
          <w:tcPr>
            <w:tcW w:w="1125"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g</w:t>
            </w:r>
            <w:r>
              <w:rPr>
                <w:rFonts w:hint="eastAsia" w:ascii="Gill Sans MT" w:hAnsi="Gill Sans MT"/>
                <w:sz w:val="16"/>
                <w:szCs w:val="16"/>
                <w:vertAlign w:val="subscript"/>
                <w:lang w:eastAsia="zh-CN"/>
              </w:rPr>
              <w:t>PY-STN</w:t>
            </w:r>
          </w:p>
        </w:tc>
        <w:tc>
          <w:tcPr>
            <w:tcW w:w="1175"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+0.278</w:t>
            </w:r>
          </w:p>
        </w:tc>
        <w:tc>
          <w:tcPr>
            <w:tcW w:w="1208"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0.042</w:t>
            </w:r>
            <w:r>
              <w:rPr>
                <w:rFonts w:hint="eastAsia" w:ascii="Gill Sans MT" w:hAnsi="Gill Sans MT"/>
                <w:sz w:val="16"/>
                <w:szCs w:val="16"/>
                <w:vertAlign w:val="superscript"/>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5000" w:type="pct"/>
            <w:gridSpan w:val="4"/>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b/>
                <w:bCs/>
                <w:sz w:val="16"/>
                <w:szCs w:val="16"/>
                <w:lang w:eastAsia="zh-CN"/>
              </w:rPr>
              <w:t>Leg agility-Right leg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490" w:type="pct"/>
            <w:vAlign w:val="center"/>
          </w:tcPr>
          <w:p>
            <w:pPr>
              <w:widowControl w:val="0"/>
              <w:spacing w:after="0" w:line="240" w:lineRule="auto"/>
              <w:jc w:val="both"/>
              <w:rPr>
                <w:rFonts w:ascii="Gill Sans MT" w:hAnsi="Gill Sans MT"/>
                <w:sz w:val="16"/>
                <w:szCs w:val="16"/>
              </w:rPr>
            </w:pPr>
          </w:p>
        </w:tc>
        <w:tc>
          <w:tcPr>
            <w:tcW w:w="1125"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g</w:t>
            </w:r>
            <w:r>
              <w:rPr>
                <w:rFonts w:hint="eastAsia" w:ascii="Gill Sans MT" w:hAnsi="Gill Sans MT"/>
                <w:sz w:val="16"/>
                <w:szCs w:val="16"/>
                <w:vertAlign w:val="subscript"/>
                <w:lang w:eastAsia="zh-CN"/>
              </w:rPr>
              <w:t>PY-IN</w:t>
            </w:r>
          </w:p>
        </w:tc>
        <w:tc>
          <w:tcPr>
            <w:tcW w:w="1175"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-0.327</w:t>
            </w:r>
          </w:p>
        </w:tc>
        <w:tc>
          <w:tcPr>
            <w:tcW w:w="1208"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0.016</w:t>
            </w:r>
            <w:r>
              <w:rPr>
                <w:rFonts w:hint="eastAsia" w:ascii="Gill Sans MT" w:hAnsi="Gill Sans MT"/>
                <w:sz w:val="16"/>
                <w:szCs w:val="16"/>
                <w:vertAlign w:val="superscript"/>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490" w:type="pct"/>
            <w:vAlign w:val="center"/>
          </w:tcPr>
          <w:p>
            <w:pPr>
              <w:widowControl w:val="0"/>
              <w:spacing w:after="0" w:line="240" w:lineRule="auto"/>
              <w:jc w:val="both"/>
              <w:rPr>
                <w:rFonts w:hint="eastAsia" w:ascii="Gill Sans MT" w:hAnsi="Gill Sans MT"/>
                <w:sz w:val="16"/>
                <w:szCs w:val="16"/>
                <w:lang w:eastAsia="zh-CN"/>
              </w:rPr>
            </w:pPr>
          </w:p>
        </w:tc>
        <w:tc>
          <w:tcPr>
            <w:tcW w:w="1125"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g</w:t>
            </w:r>
            <w:r>
              <w:rPr>
                <w:rFonts w:hint="eastAsia" w:ascii="Gill Sans MT" w:hAnsi="Gill Sans MT"/>
                <w:sz w:val="16"/>
                <w:szCs w:val="16"/>
                <w:vertAlign w:val="subscript"/>
                <w:lang w:eastAsia="zh-CN"/>
              </w:rPr>
              <w:t>STN-GPi</w:t>
            </w:r>
          </w:p>
        </w:tc>
        <w:tc>
          <w:tcPr>
            <w:tcW w:w="1175"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-0.272</w:t>
            </w:r>
          </w:p>
        </w:tc>
        <w:tc>
          <w:tcPr>
            <w:tcW w:w="1208"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0.046</w:t>
            </w:r>
            <w:r>
              <w:rPr>
                <w:rFonts w:hint="eastAsia" w:ascii="Gill Sans MT" w:hAnsi="Gill Sans MT"/>
                <w:sz w:val="16"/>
                <w:szCs w:val="16"/>
                <w:vertAlign w:val="superscript"/>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490" w:type="pct"/>
            <w:vAlign w:val="center"/>
          </w:tcPr>
          <w:p>
            <w:pPr>
              <w:widowControl w:val="0"/>
              <w:spacing w:after="0" w:line="240" w:lineRule="auto"/>
              <w:jc w:val="both"/>
              <w:rPr>
                <w:rFonts w:hint="eastAsia" w:ascii="Gill Sans MT" w:hAnsi="Gill Sans MT"/>
                <w:sz w:val="16"/>
                <w:szCs w:val="16"/>
                <w:lang w:eastAsia="zh-CN"/>
              </w:rPr>
            </w:pPr>
          </w:p>
        </w:tc>
        <w:tc>
          <w:tcPr>
            <w:tcW w:w="1125"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g</w:t>
            </w:r>
            <w:r>
              <w:rPr>
                <w:rFonts w:hint="eastAsia" w:ascii="Gill Sans MT" w:hAnsi="Gill Sans MT"/>
                <w:sz w:val="16"/>
                <w:szCs w:val="16"/>
                <w:vertAlign w:val="subscript"/>
                <w:lang w:eastAsia="zh-CN"/>
              </w:rPr>
              <w:t>STN-GPe</w:t>
            </w:r>
          </w:p>
        </w:tc>
        <w:tc>
          <w:tcPr>
            <w:tcW w:w="1175"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-0.307</w:t>
            </w:r>
          </w:p>
        </w:tc>
        <w:tc>
          <w:tcPr>
            <w:tcW w:w="1208"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0.024</w:t>
            </w:r>
            <w:r>
              <w:rPr>
                <w:rFonts w:hint="eastAsia" w:ascii="Gill Sans MT" w:hAnsi="Gill Sans MT"/>
                <w:sz w:val="16"/>
                <w:szCs w:val="16"/>
                <w:vertAlign w:val="superscript"/>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5000" w:type="pct"/>
            <w:gridSpan w:val="4"/>
            <w:vAlign w:val="center"/>
          </w:tcPr>
          <w:p>
            <w:pPr>
              <w:widowControl w:val="0"/>
              <w:spacing w:after="0" w:line="240" w:lineRule="auto"/>
              <w:jc w:val="both"/>
              <w:rPr>
                <w:rFonts w:hint="eastAsia" w:ascii="Gill Sans MT" w:hAnsi="Gill Sans MT"/>
                <w:b/>
                <w:bCs/>
                <w:sz w:val="16"/>
                <w:szCs w:val="16"/>
                <w:lang w:eastAsia="zh-CN"/>
              </w:rPr>
            </w:pPr>
            <w:r>
              <w:rPr>
                <w:rFonts w:hint="eastAsia" w:ascii="Gill Sans MT" w:hAnsi="Gill Sans MT"/>
                <w:b/>
                <w:bCs/>
                <w:sz w:val="16"/>
                <w:szCs w:val="16"/>
                <w:lang w:eastAsia="zh-CN"/>
              </w:rPr>
              <w:t>Leg agility-Left leg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490" w:type="pct"/>
            <w:vAlign w:val="center"/>
          </w:tcPr>
          <w:p>
            <w:pPr>
              <w:widowControl w:val="0"/>
              <w:spacing w:after="0" w:line="240" w:lineRule="auto"/>
              <w:jc w:val="both"/>
              <w:rPr>
                <w:rFonts w:hint="eastAsia" w:ascii="Gill Sans MT" w:hAnsi="Gill Sans MT"/>
                <w:sz w:val="16"/>
                <w:szCs w:val="16"/>
                <w:lang w:eastAsia="zh-CN"/>
              </w:rPr>
            </w:pPr>
          </w:p>
        </w:tc>
        <w:tc>
          <w:tcPr>
            <w:tcW w:w="1125"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g</w:t>
            </w:r>
            <w:r>
              <w:rPr>
                <w:rFonts w:hint="eastAsia" w:ascii="Gill Sans MT" w:hAnsi="Gill Sans MT"/>
                <w:sz w:val="16"/>
                <w:szCs w:val="16"/>
                <w:vertAlign w:val="subscript"/>
                <w:lang w:eastAsia="zh-CN"/>
              </w:rPr>
              <w:t>PY-IN</w:t>
            </w:r>
          </w:p>
        </w:tc>
        <w:tc>
          <w:tcPr>
            <w:tcW w:w="1175"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-0.408</w:t>
            </w:r>
          </w:p>
        </w:tc>
        <w:tc>
          <w:tcPr>
            <w:tcW w:w="1208"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0.002</w:t>
            </w:r>
            <w:r>
              <w:rPr>
                <w:rFonts w:hint="eastAsia" w:ascii="Gill Sans MT" w:hAnsi="Gill Sans MT"/>
                <w:sz w:val="16"/>
                <w:szCs w:val="16"/>
                <w:vertAlign w:val="superscript"/>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490" w:type="pct"/>
            <w:tcBorders>
              <w:bottom w:val="single" w:color="auto" w:sz="4" w:space="0"/>
            </w:tcBorders>
            <w:vAlign w:val="center"/>
          </w:tcPr>
          <w:p>
            <w:pPr>
              <w:widowControl w:val="0"/>
              <w:spacing w:after="0" w:line="240" w:lineRule="auto"/>
              <w:jc w:val="both"/>
              <w:rPr>
                <w:rFonts w:hint="eastAsia" w:ascii="Gill Sans MT" w:hAnsi="Gill Sans MT"/>
                <w:sz w:val="16"/>
                <w:szCs w:val="16"/>
                <w:lang w:eastAsia="zh-CN"/>
              </w:rPr>
            </w:pPr>
          </w:p>
        </w:tc>
        <w:tc>
          <w:tcPr>
            <w:tcW w:w="1125" w:type="pct"/>
            <w:tcBorders>
              <w:bottom w:val="single" w:color="auto" w:sz="4" w:space="0"/>
            </w:tcBorders>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g</w:t>
            </w:r>
            <w:r>
              <w:rPr>
                <w:rFonts w:hint="eastAsia" w:ascii="Gill Sans MT" w:hAnsi="Gill Sans MT"/>
                <w:sz w:val="16"/>
                <w:szCs w:val="16"/>
                <w:vertAlign w:val="subscript"/>
                <w:lang w:eastAsia="zh-CN"/>
              </w:rPr>
              <w:t>IN-PY</w:t>
            </w:r>
          </w:p>
        </w:tc>
        <w:tc>
          <w:tcPr>
            <w:tcW w:w="1175" w:type="pct"/>
            <w:tcBorders>
              <w:bottom w:val="single" w:color="auto" w:sz="4" w:space="0"/>
            </w:tcBorders>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-0.291</w:t>
            </w:r>
          </w:p>
        </w:tc>
        <w:tc>
          <w:tcPr>
            <w:tcW w:w="1208" w:type="pct"/>
            <w:tcBorders>
              <w:bottom w:val="single" w:color="auto" w:sz="4" w:space="0"/>
            </w:tcBorders>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0.033</w:t>
            </w:r>
            <w:r>
              <w:rPr>
                <w:rFonts w:hint="eastAsia" w:ascii="Gill Sans MT" w:hAnsi="Gill Sans MT"/>
                <w:sz w:val="16"/>
                <w:szCs w:val="16"/>
                <w:vertAlign w:val="superscript"/>
                <w:lang w:eastAsia="zh-CN"/>
              </w:rPr>
              <w:t>*</w:t>
            </w:r>
          </w:p>
        </w:tc>
      </w:tr>
    </w:tbl>
    <w:p>
      <w:pPr>
        <w:spacing w:after="0" w:line="240" w:lineRule="auto"/>
        <w:contextualSpacing/>
        <w:jc w:val="both"/>
        <w:rPr>
          <w:rFonts w:hint="eastAsia" w:ascii="Gill Sans MT" w:hAnsi="Gill Sans MT"/>
          <w:sz w:val="16"/>
          <w:szCs w:val="16"/>
        </w:rPr>
      </w:pPr>
      <w:r>
        <w:rPr>
          <w:rFonts w:hint="eastAsia" w:ascii="Gill Sans MT" w:hAnsi="Gill Sans MT"/>
          <w:sz w:val="16"/>
          <w:szCs w:val="16"/>
        </w:rPr>
        <w:t>** and * represent the significance levels of 1% and 5%, respectively.</w:t>
      </w:r>
    </w:p>
    <w:p>
      <w:pPr>
        <w:spacing w:after="0" w:line="240" w:lineRule="auto"/>
        <w:contextualSpacing/>
        <w:jc w:val="both"/>
        <w:rPr>
          <w:rFonts w:hint="eastAsia" w:ascii="Gill Sans MT" w:hAnsi="Gill Sans MT"/>
          <w:sz w:val="16"/>
          <w:szCs w:val="16"/>
        </w:rPr>
      </w:pPr>
    </w:p>
    <w:p>
      <w:pPr>
        <w:spacing w:line="240" w:lineRule="auto"/>
        <w:jc w:val="both"/>
        <w:rPr>
          <w:rFonts w:ascii="Gill Sans MT" w:hAnsi="Gill Sans MT"/>
          <w:b/>
          <w:sz w:val="16"/>
          <w:szCs w:val="16"/>
        </w:rPr>
      </w:pPr>
      <w:r>
        <w:rPr>
          <w:rFonts w:hint="eastAsia" w:ascii="Gill Sans MT" w:hAnsi="Gill Sans MT"/>
          <w:b/>
          <w:sz w:val="16"/>
          <w:szCs w:val="16"/>
          <w:lang w:eastAsia="zh-CN"/>
        </w:rPr>
        <w:t>Table S4</w:t>
      </w:r>
      <w:r>
        <w:rPr>
          <w:rFonts w:ascii="Gill Sans MT" w:hAnsi="Gill Sans MT"/>
          <w:b/>
          <w:sz w:val="16"/>
          <w:szCs w:val="16"/>
        </w:rPr>
        <w:t xml:space="preserve"> </w:t>
      </w:r>
      <w:r>
        <w:rPr>
          <w:rFonts w:hint="eastAsia" w:ascii="Gill Sans MT" w:hAnsi="Gill Sans MT"/>
          <w:b/>
          <w:sz w:val="16"/>
          <w:szCs w:val="16"/>
        </w:rPr>
        <w:t>S</w:t>
      </w:r>
      <w:r>
        <w:rPr>
          <w:rFonts w:hint="eastAsia" w:ascii="Gill Sans MT" w:hAnsi="Gill Sans MT"/>
          <w:b/>
          <w:sz w:val="16"/>
          <w:szCs w:val="16"/>
          <w:lang w:val="en-GB"/>
        </w:rPr>
        <w:t>pearman</w:t>
      </w:r>
      <w:r>
        <w:rPr>
          <w:rFonts w:ascii="Gill Sans MT" w:hAnsi="Gill Sans MT"/>
          <w:b/>
          <w:sz w:val="16"/>
          <w:szCs w:val="16"/>
        </w:rPr>
        <w:t>’</w:t>
      </w:r>
      <w:r>
        <w:rPr>
          <w:rFonts w:hint="eastAsia" w:ascii="Gill Sans MT" w:hAnsi="Gill Sans MT"/>
          <w:b/>
          <w:sz w:val="16"/>
          <w:szCs w:val="16"/>
        </w:rPr>
        <w:t>s</w:t>
      </w:r>
      <w:r>
        <w:rPr>
          <w:rFonts w:hint="eastAsia" w:ascii="Gill Sans MT" w:hAnsi="Gill Sans MT"/>
          <w:b/>
          <w:sz w:val="16"/>
          <w:szCs w:val="16"/>
          <w:lang w:val="en-GB"/>
        </w:rPr>
        <w:t xml:space="preserve"> correlation between parameter change value and symptom improvement rate</w:t>
      </w:r>
    </w:p>
    <w:tbl>
      <w:tblPr>
        <w:tblStyle w:val="8"/>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819"/>
        <w:gridCol w:w="2065"/>
        <w:gridCol w:w="1843"/>
        <w:gridCol w:w="24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873" w:type="pct"/>
            <w:tcBorders>
              <w:top w:val="single" w:color="auto" w:sz="4" w:space="0"/>
              <w:bottom w:val="single" w:color="auto" w:sz="4" w:space="0"/>
            </w:tcBorders>
            <w:vAlign w:val="center"/>
          </w:tcPr>
          <w:p>
            <w:pPr>
              <w:widowControl w:val="0"/>
              <w:spacing w:after="0" w:line="240" w:lineRule="auto"/>
              <w:jc w:val="both"/>
              <w:rPr>
                <w:rFonts w:ascii="Gill Sans MT" w:hAnsi="Gill Sans MT"/>
                <w:b/>
                <w:sz w:val="16"/>
                <w:szCs w:val="16"/>
              </w:rPr>
            </w:pPr>
            <w:r>
              <w:rPr>
                <w:rFonts w:hint="eastAsia" w:ascii="Gill Sans MT" w:hAnsi="Gill Sans MT"/>
                <w:b/>
                <w:sz w:val="16"/>
                <w:szCs w:val="16"/>
                <w:lang w:eastAsia="zh-CN"/>
              </w:rPr>
              <w:t>Symptoms</w:t>
            </w:r>
          </w:p>
        </w:tc>
        <w:tc>
          <w:tcPr>
            <w:tcW w:w="1013" w:type="pct"/>
            <w:tcBorders>
              <w:top w:val="single" w:color="auto" w:sz="4" w:space="0"/>
              <w:bottom w:val="single" w:color="auto" w:sz="4" w:space="0"/>
            </w:tcBorders>
            <w:vAlign w:val="center"/>
          </w:tcPr>
          <w:p>
            <w:pPr>
              <w:widowControl w:val="0"/>
              <w:spacing w:after="0" w:line="240" w:lineRule="auto"/>
              <w:jc w:val="both"/>
              <w:rPr>
                <w:rFonts w:ascii="Gill Sans MT" w:hAnsi="Gill Sans MT"/>
                <w:b/>
                <w:sz w:val="16"/>
                <w:szCs w:val="16"/>
              </w:rPr>
            </w:pPr>
            <w:r>
              <w:rPr>
                <w:rFonts w:hint="eastAsia" w:ascii="Gill Sans MT" w:hAnsi="Gill Sans MT"/>
                <w:b/>
                <w:sz w:val="16"/>
                <w:szCs w:val="16"/>
                <w:lang w:eastAsia="zh-CN"/>
              </w:rPr>
              <w:t xml:space="preserve">relevant parameter </w:t>
            </w:r>
          </w:p>
        </w:tc>
        <w:tc>
          <w:tcPr>
            <w:tcW w:w="904" w:type="pct"/>
            <w:tcBorders>
              <w:top w:val="single" w:color="auto" w:sz="4" w:space="0"/>
              <w:bottom w:val="single" w:color="auto" w:sz="4" w:space="0"/>
            </w:tcBorders>
            <w:vAlign w:val="center"/>
          </w:tcPr>
          <w:p>
            <w:pPr>
              <w:widowControl w:val="0"/>
              <w:spacing w:after="0" w:line="240" w:lineRule="auto"/>
              <w:jc w:val="both"/>
              <w:rPr>
                <w:rFonts w:ascii="Gill Sans MT" w:hAnsi="Gill Sans MT"/>
                <w:b/>
                <w:sz w:val="16"/>
                <w:szCs w:val="16"/>
              </w:rPr>
            </w:pPr>
            <w:r>
              <w:rPr>
                <w:rFonts w:hint="eastAsia" w:ascii="Gill Sans MT" w:hAnsi="Gill Sans MT"/>
                <w:b/>
                <w:sz w:val="16"/>
                <w:szCs w:val="16"/>
                <w:lang w:eastAsia="zh-CN"/>
              </w:rPr>
              <w:t>relativity</w:t>
            </w:r>
          </w:p>
        </w:tc>
        <w:tc>
          <w:tcPr>
            <w:tcW w:w="1208" w:type="pct"/>
            <w:tcBorders>
              <w:top w:val="single" w:color="auto" w:sz="4" w:space="0"/>
              <w:bottom w:val="single" w:color="auto" w:sz="4" w:space="0"/>
            </w:tcBorders>
            <w:vAlign w:val="center"/>
          </w:tcPr>
          <w:p>
            <w:pPr>
              <w:widowControl w:val="0"/>
              <w:spacing w:after="0" w:line="240" w:lineRule="auto"/>
              <w:jc w:val="both"/>
              <w:rPr>
                <w:rFonts w:ascii="Gill Sans MT" w:hAnsi="Gill Sans MT"/>
                <w:b/>
                <w:sz w:val="16"/>
                <w:szCs w:val="16"/>
              </w:rPr>
            </w:pPr>
            <w:r>
              <w:rPr>
                <w:rFonts w:ascii="Gill Sans MT" w:hAnsi="Gill Sans MT"/>
                <w:b/>
                <w:bCs/>
                <w:i/>
                <w:sz w:val="16"/>
                <w:szCs w:val="16"/>
              </w:rPr>
              <w:t>P</w:t>
            </w:r>
            <w:r>
              <w:rPr>
                <w:rFonts w:hint="default" w:ascii="Gill Sans MT" w:hAnsi="Gill Sans MT"/>
                <w:b/>
                <w:sz w:val="16"/>
                <w:szCs w:val="16"/>
              </w:rPr>
              <w:t>-value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873" w:type="pct"/>
            <w:tcBorders>
              <w:top w:val="single" w:color="auto" w:sz="4" w:space="0"/>
            </w:tcBorders>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Rigidity-Neck</w:t>
            </w:r>
          </w:p>
        </w:tc>
        <w:tc>
          <w:tcPr>
            <w:tcW w:w="1013" w:type="pct"/>
            <w:tcBorders>
              <w:top w:val="single" w:color="auto" w:sz="4" w:space="0"/>
            </w:tcBorders>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g</w:t>
            </w:r>
            <w:r>
              <w:rPr>
                <w:rFonts w:hint="eastAsia" w:ascii="Gill Sans MT" w:hAnsi="Gill Sans MT"/>
                <w:sz w:val="16"/>
                <w:szCs w:val="16"/>
                <w:vertAlign w:val="subscript"/>
                <w:lang w:eastAsia="zh-CN"/>
              </w:rPr>
              <w:t>Gpe-GPi</w:t>
            </w:r>
          </w:p>
        </w:tc>
        <w:tc>
          <w:tcPr>
            <w:tcW w:w="904" w:type="pct"/>
            <w:tcBorders>
              <w:top w:val="single" w:color="auto" w:sz="4" w:space="0"/>
            </w:tcBorders>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+0.429</w:t>
            </w:r>
          </w:p>
        </w:tc>
        <w:tc>
          <w:tcPr>
            <w:tcW w:w="1208" w:type="pct"/>
            <w:tcBorders>
              <w:top w:val="single" w:color="auto" w:sz="4" w:space="0"/>
            </w:tcBorders>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0.026</w:t>
            </w:r>
            <w:r>
              <w:rPr>
                <w:rFonts w:hint="eastAsia" w:ascii="Gill Sans MT" w:hAnsi="Gill Sans MT"/>
                <w:sz w:val="16"/>
                <w:szCs w:val="16"/>
                <w:vertAlign w:val="superscript"/>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873"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Rigidity-RUE</w:t>
            </w:r>
          </w:p>
        </w:tc>
        <w:tc>
          <w:tcPr>
            <w:tcW w:w="1013"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g</w:t>
            </w:r>
            <w:r>
              <w:rPr>
                <w:rFonts w:hint="eastAsia" w:ascii="Gill Sans MT" w:hAnsi="Gill Sans MT"/>
                <w:sz w:val="16"/>
                <w:szCs w:val="16"/>
                <w:vertAlign w:val="subscript"/>
                <w:lang w:eastAsia="zh-CN"/>
              </w:rPr>
              <w:t>Th-PY</w:t>
            </w:r>
          </w:p>
        </w:tc>
        <w:tc>
          <w:tcPr>
            <w:tcW w:w="904"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-0.440</w:t>
            </w:r>
          </w:p>
        </w:tc>
        <w:tc>
          <w:tcPr>
            <w:tcW w:w="1208"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0.022</w:t>
            </w:r>
            <w:r>
              <w:rPr>
                <w:rFonts w:hint="eastAsia" w:ascii="Gill Sans MT" w:hAnsi="Gill Sans MT"/>
                <w:sz w:val="16"/>
                <w:szCs w:val="16"/>
                <w:vertAlign w:val="superscript"/>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873"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Rigidity-RLE</w:t>
            </w:r>
          </w:p>
        </w:tc>
        <w:tc>
          <w:tcPr>
            <w:tcW w:w="1013"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g</w:t>
            </w:r>
            <w:r>
              <w:rPr>
                <w:rFonts w:hint="eastAsia" w:ascii="Gill Sans MT" w:hAnsi="Gill Sans MT"/>
                <w:sz w:val="16"/>
                <w:szCs w:val="16"/>
                <w:vertAlign w:val="subscript"/>
                <w:lang w:eastAsia="zh-CN"/>
              </w:rPr>
              <w:t>STN-GPi</w:t>
            </w:r>
          </w:p>
        </w:tc>
        <w:tc>
          <w:tcPr>
            <w:tcW w:w="904"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+0.398</w:t>
            </w:r>
          </w:p>
        </w:tc>
        <w:tc>
          <w:tcPr>
            <w:tcW w:w="1208"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0.040</w:t>
            </w:r>
            <w:r>
              <w:rPr>
                <w:rFonts w:hint="eastAsia" w:ascii="Gill Sans MT" w:hAnsi="Gill Sans MT"/>
                <w:sz w:val="16"/>
                <w:szCs w:val="16"/>
                <w:vertAlign w:val="superscript"/>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873"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Finger tapping-Right hand</w:t>
            </w:r>
          </w:p>
        </w:tc>
        <w:tc>
          <w:tcPr>
            <w:tcW w:w="1013"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g</w:t>
            </w:r>
            <w:r>
              <w:rPr>
                <w:rFonts w:hint="eastAsia" w:ascii="Gill Sans MT" w:hAnsi="Gill Sans MT"/>
                <w:sz w:val="16"/>
                <w:szCs w:val="16"/>
                <w:vertAlign w:val="subscript"/>
                <w:lang w:eastAsia="zh-CN"/>
              </w:rPr>
              <w:t>GPe-STN</w:t>
            </w:r>
          </w:p>
        </w:tc>
        <w:tc>
          <w:tcPr>
            <w:tcW w:w="904"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-0.419</w:t>
            </w:r>
          </w:p>
        </w:tc>
        <w:tc>
          <w:tcPr>
            <w:tcW w:w="1208"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0.029</w:t>
            </w:r>
            <w:r>
              <w:rPr>
                <w:rFonts w:hint="eastAsia" w:ascii="Gill Sans MT" w:hAnsi="Gill Sans MT"/>
                <w:sz w:val="16"/>
                <w:szCs w:val="16"/>
                <w:vertAlign w:val="superscript"/>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873"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Finger tapping-Left hand</w:t>
            </w:r>
          </w:p>
        </w:tc>
        <w:tc>
          <w:tcPr>
            <w:tcW w:w="1013"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g</w:t>
            </w:r>
            <w:r>
              <w:rPr>
                <w:rFonts w:hint="eastAsia" w:ascii="Gill Sans MT" w:hAnsi="Gill Sans MT"/>
                <w:sz w:val="16"/>
                <w:szCs w:val="16"/>
                <w:vertAlign w:val="subscript"/>
                <w:lang w:eastAsia="zh-CN"/>
              </w:rPr>
              <w:t>PY-STN</w:t>
            </w:r>
          </w:p>
        </w:tc>
        <w:tc>
          <w:tcPr>
            <w:tcW w:w="904"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-0.384</w:t>
            </w:r>
          </w:p>
        </w:tc>
        <w:tc>
          <w:tcPr>
            <w:tcW w:w="1208"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0.048</w:t>
            </w:r>
            <w:r>
              <w:rPr>
                <w:rFonts w:hint="eastAsia" w:ascii="Gill Sans MT" w:hAnsi="Gill Sans MT"/>
                <w:sz w:val="16"/>
                <w:szCs w:val="16"/>
                <w:vertAlign w:val="superscript"/>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873"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Hand movements-Left hand</w:t>
            </w:r>
          </w:p>
        </w:tc>
        <w:tc>
          <w:tcPr>
            <w:tcW w:w="1013"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g</w:t>
            </w:r>
            <w:r>
              <w:rPr>
                <w:rFonts w:hint="eastAsia" w:ascii="Gill Sans MT" w:hAnsi="Gill Sans MT"/>
                <w:sz w:val="16"/>
                <w:szCs w:val="16"/>
                <w:vertAlign w:val="subscript"/>
                <w:lang w:eastAsia="zh-CN"/>
              </w:rPr>
              <w:t>GPe-STN</w:t>
            </w:r>
          </w:p>
        </w:tc>
        <w:tc>
          <w:tcPr>
            <w:tcW w:w="904"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-0.410</w:t>
            </w:r>
          </w:p>
        </w:tc>
        <w:tc>
          <w:tcPr>
            <w:tcW w:w="1208"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0.034</w:t>
            </w:r>
            <w:r>
              <w:rPr>
                <w:rFonts w:hint="eastAsia" w:ascii="Gill Sans MT" w:hAnsi="Gill Sans MT"/>
                <w:sz w:val="16"/>
                <w:szCs w:val="16"/>
                <w:vertAlign w:val="superscript"/>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873"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Pronation- supination movements-Right hand</w:t>
            </w:r>
          </w:p>
        </w:tc>
        <w:tc>
          <w:tcPr>
            <w:tcW w:w="1013"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g</w:t>
            </w:r>
            <w:r>
              <w:rPr>
                <w:rFonts w:hint="eastAsia" w:ascii="Gill Sans MT" w:hAnsi="Gill Sans MT"/>
                <w:sz w:val="16"/>
                <w:szCs w:val="16"/>
                <w:vertAlign w:val="subscript"/>
                <w:lang w:eastAsia="zh-CN"/>
              </w:rPr>
              <w:t>GPe-STN</w:t>
            </w:r>
          </w:p>
        </w:tc>
        <w:tc>
          <w:tcPr>
            <w:tcW w:w="904"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-0.473</w:t>
            </w:r>
          </w:p>
        </w:tc>
        <w:tc>
          <w:tcPr>
            <w:tcW w:w="1208"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0.013</w:t>
            </w:r>
            <w:r>
              <w:rPr>
                <w:rFonts w:hint="eastAsia" w:ascii="Gill Sans MT" w:hAnsi="Gill Sans MT"/>
                <w:sz w:val="16"/>
                <w:szCs w:val="16"/>
                <w:vertAlign w:val="superscript"/>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873" w:type="pct"/>
            <w:tcBorders>
              <w:bottom w:val="single" w:color="auto" w:sz="4" w:space="0"/>
            </w:tcBorders>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Global spontaneity of movement</w:t>
            </w:r>
          </w:p>
        </w:tc>
        <w:tc>
          <w:tcPr>
            <w:tcW w:w="1013" w:type="pct"/>
            <w:tcBorders>
              <w:bottom w:val="single" w:color="auto" w:sz="4" w:space="0"/>
            </w:tcBorders>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g</w:t>
            </w:r>
            <w:r>
              <w:rPr>
                <w:rFonts w:hint="eastAsia" w:ascii="Gill Sans MT" w:hAnsi="Gill Sans MT"/>
                <w:sz w:val="16"/>
                <w:szCs w:val="16"/>
                <w:vertAlign w:val="subscript"/>
                <w:lang w:eastAsia="zh-CN"/>
              </w:rPr>
              <w:t>GPe-STN</w:t>
            </w:r>
          </w:p>
        </w:tc>
        <w:tc>
          <w:tcPr>
            <w:tcW w:w="904" w:type="pct"/>
            <w:tcBorders>
              <w:bottom w:val="single" w:color="auto" w:sz="4" w:space="0"/>
            </w:tcBorders>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-0.419</w:t>
            </w:r>
          </w:p>
        </w:tc>
        <w:tc>
          <w:tcPr>
            <w:tcW w:w="1208" w:type="pct"/>
            <w:tcBorders>
              <w:bottom w:val="single" w:color="auto" w:sz="4" w:space="0"/>
            </w:tcBorders>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0.03</w:t>
            </w:r>
            <w:r>
              <w:rPr>
                <w:rFonts w:hint="eastAsia" w:ascii="Gill Sans MT" w:hAnsi="Gill Sans MT"/>
                <w:sz w:val="16"/>
                <w:szCs w:val="16"/>
                <w:vertAlign w:val="superscript"/>
                <w:lang w:eastAsia="zh-CN"/>
              </w:rPr>
              <w:t>*</w:t>
            </w:r>
          </w:p>
        </w:tc>
      </w:tr>
    </w:tbl>
    <w:p>
      <w:pPr>
        <w:spacing w:after="0"/>
        <w:rPr>
          <w:rFonts w:ascii="Gill Sans MT" w:hAnsi="Gill Sans MT"/>
          <w:sz w:val="16"/>
          <w:szCs w:val="16"/>
        </w:rPr>
      </w:pPr>
      <w:r>
        <w:rPr>
          <w:rFonts w:ascii="Gill Sans MT" w:hAnsi="Gill Sans MT"/>
          <w:sz w:val="16"/>
          <w:szCs w:val="16"/>
        </w:rPr>
        <w:t>*</w:t>
      </w:r>
      <w:r>
        <w:rPr>
          <w:rFonts w:ascii="Gill Sans MT" w:hAnsi="Gill Sans MT"/>
          <w:i/>
          <w:sz w:val="16"/>
          <w:szCs w:val="16"/>
        </w:rPr>
        <w:t>P</w:t>
      </w:r>
      <w:r>
        <w:rPr>
          <w:rFonts w:ascii="Gill Sans MT" w:hAnsi="Gill Sans MT"/>
          <w:sz w:val="16"/>
          <w:szCs w:val="16"/>
        </w:rPr>
        <w:t xml:space="preserve"> &lt; 0.05.</w:t>
      </w:r>
    </w:p>
    <w:p>
      <w:pPr>
        <w:spacing w:after="0"/>
        <w:rPr>
          <w:rFonts w:ascii="Gill Sans MT" w:hAnsi="Gill Sans MT"/>
          <w:sz w:val="16"/>
          <w:szCs w:val="16"/>
        </w:rPr>
      </w:pPr>
    </w:p>
    <w:p>
      <w:pPr>
        <w:spacing w:line="240" w:lineRule="auto"/>
        <w:jc w:val="both"/>
        <w:rPr>
          <w:rFonts w:ascii="Gill Sans MT" w:hAnsi="Gill Sans MT"/>
          <w:b/>
          <w:sz w:val="16"/>
          <w:szCs w:val="16"/>
        </w:rPr>
      </w:pPr>
      <w:r>
        <w:rPr>
          <w:rFonts w:hint="eastAsia" w:ascii="Gill Sans MT" w:hAnsi="Gill Sans MT"/>
          <w:b/>
          <w:sz w:val="16"/>
          <w:szCs w:val="16"/>
          <w:lang w:eastAsia="zh-CN"/>
        </w:rPr>
        <w:t>Table S5</w:t>
      </w:r>
      <w:r>
        <w:rPr>
          <w:rFonts w:ascii="Gill Sans MT" w:hAnsi="Gill Sans MT"/>
          <w:b/>
          <w:sz w:val="16"/>
          <w:szCs w:val="16"/>
        </w:rPr>
        <w:t xml:space="preserve"> </w:t>
      </w:r>
      <w:r>
        <w:rPr>
          <w:rFonts w:hint="eastAsia" w:ascii="Gill Sans MT" w:hAnsi="Gill Sans MT"/>
          <w:b/>
          <w:sz w:val="16"/>
          <w:szCs w:val="16"/>
          <w:lang w:eastAsia="zh-CN"/>
        </w:rPr>
        <w:t>P</w:t>
      </w:r>
      <w:r>
        <w:rPr>
          <w:rFonts w:hint="eastAsia" w:ascii="Gill Sans MT" w:hAnsi="Gill Sans MT"/>
          <w:b/>
          <w:sz w:val="16"/>
          <w:szCs w:val="16"/>
          <w:lang w:val="en-GB"/>
        </w:rPr>
        <w:t>aired-sample t-test</w:t>
      </w:r>
      <w:r>
        <w:rPr>
          <w:rFonts w:hint="eastAsia" w:ascii="Gill Sans MT" w:hAnsi="Gill Sans MT"/>
          <w:b/>
          <w:sz w:val="16"/>
          <w:szCs w:val="16"/>
          <w:lang w:eastAsia="zh-CN"/>
        </w:rPr>
        <w:t xml:space="preserve"> result</w:t>
      </w:r>
      <w:r>
        <w:rPr>
          <w:rFonts w:hint="eastAsia" w:ascii="Gill Sans MT" w:hAnsi="Gill Sans MT"/>
          <w:b/>
          <w:sz w:val="16"/>
          <w:szCs w:val="16"/>
          <w:lang w:val="en-GB"/>
        </w:rPr>
        <w:t xml:space="preserve"> between DBS-ON and DBS-OFF state</w:t>
      </w:r>
    </w:p>
    <w:tbl>
      <w:tblPr>
        <w:tblStyle w:val="8"/>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812"/>
        <w:gridCol w:w="3142"/>
        <w:gridCol w:w="32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871" w:type="pct"/>
            <w:tcBorders>
              <w:top w:val="single" w:color="auto" w:sz="4" w:space="0"/>
              <w:bottom w:val="single" w:color="auto" w:sz="4" w:space="0"/>
            </w:tcBorders>
            <w:vAlign w:val="center"/>
          </w:tcPr>
          <w:p>
            <w:pPr>
              <w:widowControl w:val="0"/>
              <w:spacing w:after="0" w:line="240" w:lineRule="auto"/>
              <w:jc w:val="both"/>
              <w:rPr>
                <w:rFonts w:ascii="Gill Sans MT" w:hAnsi="Gill Sans MT"/>
                <w:b/>
                <w:sz w:val="16"/>
                <w:szCs w:val="16"/>
              </w:rPr>
            </w:pPr>
            <w:r>
              <w:rPr>
                <w:rFonts w:hint="eastAsia" w:ascii="Gill Sans MT" w:hAnsi="Gill Sans MT"/>
                <w:b/>
                <w:sz w:val="16"/>
                <w:szCs w:val="16"/>
                <w:lang w:eastAsia="zh-CN"/>
              </w:rPr>
              <w:t>Symptoms</w:t>
            </w:r>
          </w:p>
        </w:tc>
        <w:tc>
          <w:tcPr>
            <w:tcW w:w="1542" w:type="pct"/>
            <w:tcBorders>
              <w:top w:val="single" w:color="auto" w:sz="4" w:space="0"/>
              <w:bottom w:val="single" w:color="auto" w:sz="4" w:space="0"/>
            </w:tcBorders>
            <w:vAlign w:val="center"/>
          </w:tcPr>
          <w:p>
            <w:pPr>
              <w:widowControl w:val="0"/>
              <w:spacing w:after="0" w:line="240" w:lineRule="auto"/>
              <w:jc w:val="both"/>
              <w:rPr>
                <w:rFonts w:ascii="Gill Sans MT" w:hAnsi="Gill Sans MT"/>
                <w:b/>
                <w:sz w:val="16"/>
                <w:szCs w:val="16"/>
              </w:rPr>
            </w:pPr>
            <w:r>
              <w:rPr>
                <w:rFonts w:hint="eastAsia" w:ascii="Gill Sans MT" w:hAnsi="Gill Sans MT"/>
                <w:b/>
                <w:sz w:val="16"/>
                <w:szCs w:val="16"/>
                <w:lang w:eastAsia="zh-CN"/>
              </w:rPr>
              <w:t xml:space="preserve">relevant parameter </w:t>
            </w:r>
          </w:p>
        </w:tc>
        <w:tc>
          <w:tcPr>
            <w:tcW w:w="1585" w:type="pct"/>
            <w:tcBorders>
              <w:top w:val="single" w:color="auto" w:sz="4" w:space="0"/>
              <w:bottom w:val="single" w:color="auto" w:sz="4" w:space="0"/>
            </w:tcBorders>
            <w:vAlign w:val="center"/>
          </w:tcPr>
          <w:p>
            <w:pPr>
              <w:widowControl w:val="0"/>
              <w:spacing w:after="0" w:line="240" w:lineRule="auto"/>
              <w:jc w:val="both"/>
              <w:rPr>
                <w:rFonts w:ascii="Gill Sans MT" w:hAnsi="Gill Sans MT"/>
                <w:b/>
                <w:sz w:val="16"/>
                <w:szCs w:val="16"/>
              </w:rPr>
            </w:pPr>
            <w:r>
              <w:rPr>
                <w:rFonts w:ascii="Gill Sans MT" w:hAnsi="Gill Sans MT"/>
                <w:b/>
                <w:bCs/>
                <w:i/>
                <w:sz w:val="16"/>
                <w:szCs w:val="16"/>
              </w:rPr>
              <w:t>P</w:t>
            </w:r>
            <w:r>
              <w:rPr>
                <w:rFonts w:hint="default" w:ascii="Gill Sans MT" w:hAnsi="Gill Sans MT"/>
                <w:b/>
                <w:sz w:val="16"/>
                <w:szCs w:val="16"/>
              </w:rPr>
              <w:t>-value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5000" w:type="pct"/>
            <w:gridSpan w:val="3"/>
            <w:tcBorders>
              <w:top w:val="single" w:color="auto" w:sz="4" w:space="0"/>
            </w:tcBorders>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b/>
                <w:bCs/>
                <w:sz w:val="16"/>
                <w:szCs w:val="16"/>
                <w:lang w:eastAsia="zh-CN"/>
              </w:rPr>
              <w:t>Rigidity-Neck</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871" w:type="pct"/>
            <w:vAlign w:val="center"/>
          </w:tcPr>
          <w:p>
            <w:pPr>
              <w:widowControl w:val="0"/>
              <w:spacing w:after="0" w:line="240" w:lineRule="auto"/>
              <w:jc w:val="both"/>
              <w:rPr>
                <w:rFonts w:hint="eastAsia" w:ascii="Gill Sans MT" w:hAnsi="Gill Sans MT"/>
                <w:sz w:val="16"/>
                <w:szCs w:val="16"/>
                <w:lang w:eastAsia="zh-CN"/>
              </w:rPr>
            </w:pPr>
          </w:p>
        </w:tc>
        <w:tc>
          <w:tcPr>
            <w:tcW w:w="1542" w:type="pct"/>
            <w:vAlign w:val="center"/>
          </w:tcPr>
          <w:p>
            <w:pPr>
              <w:widowControl w:val="0"/>
              <w:spacing w:after="0" w:line="240" w:lineRule="auto"/>
              <w:jc w:val="both"/>
              <w:rPr>
                <w:rFonts w:hint="eastAsia" w:ascii="Gill Sans MT" w:hAnsi="Gill Sans MT"/>
                <w:sz w:val="16"/>
                <w:szCs w:val="16"/>
                <w:lang w:val="en-GB" w:eastAsia="zh-CN"/>
              </w:rPr>
            </w:pPr>
            <w:r>
              <w:rPr>
                <w:rFonts w:hint="eastAsia" w:ascii="Gill Sans MT" w:hAnsi="Gill Sans MT"/>
                <w:sz w:val="16"/>
                <w:szCs w:val="16"/>
                <w:lang w:eastAsia="zh-CN"/>
              </w:rPr>
              <w:t>g</w:t>
            </w:r>
            <w:r>
              <w:rPr>
                <w:rFonts w:hint="eastAsia" w:ascii="Gill Sans MT" w:hAnsi="Gill Sans MT"/>
                <w:sz w:val="16"/>
                <w:szCs w:val="16"/>
                <w:vertAlign w:val="subscript"/>
                <w:lang w:eastAsia="zh-CN"/>
              </w:rPr>
              <w:t>Gpe-GPi</w:t>
            </w:r>
          </w:p>
        </w:tc>
        <w:tc>
          <w:tcPr>
            <w:tcW w:w="1585" w:type="pct"/>
            <w:vAlign w:val="center"/>
          </w:tcPr>
          <w:p>
            <w:pPr>
              <w:widowControl w:val="0"/>
              <w:spacing w:after="0" w:line="240" w:lineRule="auto"/>
              <w:jc w:val="both"/>
              <w:rPr>
                <w:rFonts w:hint="eastAsia" w:ascii="Gill Sans MT" w:hAnsi="Gill Sans MT"/>
                <w:sz w:val="16"/>
                <w:szCs w:val="16"/>
                <w:lang w:val="en-GB" w:eastAsia="zh-CN"/>
              </w:rPr>
            </w:pPr>
            <w:r>
              <w:rPr>
                <w:rFonts w:hint="eastAsia" w:ascii="Gill Sans MT" w:hAnsi="Gill Sans MT"/>
                <w:sz w:val="16"/>
                <w:szCs w:val="16"/>
                <w:lang w:eastAsia="zh-CN"/>
              </w:rPr>
              <w:t>0.035</w:t>
            </w:r>
            <w:r>
              <w:rPr>
                <w:rFonts w:hint="eastAsia" w:ascii="Gill Sans MT" w:hAnsi="Gill Sans MT"/>
                <w:sz w:val="16"/>
                <w:szCs w:val="16"/>
                <w:vertAlign w:val="superscript"/>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871" w:type="pct"/>
            <w:vAlign w:val="center"/>
          </w:tcPr>
          <w:p>
            <w:pPr>
              <w:widowControl w:val="0"/>
              <w:spacing w:after="0" w:line="240" w:lineRule="auto"/>
              <w:jc w:val="both"/>
              <w:rPr>
                <w:rFonts w:hint="eastAsia" w:ascii="Gill Sans MT" w:hAnsi="Gill Sans MT"/>
                <w:sz w:val="16"/>
                <w:szCs w:val="16"/>
                <w:lang w:eastAsia="zh-CN"/>
              </w:rPr>
            </w:pPr>
          </w:p>
        </w:tc>
        <w:tc>
          <w:tcPr>
            <w:tcW w:w="1542"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g</w:t>
            </w:r>
            <w:r>
              <w:rPr>
                <w:rFonts w:hint="eastAsia" w:ascii="Gill Sans MT" w:hAnsi="Gill Sans MT"/>
                <w:sz w:val="16"/>
                <w:szCs w:val="16"/>
                <w:vertAlign w:val="subscript"/>
                <w:lang w:eastAsia="zh-CN"/>
              </w:rPr>
              <w:t>GPe-GPe</w:t>
            </w:r>
          </w:p>
        </w:tc>
        <w:tc>
          <w:tcPr>
            <w:tcW w:w="1585"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0.019</w:t>
            </w:r>
            <w:r>
              <w:rPr>
                <w:rFonts w:hint="eastAsia" w:ascii="Gill Sans MT" w:hAnsi="Gill Sans MT"/>
                <w:sz w:val="16"/>
                <w:szCs w:val="16"/>
                <w:vertAlign w:val="superscript"/>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871"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Rigidity-LUE</w:t>
            </w:r>
          </w:p>
        </w:tc>
        <w:tc>
          <w:tcPr>
            <w:tcW w:w="1542"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g</w:t>
            </w:r>
            <w:r>
              <w:rPr>
                <w:rFonts w:hint="eastAsia" w:ascii="Gill Sans MT" w:hAnsi="Gill Sans MT"/>
                <w:sz w:val="16"/>
                <w:szCs w:val="16"/>
                <w:vertAlign w:val="subscript"/>
                <w:lang w:eastAsia="zh-CN"/>
              </w:rPr>
              <w:t>PY-STN</w:t>
            </w:r>
          </w:p>
        </w:tc>
        <w:tc>
          <w:tcPr>
            <w:tcW w:w="1585"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0.046</w:t>
            </w:r>
            <w:r>
              <w:rPr>
                <w:rFonts w:hint="eastAsia" w:ascii="Gill Sans MT" w:hAnsi="Gill Sans MT"/>
                <w:sz w:val="16"/>
                <w:szCs w:val="16"/>
                <w:vertAlign w:val="superscript"/>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5000" w:type="pct"/>
            <w:gridSpan w:val="3"/>
            <w:vAlign w:val="center"/>
          </w:tcPr>
          <w:p>
            <w:pPr>
              <w:widowControl w:val="0"/>
              <w:spacing w:after="0" w:line="240" w:lineRule="auto"/>
              <w:jc w:val="both"/>
              <w:rPr>
                <w:rFonts w:hint="eastAsia" w:ascii="Gill Sans MT" w:hAnsi="Gill Sans MT"/>
                <w:b/>
                <w:bCs/>
                <w:sz w:val="16"/>
                <w:szCs w:val="16"/>
                <w:lang w:eastAsia="zh-CN"/>
              </w:rPr>
            </w:pPr>
            <w:r>
              <w:rPr>
                <w:rFonts w:hint="eastAsia" w:ascii="Gill Sans MT" w:hAnsi="Gill Sans MT"/>
                <w:b/>
                <w:bCs/>
                <w:sz w:val="16"/>
                <w:szCs w:val="16"/>
                <w:lang w:eastAsia="zh-CN"/>
              </w:rPr>
              <w:t>Finger tapping-Left hand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871" w:type="pct"/>
            <w:vAlign w:val="center"/>
          </w:tcPr>
          <w:p>
            <w:pPr>
              <w:widowControl w:val="0"/>
              <w:spacing w:after="0" w:line="240" w:lineRule="auto"/>
              <w:jc w:val="both"/>
              <w:rPr>
                <w:rFonts w:hint="eastAsia" w:ascii="Gill Sans MT" w:hAnsi="Gill Sans MT"/>
                <w:sz w:val="16"/>
                <w:szCs w:val="16"/>
                <w:lang w:eastAsia="zh-CN"/>
              </w:rPr>
            </w:pPr>
          </w:p>
        </w:tc>
        <w:tc>
          <w:tcPr>
            <w:tcW w:w="1542"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g</w:t>
            </w:r>
            <w:r>
              <w:rPr>
                <w:rFonts w:hint="eastAsia" w:ascii="Gill Sans MT" w:hAnsi="Gill Sans MT"/>
                <w:sz w:val="16"/>
                <w:szCs w:val="16"/>
                <w:vertAlign w:val="subscript"/>
                <w:lang w:eastAsia="zh-CN"/>
              </w:rPr>
              <w:t>GPe-GPe</w:t>
            </w:r>
          </w:p>
        </w:tc>
        <w:tc>
          <w:tcPr>
            <w:tcW w:w="1585"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0.036</w:t>
            </w:r>
            <w:r>
              <w:rPr>
                <w:rFonts w:hint="eastAsia" w:ascii="Gill Sans MT" w:hAnsi="Gill Sans MT"/>
                <w:sz w:val="16"/>
                <w:szCs w:val="16"/>
                <w:vertAlign w:val="superscript"/>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871" w:type="pct"/>
            <w:vAlign w:val="center"/>
          </w:tcPr>
          <w:p>
            <w:pPr>
              <w:widowControl w:val="0"/>
              <w:spacing w:after="0" w:line="240" w:lineRule="auto"/>
              <w:jc w:val="both"/>
              <w:rPr>
                <w:rFonts w:hint="eastAsia" w:ascii="Gill Sans MT" w:hAnsi="Gill Sans MT"/>
                <w:sz w:val="16"/>
                <w:szCs w:val="16"/>
                <w:lang w:eastAsia="zh-CN"/>
              </w:rPr>
            </w:pPr>
          </w:p>
        </w:tc>
        <w:tc>
          <w:tcPr>
            <w:tcW w:w="1542"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g</w:t>
            </w:r>
            <w:r>
              <w:rPr>
                <w:rFonts w:hint="eastAsia" w:ascii="Gill Sans MT" w:hAnsi="Gill Sans MT"/>
                <w:sz w:val="16"/>
                <w:szCs w:val="16"/>
                <w:vertAlign w:val="subscript"/>
                <w:lang w:eastAsia="zh-CN"/>
              </w:rPr>
              <w:t>PY-STN</w:t>
            </w:r>
          </w:p>
        </w:tc>
        <w:tc>
          <w:tcPr>
            <w:tcW w:w="1585"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0.016</w:t>
            </w:r>
            <w:r>
              <w:rPr>
                <w:rFonts w:hint="eastAsia" w:ascii="Gill Sans MT" w:hAnsi="Gill Sans MT"/>
                <w:sz w:val="16"/>
                <w:szCs w:val="16"/>
                <w:vertAlign w:val="superscript"/>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5000" w:type="pct"/>
            <w:gridSpan w:val="3"/>
            <w:vAlign w:val="center"/>
          </w:tcPr>
          <w:p>
            <w:pPr>
              <w:widowControl w:val="0"/>
              <w:spacing w:after="0" w:line="240" w:lineRule="auto"/>
              <w:jc w:val="both"/>
              <w:rPr>
                <w:rFonts w:hint="eastAsia" w:ascii="Gill Sans MT" w:hAnsi="Gill Sans MT"/>
                <w:b/>
                <w:bCs/>
                <w:sz w:val="16"/>
                <w:szCs w:val="16"/>
                <w:lang w:eastAsia="zh-CN"/>
              </w:rPr>
            </w:pPr>
            <w:r>
              <w:rPr>
                <w:rFonts w:hint="eastAsia" w:ascii="Gill Sans MT" w:hAnsi="Gill Sans MT"/>
                <w:b/>
                <w:bCs/>
                <w:sz w:val="16"/>
                <w:szCs w:val="16"/>
                <w:lang w:eastAsia="zh-CN"/>
              </w:rPr>
              <w:t>Hand movements-Right hand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55" w:hRule="atLeast"/>
        </w:trPr>
        <w:tc>
          <w:tcPr>
            <w:tcW w:w="1871" w:type="pct"/>
            <w:vAlign w:val="center"/>
          </w:tcPr>
          <w:p>
            <w:pPr>
              <w:widowControl w:val="0"/>
              <w:spacing w:after="0" w:line="240" w:lineRule="auto"/>
              <w:jc w:val="both"/>
              <w:rPr>
                <w:rFonts w:hint="eastAsia" w:ascii="Gill Sans MT" w:hAnsi="Gill Sans MT"/>
                <w:sz w:val="16"/>
                <w:szCs w:val="16"/>
                <w:lang w:eastAsia="zh-CN"/>
              </w:rPr>
            </w:pPr>
          </w:p>
        </w:tc>
        <w:tc>
          <w:tcPr>
            <w:tcW w:w="1542"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g</w:t>
            </w:r>
            <w:r>
              <w:rPr>
                <w:rFonts w:hint="eastAsia" w:ascii="Gill Sans MT" w:hAnsi="Gill Sans MT"/>
                <w:sz w:val="16"/>
                <w:szCs w:val="16"/>
                <w:vertAlign w:val="subscript"/>
                <w:lang w:eastAsia="zh-CN"/>
              </w:rPr>
              <w:t>GPe-GPe</w:t>
            </w:r>
          </w:p>
        </w:tc>
        <w:tc>
          <w:tcPr>
            <w:tcW w:w="1585"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0.015</w:t>
            </w:r>
            <w:r>
              <w:rPr>
                <w:rFonts w:hint="eastAsia" w:ascii="Gill Sans MT" w:hAnsi="Gill Sans MT"/>
                <w:sz w:val="16"/>
                <w:szCs w:val="16"/>
                <w:vertAlign w:val="superscript"/>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871" w:type="pct"/>
            <w:vAlign w:val="center"/>
          </w:tcPr>
          <w:p>
            <w:pPr>
              <w:widowControl w:val="0"/>
              <w:spacing w:after="0" w:line="240" w:lineRule="auto"/>
              <w:jc w:val="both"/>
              <w:rPr>
                <w:rFonts w:hint="eastAsia" w:ascii="Gill Sans MT" w:hAnsi="Gill Sans MT"/>
                <w:sz w:val="16"/>
                <w:szCs w:val="16"/>
                <w:lang w:eastAsia="zh-CN"/>
              </w:rPr>
            </w:pPr>
          </w:p>
        </w:tc>
        <w:tc>
          <w:tcPr>
            <w:tcW w:w="1542"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g</w:t>
            </w:r>
            <w:r>
              <w:rPr>
                <w:rFonts w:hint="eastAsia" w:ascii="Gill Sans MT" w:hAnsi="Gill Sans MT"/>
                <w:sz w:val="16"/>
                <w:szCs w:val="16"/>
                <w:vertAlign w:val="subscript"/>
                <w:lang w:eastAsia="zh-CN"/>
              </w:rPr>
              <w:t>PY-STN</w:t>
            </w:r>
          </w:p>
        </w:tc>
        <w:tc>
          <w:tcPr>
            <w:tcW w:w="1585"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0.0027</w:t>
            </w:r>
            <w:r>
              <w:rPr>
                <w:rFonts w:hint="eastAsia" w:ascii="Gill Sans MT" w:hAnsi="Gill Sans MT"/>
                <w:sz w:val="16"/>
                <w:szCs w:val="16"/>
                <w:vertAlign w:val="superscript"/>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871"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Hand movements-Left hand</w:t>
            </w:r>
          </w:p>
        </w:tc>
        <w:tc>
          <w:tcPr>
            <w:tcW w:w="1542"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g</w:t>
            </w:r>
            <w:r>
              <w:rPr>
                <w:rFonts w:hint="eastAsia" w:ascii="Gill Sans MT" w:hAnsi="Gill Sans MT"/>
                <w:sz w:val="16"/>
                <w:szCs w:val="16"/>
                <w:vertAlign w:val="subscript"/>
                <w:lang w:eastAsia="zh-CN"/>
              </w:rPr>
              <w:t>PY-STN</w:t>
            </w:r>
          </w:p>
        </w:tc>
        <w:tc>
          <w:tcPr>
            <w:tcW w:w="1585"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0.020</w:t>
            </w:r>
            <w:r>
              <w:rPr>
                <w:rFonts w:hint="eastAsia" w:ascii="Gill Sans MT" w:hAnsi="Gill Sans MT"/>
                <w:sz w:val="16"/>
                <w:szCs w:val="16"/>
                <w:vertAlign w:val="superscript"/>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871"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Pronation-supination movements-Right hand</w:t>
            </w:r>
          </w:p>
        </w:tc>
        <w:tc>
          <w:tcPr>
            <w:tcW w:w="1542"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g</w:t>
            </w:r>
            <w:r>
              <w:rPr>
                <w:rFonts w:hint="eastAsia" w:ascii="Gill Sans MT" w:hAnsi="Gill Sans MT"/>
                <w:sz w:val="16"/>
                <w:szCs w:val="16"/>
                <w:vertAlign w:val="subscript"/>
                <w:lang w:eastAsia="zh-CN"/>
              </w:rPr>
              <w:t>PY-STN</w:t>
            </w:r>
          </w:p>
        </w:tc>
        <w:tc>
          <w:tcPr>
            <w:tcW w:w="1585"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0.038</w:t>
            </w:r>
            <w:r>
              <w:rPr>
                <w:rFonts w:hint="eastAsia" w:ascii="Gill Sans MT" w:hAnsi="Gill Sans MT"/>
                <w:sz w:val="16"/>
                <w:szCs w:val="16"/>
                <w:vertAlign w:val="superscript"/>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871"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Toe tapping-Left foot</w:t>
            </w:r>
          </w:p>
        </w:tc>
        <w:tc>
          <w:tcPr>
            <w:tcW w:w="1542"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g</w:t>
            </w:r>
            <w:r>
              <w:rPr>
                <w:rFonts w:hint="eastAsia" w:ascii="Gill Sans MT" w:hAnsi="Gill Sans MT"/>
                <w:sz w:val="16"/>
                <w:szCs w:val="16"/>
                <w:vertAlign w:val="subscript"/>
                <w:lang w:eastAsia="zh-CN"/>
              </w:rPr>
              <w:t>PY-STN</w:t>
            </w:r>
          </w:p>
        </w:tc>
        <w:tc>
          <w:tcPr>
            <w:tcW w:w="1585" w:type="pct"/>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0.039</w:t>
            </w:r>
            <w:r>
              <w:rPr>
                <w:rFonts w:hint="eastAsia" w:ascii="Gill Sans MT" w:hAnsi="Gill Sans MT"/>
                <w:sz w:val="16"/>
                <w:szCs w:val="16"/>
                <w:vertAlign w:val="superscript"/>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871" w:type="pct"/>
            <w:tcBorders>
              <w:bottom w:val="single" w:color="auto" w:sz="4" w:space="0"/>
            </w:tcBorders>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Global spontaneity of movement</w:t>
            </w:r>
          </w:p>
        </w:tc>
        <w:tc>
          <w:tcPr>
            <w:tcW w:w="1542" w:type="pct"/>
            <w:tcBorders>
              <w:bottom w:val="single" w:color="auto" w:sz="4" w:space="0"/>
            </w:tcBorders>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g</w:t>
            </w:r>
            <w:r>
              <w:rPr>
                <w:rFonts w:hint="eastAsia" w:ascii="Gill Sans MT" w:hAnsi="Gill Sans MT"/>
                <w:sz w:val="16"/>
                <w:szCs w:val="16"/>
                <w:vertAlign w:val="subscript"/>
                <w:lang w:eastAsia="zh-CN"/>
              </w:rPr>
              <w:t>PY-STN</w:t>
            </w:r>
          </w:p>
        </w:tc>
        <w:tc>
          <w:tcPr>
            <w:tcW w:w="1585" w:type="pct"/>
            <w:tcBorders>
              <w:bottom w:val="single" w:color="auto" w:sz="4" w:space="0"/>
            </w:tcBorders>
            <w:vAlign w:val="center"/>
          </w:tcPr>
          <w:p>
            <w:pPr>
              <w:widowControl w:val="0"/>
              <w:spacing w:after="0" w:line="240" w:lineRule="auto"/>
              <w:jc w:val="both"/>
              <w:rPr>
                <w:rFonts w:hint="eastAsia" w:ascii="Gill Sans MT" w:hAnsi="Gill Sans MT"/>
                <w:sz w:val="16"/>
                <w:szCs w:val="16"/>
                <w:lang w:eastAsia="zh-CN"/>
              </w:rPr>
            </w:pPr>
            <w:r>
              <w:rPr>
                <w:rFonts w:hint="eastAsia" w:ascii="Gill Sans MT" w:hAnsi="Gill Sans MT"/>
                <w:sz w:val="16"/>
                <w:szCs w:val="16"/>
                <w:lang w:eastAsia="zh-CN"/>
              </w:rPr>
              <w:t>0.0036</w:t>
            </w:r>
            <w:r>
              <w:rPr>
                <w:rFonts w:hint="eastAsia" w:ascii="Gill Sans MT" w:hAnsi="Gill Sans MT"/>
                <w:sz w:val="16"/>
                <w:szCs w:val="16"/>
                <w:vertAlign w:val="superscript"/>
                <w:lang w:eastAsia="zh-CN"/>
              </w:rPr>
              <w:t>**</w:t>
            </w:r>
          </w:p>
        </w:tc>
      </w:tr>
    </w:tbl>
    <w:p>
      <w:pPr>
        <w:spacing w:after="0" w:line="240" w:lineRule="auto"/>
        <w:contextualSpacing/>
        <w:jc w:val="both"/>
        <w:rPr>
          <w:rFonts w:hint="default" w:ascii="Gill Sans MT" w:hAnsi="Gill Sans MT" w:eastAsia="宋体"/>
          <w:sz w:val="16"/>
          <w:szCs w:val="16"/>
          <w:lang w:val="en-US" w:eastAsia="zh-CN"/>
        </w:rPr>
      </w:pPr>
      <w:r>
        <w:rPr>
          <w:rFonts w:hint="eastAsia" w:ascii="Gill Sans MT" w:hAnsi="Gill Sans MT" w:eastAsia="宋体"/>
          <w:sz w:val="16"/>
          <w:szCs w:val="16"/>
          <w:lang w:val="en-US" w:eastAsia="zh-CN"/>
        </w:rPr>
        <w:t>DBS-ON=</w:t>
      </w:r>
      <w:bookmarkStart w:id="3" w:name="OLE_LINK3"/>
      <w:r>
        <w:rPr>
          <w:rFonts w:hint="eastAsia" w:ascii="Gill Sans MT" w:hAnsi="Gill Sans MT" w:eastAsia="宋体"/>
          <w:sz w:val="16"/>
          <w:szCs w:val="16"/>
          <w:lang w:val="en-US" w:eastAsia="zh-CN"/>
        </w:rPr>
        <w:t>patients with Parkinson</w:t>
      </w:r>
      <w:r>
        <w:rPr>
          <w:rFonts w:hint="default" w:ascii="Gill Sans MT" w:hAnsi="Gill Sans MT" w:eastAsia="宋体"/>
          <w:sz w:val="16"/>
          <w:szCs w:val="16"/>
          <w:lang w:val="en-US" w:eastAsia="zh-CN"/>
        </w:rPr>
        <w:t>’</w:t>
      </w:r>
      <w:r>
        <w:rPr>
          <w:rFonts w:hint="eastAsia" w:ascii="Gill Sans MT" w:hAnsi="Gill Sans MT" w:eastAsia="宋体"/>
          <w:sz w:val="16"/>
          <w:szCs w:val="16"/>
          <w:lang w:val="en-US" w:eastAsia="zh-CN"/>
        </w:rPr>
        <w:t>s disease with the deep brain stimulation switched on</w:t>
      </w:r>
      <w:bookmarkEnd w:id="3"/>
      <w:r>
        <w:rPr>
          <w:rFonts w:hint="eastAsia" w:ascii="Gill Sans MT" w:hAnsi="Gill Sans MT" w:eastAsia="宋体"/>
          <w:sz w:val="16"/>
          <w:szCs w:val="16"/>
          <w:lang w:val="en-US" w:eastAsia="zh-CN"/>
        </w:rPr>
        <w:t>; DBS-OFF=patients with Parkinson</w:t>
      </w:r>
      <w:r>
        <w:rPr>
          <w:rFonts w:hint="default" w:ascii="Gill Sans MT" w:hAnsi="Gill Sans MT" w:eastAsia="宋体"/>
          <w:sz w:val="16"/>
          <w:szCs w:val="16"/>
          <w:lang w:val="en-US" w:eastAsia="zh-CN"/>
        </w:rPr>
        <w:t>’</w:t>
      </w:r>
      <w:r>
        <w:rPr>
          <w:rFonts w:hint="eastAsia" w:ascii="Gill Sans MT" w:hAnsi="Gill Sans MT" w:eastAsia="宋体"/>
          <w:sz w:val="16"/>
          <w:szCs w:val="16"/>
          <w:lang w:val="en-US" w:eastAsia="zh-CN"/>
        </w:rPr>
        <w:t>s disease with the deep brain stimulation switched off.</w:t>
      </w:r>
    </w:p>
    <w:p>
      <w:pPr>
        <w:spacing w:after="0" w:line="240" w:lineRule="auto"/>
        <w:contextualSpacing/>
        <w:jc w:val="both"/>
        <w:rPr>
          <w:rFonts w:hint="eastAsia" w:ascii="Gill Sans MT" w:hAnsi="Gill Sans MT"/>
          <w:sz w:val="16"/>
          <w:szCs w:val="16"/>
        </w:rPr>
      </w:pPr>
      <w:r>
        <w:rPr>
          <w:rFonts w:hint="eastAsia" w:ascii="Gill Sans MT" w:hAnsi="Gill Sans MT"/>
          <w:sz w:val="16"/>
          <w:szCs w:val="16"/>
        </w:rPr>
        <w:t>** and * represent the significance levels of 1% and 5%, respectively.</w:t>
      </w:r>
    </w:p>
    <w:p>
      <w:pPr>
        <w:rPr>
          <w:rFonts w:ascii="Gill Sans MT" w:hAnsi="Gill Sans MT" w:eastAsiaTheme="minorHAnsi" w:cstheme="minorBidi"/>
          <w:bCs w:val="0"/>
          <w:kern w:val="0"/>
          <w:sz w:val="16"/>
          <w:szCs w:val="16"/>
          <w:lang w:val="en-GB"/>
        </w:rPr>
      </w:pPr>
      <w:r>
        <w:rPr>
          <w:rFonts w:ascii="Gill Sans MT" w:hAnsi="Gill Sans MT" w:eastAsiaTheme="minorHAnsi" w:cstheme="minorBidi"/>
          <w:bCs w:val="0"/>
          <w:kern w:val="0"/>
          <w:sz w:val="16"/>
          <w:szCs w:val="16"/>
          <w:lang w:val="en-GB"/>
        </w:rPr>
        <w:br w:type="page"/>
      </w:r>
    </w:p>
    <w:p>
      <w:pPr>
        <w:rPr>
          <w:rFonts w:ascii="Gill Sans MT" w:hAnsi="Gill Sans MT" w:eastAsia="宋体" w:cstheme="minorBidi"/>
          <w:b/>
          <w:bCs w:val="0"/>
          <w:kern w:val="0"/>
          <w:sz w:val="16"/>
          <w:szCs w:val="16"/>
          <w:lang w:val="en-GB"/>
        </w:rPr>
      </w:pPr>
      <w:r>
        <w:rPr>
          <w:rFonts w:hint="eastAsia" w:ascii="Gill Sans MT" w:hAnsi="Gill Sans MT" w:cstheme="minorBidi"/>
          <w:b/>
          <w:bCs w:val="0"/>
          <w:kern w:val="0"/>
          <w:sz w:val="16"/>
          <w:szCs w:val="16"/>
          <w:lang w:val="en-GB" w:eastAsia="zh-CN"/>
        </w:rPr>
        <w:t>Table S6</w:t>
      </w:r>
      <w:r>
        <w:rPr>
          <w:rFonts w:ascii="Gill Sans MT" w:hAnsi="Gill Sans MT" w:eastAsia="宋体" w:cstheme="minorBidi"/>
          <w:b/>
          <w:bCs w:val="0"/>
          <w:kern w:val="0"/>
          <w:sz w:val="16"/>
          <w:szCs w:val="16"/>
          <w:lang w:val="en-GB"/>
        </w:rPr>
        <w:t xml:space="preserve"> The mean connection strengths</w:t>
      </w:r>
    </w:p>
    <w:tbl>
      <w:tblPr>
        <w:tblStyle w:val="8"/>
        <w:tblW w:w="0" w:type="auto"/>
        <w:tblInd w:w="0" w:type="dxa"/>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Layout w:type="autofit"/>
        <w:tblCellMar>
          <w:top w:w="0" w:type="dxa"/>
          <w:left w:w="108" w:type="dxa"/>
          <w:bottom w:w="0" w:type="dxa"/>
          <w:right w:w="108" w:type="dxa"/>
        </w:tblCellMar>
      </w:tblPr>
      <w:tblGrid>
        <w:gridCol w:w="1292"/>
        <w:gridCol w:w="1113"/>
        <w:gridCol w:w="1113"/>
        <w:gridCol w:w="1113"/>
        <w:gridCol w:w="1114"/>
        <w:gridCol w:w="1116"/>
        <w:gridCol w:w="1107"/>
        <w:gridCol w:w="1113"/>
        <w:gridCol w:w="1113"/>
      </w:tblGrid>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292" w:type="dxa"/>
            <w:tcBorders>
              <w:top w:val="single" w:color="auto" w:sz="4" w:space="0"/>
              <w:left w:val="nil"/>
              <w:bottom w:val="single" w:color="auto" w:sz="4" w:space="0"/>
              <w:right w:val="nil"/>
            </w:tcBorders>
            <w:shd w:val="clear" w:color="auto" w:fill="FFFFFF" w:themeFill="background1"/>
            <w:vAlign w:val="center"/>
          </w:tcPr>
          <w:p>
            <w:pPr>
              <w:widowControl/>
              <w:spacing w:after="0" w:line="240" w:lineRule="auto"/>
              <w:jc w:val="both"/>
              <w:rPr>
                <w:rFonts w:hint="eastAsia" w:ascii="Gill Sans MT" w:hAnsi="Gill Sans MT" w:eastAsiaTheme="minorHAnsi"/>
                <w:b/>
                <w:bCs/>
                <w:sz w:val="16"/>
                <w:szCs w:val="16"/>
                <w:lang w:val="en-GB" w:eastAsia="zh-CN"/>
              </w:rPr>
            </w:pPr>
            <w:r>
              <w:rPr>
                <w:rFonts w:hint="eastAsia" w:ascii="Gill Sans MT" w:hAnsi="Gill Sans MT" w:eastAsiaTheme="minorHAnsi" w:cstheme="minorBidi"/>
                <w:b/>
                <w:bCs/>
                <w:sz w:val="16"/>
                <w:szCs w:val="16"/>
                <w:lang w:val="en-GB" w:eastAsia="zh-CN"/>
              </w:rPr>
              <w:t>Connection</w:t>
            </w:r>
          </w:p>
        </w:tc>
        <w:tc>
          <w:tcPr>
            <w:tcW w:w="1113" w:type="dxa"/>
            <w:tcBorders>
              <w:top w:val="single" w:color="auto" w:sz="4" w:space="0"/>
              <w:left w:val="nil"/>
              <w:bottom w:val="single" w:color="auto" w:sz="4" w:space="0"/>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b/>
                <w:bCs/>
                <w:sz w:val="16"/>
                <w:szCs w:val="16"/>
                <w:lang w:val="en-GB" w:eastAsia="zh-CN"/>
              </w:rPr>
            </w:pPr>
            <w:r>
              <w:rPr>
                <w:rFonts w:hint="eastAsia" w:ascii="Gill Sans MT" w:hAnsi="Gill Sans MT" w:eastAsiaTheme="minorHAnsi" w:cstheme="minorBidi"/>
                <w:b/>
                <w:bCs/>
                <w:sz w:val="16"/>
                <w:szCs w:val="16"/>
                <w:lang w:val="en-GB" w:eastAsia="zh-CN" w:bidi="ar"/>
              </w:rPr>
              <w:t>Mc</w:t>
            </w:r>
          </w:p>
        </w:tc>
        <w:tc>
          <w:tcPr>
            <w:tcW w:w="1113" w:type="dxa"/>
            <w:tcBorders>
              <w:top w:val="single" w:color="auto" w:sz="4" w:space="0"/>
              <w:left w:val="nil"/>
              <w:bottom w:val="single" w:color="auto" w:sz="4" w:space="0"/>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b/>
                <w:bCs/>
                <w:sz w:val="16"/>
                <w:szCs w:val="16"/>
                <w:lang w:val="en-GB" w:eastAsia="zh-CN"/>
              </w:rPr>
            </w:pPr>
            <w:r>
              <w:rPr>
                <w:rFonts w:hint="eastAsia" w:ascii="Gill Sans MT" w:hAnsi="Gill Sans MT" w:eastAsiaTheme="minorHAnsi" w:cstheme="minorBidi"/>
                <w:b/>
                <w:bCs/>
                <w:sz w:val="16"/>
                <w:szCs w:val="16"/>
                <w:lang w:val="en-GB" w:eastAsia="zh-CN" w:bidi="ar"/>
              </w:rPr>
              <w:t>SDc</w:t>
            </w:r>
          </w:p>
        </w:tc>
        <w:tc>
          <w:tcPr>
            <w:tcW w:w="1113" w:type="dxa"/>
            <w:tcBorders>
              <w:top w:val="single" w:color="auto" w:sz="4" w:space="0"/>
              <w:left w:val="nil"/>
              <w:bottom w:val="single" w:color="auto" w:sz="4" w:space="0"/>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b/>
                <w:bCs/>
                <w:sz w:val="16"/>
                <w:szCs w:val="16"/>
                <w:lang w:val="en-GB" w:eastAsia="zh-CN"/>
              </w:rPr>
            </w:pPr>
            <w:r>
              <w:rPr>
                <w:rFonts w:hint="eastAsia" w:ascii="Gill Sans MT" w:hAnsi="Gill Sans MT" w:eastAsiaTheme="minorHAnsi" w:cstheme="minorBidi"/>
                <w:b/>
                <w:bCs/>
                <w:sz w:val="16"/>
                <w:szCs w:val="16"/>
                <w:lang w:val="en-GB" w:eastAsia="zh-CN" w:bidi="ar"/>
              </w:rPr>
              <w:t>M</w:t>
            </w:r>
            <w:r>
              <w:rPr>
                <w:rFonts w:hint="eastAsia" w:ascii="Gill Sans MT" w:hAnsi="Gill Sans MT" w:eastAsiaTheme="minorHAnsi" w:cstheme="minorBidi"/>
                <w:b/>
                <w:bCs/>
                <w:sz w:val="16"/>
                <w:szCs w:val="16"/>
                <w:lang w:val="en-US" w:eastAsia="zh-CN" w:bidi="ar"/>
              </w:rPr>
              <w:t>off</w:t>
            </w:r>
          </w:p>
        </w:tc>
        <w:tc>
          <w:tcPr>
            <w:tcW w:w="1114" w:type="dxa"/>
            <w:tcBorders>
              <w:top w:val="single" w:color="auto" w:sz="4" w:space="0"/>
              <w:left w:val="nil"/>
              <w:bottom w:val="single" w:color="auto" w:sz="4" w:space="0"/>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b/>
                <w:bCs/>
                <w:sz w:val="16"/>
                <w:szCs w:val="16"/>
                <w:lang w:val="en-GB" w:eastAsia="zh-CN"/>
              </w:rPr>
            </w:pPr>
            <w:r>
              <w:rPr>
                <w:rFonts w:hint="eastAsia" w:ascii="Gill Sans MT" w:hAnsi="Gill Sans MT" w:eastAsiaTheme="minorHAnsi" w:cstheme="minorBidi"/>
                <w:b/>
                <w:bCs/>
                <w:sz w:val="16"/>
                <w:szCs w:val="16"/>
                <w:lang w:val="en-GB" w:eastAsia="zh-CN" w:bidi="ar"/>
              </w:rPr>
              <w:t>SD</w:t>
            </w:r>
            <w:r>
              <w:rPr>
                <w:rFonts w:hint="eastAsia" w:ascii="Gill Sans MT" w:hAnsi="Gill Sans MT" w:eastAsiaTheme="minorHAnsi" w:cstheme="minorBidi"/>
                <w:b/>
                <w:bCs/>
                <w:sz w:val="16"/>
                <w:szCs w:val="16"/>
                <w:lang w:val="en-US" w:eastAsia="zh-CN" w:bidi="ar"/>
              </w:rPr>
              <w:t>off</w:t>
            </w:r>
          </w:p>
        </w:tc>
        <w:tc>
          <w:tcPr>
            <w:tcW w:w="1116" w:type="dxa"/>
            <w:tcBorders>
              <w:top w:val="single" w:color="auto" w:sz="4" w:space="0"/>
              <w:left w:val="nil"/>
              <w:bottom w:val="single" w:color="auto" w:sz="4" w:space="0"/>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b/>
                <w:bCs/>
                <w:sz w:val="16"/>
                <w:szCs w:val="16"/>
                <w:lang w:val="en-GB" w:eastAsia="zh-CN"/>
              </w:rPr>
            </w:pPr>
            <w:r>
              <w:rPr>
                <w:rFonts w:hint="eastAsia" w:ascii="Gill Sans MT" w:hAnsi="Gill Sans MT" w:eastAsiaTheme="minorHAnsi" w:cstheme="minorBidi"/>
                <w:b/>
                <w:bCs/>
                <w:sz w:val="16"/>
                <w:szCs w:val="16"/>
                <w:lang w:val="en-GB" w:eastAsia="zh-CN"/>
              </w:rPr>
              <w:t>t</w:t>
            </w:r>
          </w:p>
        </w:tc>
        <w:tc>
          <w:tcPr>
            <w:tcW w:w="1107" w:type="dxa"/>
            <w:tcBorders>
              <w:top w:val="single" w:color="auto" w:sz="4" w:space="0"/>
              <w:left w:val="nil"/>
              <w:bottom w:val="single" w:color="auto" w:sz="4" w:space="0"/>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cstheme="minorBidi"/>
                <w:b/>
                <w:bCs/>
                <w:sz w:val="16"/>
                <w:szCs w:val="16"/>
                <w:lang w:val="en-GB" w:eastAsia="zh-CN" w:bidi="ar"/>
              </w:rPr>
            </w:pPr>
            <w:r>
              <w:rPr>
                <w:rFonts w:hint="eastAsia" w:ascii="Gill Sans MT" w:hAnsi="Gill Sans MT" w:eastAsiaTheme="minorHAnsi" w:cstheme="minorBidi"/>
                <w:b/>
                <w:bCs/>
                <w:sz w:val="16"/>
                <w:szCs w:val="16"/>
                <w:lang w:val="en-GB" w:eastAsia="zh-CN"/>
              </w:rPr>
              <w:t>df</w:t>
            </w:r>
          </w:p>
        </w:tc>
        <w:tc>
          <w:tcPr>
            <w:tcW w:w="1113" w:type="dxa"/>
            <w:tcBorders>
              <w:top w:val="single" w:color="auto" w:sz="4" w:space="0"/>
              <w:left w:val="nil"/>
              <w:bottom w:val="single" w:color="auto" w:sz="4" w:space="0"/>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cstheme="minorBidi"/>
                <w:b/>
                <w:bCs/>
                <w:sz w:val="16"/>
                <w:szCs w:val="16"/>
                <w:lang w:val="en-GB" w:eastAsia="zh-CN" w:bidi="ar"/>
              </w:rPr>
            </w:pPr>
            <w:r>
              <w:rPr>
                <w:rFonts w:ascii="Gill Sans MT" w:hAnsi="Gill Sans MT"/>
                <w:b/>
                <w:bCs/>
                <w:i/>
                <w:sz w:val="16"/>
                <w:szCs w:val="16"/>
              </w:rPr>
              <w:t>P</w:t>
            </w:r>
            <w:r>
              <w:rPr>
                <w:rFonts w:hint="default" w:ascii="Gill Sans MT" w:hAnsi="Gill Sans MT"/>
                <w:b/>
                <w:sz w:val="16"/>
                <w:szCs w:val="16"/>
              </w:rPr>
              <w:t>-value</w:t>
            </w:r>
          </w:p>
        </w:tc>
        <w:tc>
          <w:tcPr>
            <w:tcW w:w="1113" w:type="dxa"/>
            <w:tcBorders>
              <w:top w:val="single" w:color="auto" w:sz="4" w:space="0"/>
              <w:left w:val="nil"/>
              <w:bottom w:val="single" w:color="auto" w:sz="4" w:space="0"/>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cstheme="minorBidi"/>
                <w:b/>
                <w:bCs/>
                <w:sz w:val="16"/>
                <w:szCs w:val="16"/>
                <w:lang w:val="en-GB" w:eastAsia="zh-CN" w:bidi="ar"/>
              </w:rPr>
            </w:pPr>
            <w:r>
              <w:rPr>
                <w:rFonts w:hint="eastAsia" w:ascii="Gill Sans MT" w:hAnsi="Gill Sans MT" w:eastAsiaTheme="minorHAnsi" w:cstheme="minorBidi"/>
                <w:b/>
                <w:bCs/>
                <w:sz w:val="16"/>
                <w:szCs w:val="16"/>
                <w:lang w:val="en-GB" w:eastAsia="zh-CN"/>
              </w:rPr>
              <w:t>sd</w:t>
            </w:r>
          </w:p>
        </w:tc>
      </w:tr>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292" w:type="dxa"/>
            <w:tcBorders>
              <w:top w:val="single" w:color="auto" w:sz="4" w:space="0"/>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g</w:t>
            </w:r>
            <w:r>
              <w:rPr>
                <w:rFonts w:hint="eastAsia" w:ascii="Gill Sans MT" w:hAnsi="Gill Sans MT" w:eastAsiaTheme="minorHAnsi" w:cstheme="minorBidi"/>
                <w:sz w:val="16"/>
                <w:szCs w:val="16"/>
                <w:vertAlign w:val="subscript"/>
                <w:lang w:val="en-GB" w:eastAsia="zh-CN" w:bidi="ar"/>
              </w:rPr>
              <w:t>Gpe-GPi</w:t>
            </w:r>
          </w:p>
        </w:tc>
        <w:tc>
          <w:tcPr>
            <w:tcW w:w="1113" w:type="dxa"/>
            <w:tcBorders>
              <w:top w:val="single" w:color="auto" w:sz="4" w:space="0"/>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1.08</w:t>
            </w:r>
          </w:p>
        </w:tc>
        <w:tc>
          <w:tcPr>
            <w:tcW w:w="1113" w:type="dxa"/>
            <w:tcBorders>
              <w:top w:val="single" w:color="auto" w:sz="4" w:space="0"/>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0.76</w:t>
            </w:r>
          </w:p>
        </w:tc>
        <w:tc>
          <w:tcPr>
            <w:tcW w:w="1113" w:type="dxa"/>
            <w:tcBorders>
              <w:top w:val="single" w:color="auto" w:sz="4" w:space="0"/>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1.27</w:t>
            </w:r>
          </w:p>
        </w:tc>
        <w:tc>
          <w:tcPr>
            <w:tcW w:w="1114" w:type="dxa"/>
            <w:tcBorders>
              <w:top w:val="single" w:color="auto" w:sz="4" w:space="0"/>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0.64</w:t>
            </w:r>
          </w:p>
        </w:tc>
        <w:tc>
          <w:tcPr>
            <w:tcW w:w="1116" w:type="dxa"/>
            <w:tcBorders>
              <w:top w:val="single" w:color="auto" w:sz="4" w:space="0"/>
              <w:left w:val="nil"/>
              <w:bottom w:val="nil"/>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1.13</w:t>
            </w:r>
          </w:p>
        </w:tc>
        <w:tc>
          <w:tcPr>
            <w:tcW w:w="1107" w:type="dxa"/>
            <w:tcBorders>
              <w:top w:val="single" w:color="auto" w:sz="4" w:space="0"/>
              <w:left w:val="nil"/>
              <w:bottom w:val="nil"/>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52</w:t>
            </w:r>
          </w:p>
        </w:tc>
        <w:tc>
          <w:tcPr>
            <w:tcW w:w="1113" w:type="dxa"/>
            <w:tcBorders>
              <w:top w:val="single" w:color="auto" w:sz="4" w:space="0"/>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0.868</w:t>
            </w:r>
          </w:p>
        </w:tc>
        <w:tc>
          <w:tcPr>
            <w:tcW w:w="1113" w:type="dxa"/>
            <w:tcBorders>
              <w:top w:val="single" w:color="auto" w:sz="4" w:space="0"/>
              <w:left w:val="nil"/>
              <w:bottom w:val="nil"/>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0.72</w:t>
            </w:r>
          </w:p>
        </w:tc>
      </w:tr>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292"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g</w:t>
            </w:r>
            <w:r>
              <w:rPr>
                <w:rFonts w:hint="eastAsia" w:ascii="Gill Sans MT" w:hAnsi="Gill Sans MT" w:eastAsiaTheme="minorHAnsi" w:cstheme="minorBidi"/>
                <w:sz w:val="16"/>
                <w:szCs w:val="16"/>
                <w:vertAlign w:val="subscript"/>
                <w:lang w:val="en-GB" w:eastAsia="zh-CN" w:bidi="ar"/>
              </w:rPr>
              <w:t>GPe-GPe</w:t>
            </w:r>
          </w:p>
        </w:tc>
        <w:tc>
          <w:tcPr>
            <w:tcW w:w="1113"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0.95</w:t>
            </w:r>
          </w:p>
        </w:tc>
        <w:tc>
          <w:tcPr>
            <w:tcW w:w="1113"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0.59</w:t>
            </w:r>
          </w:p>
        </w:tc>
        <w:tc>
          <w:tcPr>
            <w:tcW w:w="1113"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1.08</w:t>
            </w:r>
          </w:p>
        </w:tc>
        <w:tc>
          <w:tcPr>
            <w:tcW w:w="1114"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0.64</w:t>
            </w:r>
          </w:p>
        </w:tc>
        <w:tc>
          <w:tcPr>
            <w:tcW w:w="1116" w:type="dxa"/>
            <w:tcBorders>
              <w:top w:val="nil"/>
              <w:left w:val="nil"/>
              <w:bottom w:val="nil"/>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0.60</w:t>
            </w:r>
          </w:p>
        </w:tc>
        <w:tc>
          <w:tcPr>
            <w:tcW w:w="1107" w:type="dxa"/>
            <w:tcBorders>
              <w:top w:val="nil"/>
              <w:left w:val="nil"/>
              <w:bottom w:val="nil"/>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52</w:t>
            </w:r>
          </w:p>
        </w:tc>
        <w:tc>
          <w:tcPr>
            <w:tcW w:w="1113"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0.726</w:t>
            </w:r>
          </w:p>
        </w:tc>
        <w:tc>
          <w:tcPr>
            <w:tcW w:w="1113" w:type="dxa"/>
            <w:tcBorders>
              <w:top w:val="nil"/>
              <w:left w:val="nil"/>
              <w:bottom w:val="nil"/>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0.62</w:t>
            </w:r>
          </w:p>
        </w:tc>
      </w:tr>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292"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g</w:t>
            </w:r>
            <w:r>
              <w:rPr>
                <w:rFonts w:hint="eastAsia" w:ascii="Gill Sans MT" w:hAnsi="Gill Sans MT" w:eastAsiaTheme="minorHAnsi" w:cstheme="minorBidi"/>
                <w:sz w:val="16"/>
                <w:szCs w:val="16"/>
                <w:vertAlign w:val="subscript"/>
                <w:lang w:val="en-GB" w:eastAsia="zh-CN" w:bidi="ar"/>
              </w:rPr>
              <w:t>GPe-STN</w:t>
            </w:r>
          </w:p>
        </w:tc>
        <w:tc>
          <w:tcPr>
            <w:tcW w:w="1113"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0.46</w:t>
            </w:r>
          </w:p>
        </w:tc>
        <w:tc>
          <w:tcPr>
            <w:tcW w:w="1113"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0.51</w:t>
            </w:r>
          </w:p>
        </w:tc>
        <w:tc>
          <w:tcPr>
            <w:tcW w:w="1113"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0.14</w:t>
            </w:r>
          </w:p>
        </w:tc>
        <w:tc>
          <w:tcPr>
            <w:tcW w:w="1114"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0.33</w:t>
            </w:r>
          </w:p>
        </w:tc>
        <w:tc>
          <w:tcPr>
            <w:tcW w:w="1116" w:type="dxa"/>
            <w:tcBorders>
              <w:top w:val="nil"/>
              <w:left w:val="nil"/>
              <w:bottom w:val="nil"/>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-2.86</w:t>
            </w:r>
          </w:p>
        </w:tc>
        <w:tc>
          <w:tcPr>
            <w:tcW w:w="1107" w:type="dxa"/>
            <w:tcBorders>
              <w:top w:val="nil"/>
              <w:left w:val="nil"/>
              <w:bottom w:val="nil"/>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52</w:t>
            </w:r>
          </w:p>
        </w:tc>
        <w:tc>
          <w:tcPr>
            <w:tcW w:w="1113"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b w:val="0"/>
                <w:bCs w:val="0"/>
                <w:sz w:val="16"/>
                <w:szCs w:val="16"/>
                <w:lang w:val="en-GB" w:eastAsia="zh-CN" w:bidi="ar"/>
              </w:rPr>
              <w:t>0.003</w:t>
            </w:r>
            <w:r>
              <w:rPr>
                <w:rFonts w:hint="eastAsia" w:ascii="Gill Sans MT" w:hAnsi="Gill Sans MT" w:eastAsiaTheme="minorHAnsi" w:cstheme="minorBidi"/>
                <w:sz w:val="16"/>
                <w:szCs w:val="16"/>
                <w:vertAlign w:val="superscript"/>
                <w:lang w:val="en-GB" w:eastAsia="zh-CN"/>
              </w:rPr>
              <w:t>**</w:t>
            </w:r>
          </w:p>
        </w:tc>
        <w:tc>
          <w:tcPr>
            <w:tcW w:w="1113" w:type="dxa"/>
            <w:tcBorders>
              <w:top w:val="nil"/>
              <w:left w:val="nil"/>
              <w:bottom w:val="nil"/>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0.44</w:t>
            </w:r>
          </w:p>
        </w:tc>
      </w:tr>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292"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g</w:t>
            </w:r>
            <w:r>
              <w:rPr>
                <w:rFonts w:hint="eastAsia" w:ascii="Gill Sans MT" w:hAnsi="Gill Sans MT" w:eastAsiaTheme="minorHAnsi" w:cstheme="minorBidi"/>
                <w:sz w:val="16"/>
                <w:szCs w:val="16"/>
                <w:vertAlign w:val="subscript"/>
                <w:lang w:val="en-GB" w:eastAsia="zh-CN" w:bidi="ar"/>
              </w:rPr>
              <w:t>PY-STN</w:t>
            </w:r>
          </w:p>
        </w:tc>
        <w:tc>
          <w:tcPr>
            <w:tcW w:w="1113"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1.12</w:t>
            </w:r>
          </w:p>
        </w:tc>
        <w:tc>
          <w:tcPr>
            <w:tcW w:w="1113"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0.94</w:t>
            </w:r>
          </w:p>
        </w:tc>
        <w:tc>
          <w:tcPr>
            <w:tcW w:w="1113"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0.6</w:t>
            </w:r>
          </w:p>
        </w:tc>
        <w:tc>
          <w:tcPr>
            <w:tcW w:w="1114"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0.62</w:t>
            </w:r>
          </w:p>
        </w:tc>
        <w:tc>
          <w:tcPr>
            <w:tcW w:w="1116" w:type="dxa"/>
            <w:tcBorders>
              <w:top w:val="nil"/>
              <w:left w:val="nil"/>
              <w:bottom w:val="nil"/>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-2.70</w:t>
            </w:r>
          </w:p>
        </w:tc>
        <w:tc>
          <w:tcPr>
            <w:tcW w:w="1107" w:type="dxa"/>
            <w:tcBorders>
              <w:top w:val="nil"/>
              <w:left w:val="nil"/>
              <w:bottom w:val="nil"/>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52</w:t>
            </w:r>
          </w:p>
        </w:tc>
        <w:tc>
          <w:tcPr>
            <w:tcW w:w="1113"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b w:val="0"/>
                <w:bCs w:val="0"/>
                <w:sz w:val="16"/>
                <w:szCs w:val="16"/>
                <w:lang w:val="en-GB" w:eastAsia="zh-CN" w:bidi="ar"/>
              </w:rPr>
              <w:t>0.005</w:t>
            </w:r>
            <w:r>
              <w:rPr>
                <w:rFonts w:hint="eastAsia" w:ascii="Gill Sans MT" w:hAnsi="Gill Sans MT" w:eastAsiaTheme="minorHAnsi" w:cstheme="minorBidi"/>
                <w:sz w:val="16"/>
                <w:szCs w:val="16"/>
                <w:vertAlign w:val="superscript"/>
                <w:lang w:val="en-GB" w:eastAsia="zh-CN"/>
              </w:rPr>
              <w:t>**</w:t>
            </w:r>
          </w:p>
        </w:tc>
        <w:tc>
          <w:tcPr>
            <w:tcW w:w="1113" w:type="dxa"/>
            <w:tcBorders>
              <w:top w:val="nil"/>
              <w:left w:val="nil"/>
              <w:bottom w:val="nil"/>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0.82</w:t>
            </w:r>
          </w:p>
        </w:tc>
      </w:tr>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292"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g</w:t>
            </w:r>
            <w:r>
              <w:rPr>
                <w:rFonts w:hint="eastAsia" w:ascii="Gill Sans MT" w:hAnsi="Gill Sans MT" w:eastAsiaTheme="minorHAnsi" w:cstheme="minorBidi"/>
                <w:sz w:val="16"/>
                <w:szCs w:val="16"/>
                <w:vertAlign w:val="subscript"/>
                <w:lang w:val="en-GB" w:eastAsia="zh-CN" w:bidi="ar"/>
              </w:rPr>
              <w:t>PY-IN</w:t>
            </w:r>
          </w:p>
        </w:tc>
        <w:tc>
          <w:tcPr>
            <w:tcW w:w="1113"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0.34</w:t>
            </w:r>
          </w:p>
        </w:tc>
        <w:tc>
          <w:tcPr>
            <w:tcW w:w="1113"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0.54</w:t>
            </w:r>
          </w:p>
        </w:tc>
        <w:tc>
          <w:tcPr>
            <w:tcW w:w="1113"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0.33</w:t>
            </w:r>
          </w:p>
        </w:tc>
        <w:tc>
          <w:tcPr>
            <w:tcW w:w="1114"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0.58</w:t>
            </w:r>
          </w:p>
        </w:tc>
        <w:tc>
          <w:tcPr>
            <w:tcW w:w="1116" w:type="dxa"/>
            <w:tcBorders>
              <w:top w:val="nil"/>
              <w:left w:val="nil"/>
              <w:bottom w:val="nil"/>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0.03</w:t>
            </w:r>
          </w:p>
        </w:tc>
        <w:tc>
          <w:tcPr>
            <w:tcW w:w="1107" w:type="dxa"/>
            <w:tcBorders>
              <w:top w:val="nil"/>
              <w:left w:val="nil"/>
              <w:bottom w:val="nil"/>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52</w:t>
            </w:r>
          </w:p>
        </w:tc>
        <w:tc>
          <w:tcPr>
            <w:tcW w:w="1113"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0.511</w:t>
            </w:r>
          </w:p>
        </w:tc>
        <w:tc>
          <w:tcPr>
            <w:tcW w:w="1113" w:type="dxa"/>
            <w:tcBorders>
              <w:top w:val="nil"/>
              <w:left w:val="nil"/>
              <w:bottom w:val="nil"/>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0.57</w:t>
            </w:r>
          </w:p>
        </w:tc>
      </w:tr>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292"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g</w:t>
            </w:r>
            <w:r>
              <w:rPr>
                <w:rFonts w:hint="eastAsia" w:ascii="Gill Sans MT" w:hAnsi="Gill Sans MT" w:eastAsiaTheme="minorHAnsi" w:cstheme="minorBidi"/>
                <w:sz w:val="16"/>
                <w:szCs w:val="16"/>
                <w:vertAlign w:val="subscript"/>
                <w:lang w:val="en-GB" w:eastAsia="zh-CN" w:bidi="ar"/>
              </w:rPr>
              <w:t>Th-PY</w:t>
            </w:r>
          </w:p>
        </w:tc>
        <w:tc>
          <w:tcPr>
            <w:tcW w:w="1113"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4.82</w:t>
            </w:r>
          </w:p>
        </w:tc>
        <w:tc>
          <w:tcPr>
            <w:tcW w:w="1113"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1.88</w:t>
            </w:r>
          </w:p>
        </w:tc>
        <w:tc>
          <w:tcPr>
            <w:tcW w:w="1113"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3.79</w:t>
            </w:r>
          </w:p>
        </w:tc>
        <w:tc>
          <w:tcPr>
            <w:tcW w:w="1114"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1.38</w:t>
            </w:r>
          </w:p>
        </w:tc>
        <w:tc>
          <w:tcPr>
            <w:tcW w:w="1116" w:type="dxa"/>
            <w:tcBorders>
              <w:top w:val="nil"/>
              <w:left w:val="nil"/>
              <w:bottom w:val="nil"/>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sz w:val="16"/>
                <w:szCs w:val="16"/>
                <w:lang w:val="en-GB" w:eastAsia="zh-CN"/>
              </w:rPr>
            </w:pPr>
            <w:r>
              <w:rPr>
                <w:rFonts w:hint="eastAsia" w:ascii="Gill Sans MT" w:hAnsi="Gill Sans MT" w:eastAsiaTheme="minorHAnsi" w:cstheme="minorBidi"/>
                <w:sz w:val="16"/>
                <w:szCs w:val="16"/>
                <w:lang w:val="en-GB" w:eastAsia="zh-CN" w:bidi="ar"/>
              </w:rPr>
              <w:t>-2.39</w:t>
            </w:r>
          </w:p>
        </w:tc>
        <w:tc>
          <w:tcPr>
            <w:tcW w:w="1107" w:type="dxa"/>
            <w:tcBorders>
              <w:top w:val="nil"/>
              <w:left w:val="nil"/>
              <w:bottom w:val="nil"/>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52</w:t>
            </w:r>
          </w:p>
        </w:tc>
        <w:tc>
          <w:tcPr>
            <w:tcW w:w="1113"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b w:val="0"/>
                <w:bCs w:val="0"/>
                <w:sz w:val="16"/>
                <w:szCs w:val="16"/>
                <w:lang w:val="en-GB" w:eastAsia="zh-CN" w:bidi="ar"/>
              </w:rPr>
              <w:t>0.010</w:t>
            </w:r>
            <w:r>
              <w:rPr>
                <w:rFonts w:hint="eastAsia" w:ascii="Gill Sans MT" w:hAnsi="Gill Sans MT" w:eastAsiaTheme="minorHAnsi" w:cstheme="minorBidi"/>
                <w:sz w:val="16"/>
                <w:szCs w:val="16"/>
                <w:vertAlign w:val="superscript"/>
                <w:lang w:val="en-GB" w:eastAsia="zh-CN"/>
              </w:rPr>
              <w:t>*</w:t>
            </w:r>
          </w:p>
        </w:tc>
        <w:tc>
          <w:tcPr>
            <w:tcW w:w="1113" w:type="dxa"/>
            <w:tcBorders>
              <w:top w:val="nil"/>
              <w:left w:val="nil"/>
              <w:bottom w:val="nil"/>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1.73</w:t>
            </w:r>
          </w:p>
        </w:tc>
      </w:tr>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292"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g</w:t>
            </w:r>
            <w:r>
              <w:rPr>
                <w:rFonts w:hint="eastAsia" w:ascii="Gill Sans MT" w:hAnsi="Gill Sans MT" w:eastAsiaTheme="minorHAnsi" w:cstheme="minorBidi"/>
                <w:sz w:val="16"/>
                <w:szCs w:val="16"/>
                <w:vertAlign w:val="subscript"/>
                <w:lang w:val="en-GB" w:eastAsia="zh-CN" w:bidi="ar"/>
              </w:rPr>
              <w:t>STN-GPi</w:t>
            </w:r>
          </w:p>
        </w:tc>
        <w:tc>
          <w:tcPr>
            <w:tcW w:w="1113"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1.45</w:t>
            </w:r>
          </w:p>
        </w:tc>
        <w:tc>
          <w:tcPr>
            <w:tcW w:w="1113"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0.75</w:t>
            </w:r>
          </w:p>
        </w:tc>
        <w:tc>
          <w:tcPr>
            <w:tcW w:w="1113"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0.72</w:t>
            </w:r>
          </w:p>
        </w:tc>
        <w:tc>
          <w:tcPr>
            <w:tcW w:w="1114"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0.64</w:t>
            </w:r>
          </w:p>
        </w:tc>
        <w:tc>
          <w:tcPr>
            <w:tcW w:w="1116" w:type="dxa"/>
            <w:tcBorders>
              <w:top w:val="nil"/>
              <w:left w:val="nil"/>
              <w:bottom w:val="nil"/>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-3.42</w:t>
            </w:r>
          </w:p>
        </w:tc>
        <w:tc>
          <w:tcPr>
            <w:tcW w:w="1107" w:type="dxa"/>
            <w:tcBorders>
              <w:top w:val="nil"/>
              <w:left w:val="nil"/>
              <w:bottom w:val="nil"/>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52</w:t>
            </w:r>
          </w:p>
        </w:tc>
        <w:tc>
          <w:tcPr>
            <w:tcW w:w="1113" w:type="dxa"/>
            <w:tcBorders>
              <w:top w:val="nil"/>
              <w:left w:val="nil"/>
              <w:bottom w:val="nil"/>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b w:val="0"/>
                <w:bCs w:val="0"/>
                <w:sz w:val="16"/>
                <w:szCs w:val="16"/>
                <w:lang w:val="en-GB" w:eastAsia="zh-CN" w:bidi="ar"/>
              </w:rPr>
              <w:t>0.001</w:t>
            </w:r>
            <w:r>
              <w:rPr>
                <w:rFonts w:hint="eastAsia" w:ascii="Gill Sans MT" w:hAnsi="Gill Sans MT" w:eastAsiaTheme="minorHAnsi" w:cstheme="minorBidi"/>
                <w:sz w:val="16"/>
                <w:szCs w:val="16"/>
                <w:vertAlign w:val="superscript"/>
                <w:lang w:val="en-GB" w:eastAsia="zh-CN"/>
              </w:rPr>
              <w:t>**</w:t>
            </w:r>
          </w:p>
        </w:tc>
        <w:tc>
          <w:tcPr>
            <w:tcW w:w="1113" w:type="dxa"/>
            <w:tcBorders>
              <w:top w:val="nil"/>
              <w:left w:val="nil"/>
              <w:bottom w:val="nil"/>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0.71</w:t>
            </w:r>
          </w:p>
        </w:tc>
      </w:tr>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292"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g</w:t>
            </w:r>
            <w:r>
              <w:rPr>
                <w:rFonts w:hint="eastAsia" w:ascii="Gill Sans MT" w:hAnsi="Gill Sans MT" w:eastAsiaTheme="minorHAnsi" w:cstheme="minorBidi"/>
                <w:sz w:val="16"/>
                <w:szCs w:val="16"/>
                <w:vertAlign w:val="subscript"/>
                <w:lang w:val="en-GB" w:eastAsia="zh-CN" w:bidi="ar"/>
              </w:rPr>
              <w:t>STN-GPe</w:t>
            </w:r>
          </w:p>
        </w:tc>
        <w:tc>
          <w:tcPr>
            <w:tcW w:w="1113"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0.85</w:t>
            </w:r>
          </w:p>
        </w:tc>
        <w:tc>
          <w:tcPr>
            <w:tcW w:w="1113"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0.60</w:t>
            </w:r>
          </w:p>
        </w:tc>
        <w:tc>
          <w:tcPr>
            <w:tcW w:w="1113"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0.49</w:t>
            </w:r>
          </w:p>
        </w:tc>
        <w:tc>
          <w:tcPr>
            <w:tcW w:w="1114"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0.59</w:t>
            </w:r>
          </w:p>
        </w:tc>
        <w:tc>
          <w:tcPr>
            <w:tcW w:w="1116" w:type="dxa"/>
            <w:tcBorders>
              <w:top w:val="nil"/>
              <w:left w:val="nil"/>
              <w:bottom w:val="nil"/>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-1.87</w:t>
            </w:r>
          </w:p>
        </w:tc>
        <w:tc>
          <w:tcPr>
            <w:tcW w:w="1107" w:type="dxa"/>
            <w:tcBorders>
              <w:top w:val="nil"/>
              <w:left w:val="nil"/>
              <w:bottom w:val="nil"/>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52</w:t>
            </w:r>
          </w:p>
        </w:tc>
        <w:tc>
          <w:tcPr>
            <w:tcW w:w="1113"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b w:val="0"/>
                <w:bCs w:val="0"/>
                <w:sz w:val="16"/>
                <w:szCs w:val="16"/>
                <w:lang w:val="en-GB" w:eastAsia="zh-CN" w:bidi="ar"/>
              </w:rPr>
              <w:t>0.034</w:t>
            </w:r>
            <w:r>
              <w:rPr>
                <w:rFonts w:hint="eastAsia" w:ascii="Gill Sans MT" w:hAnsi="Gill Sans MT" w:eastAsiaTheme="minorHAnsi" w:cstheme="minorBidi"/>
                <w:sz w:val="16"/>
                <w:szCs w:val="16"/>
                <w:vertAlign w:val="superscript"/>
                <w:lang w:val="en-GB" w:eastAsia="zh-CN"/>
              </w:rPr>
              <w:t>*</w:t>
            </w:r>
          </w:p>
        </w:tc>
        <w:tc>
          <w:tcPr>
            <w:tcW w:w="1113" w:type="dxa"/>
            <w:tcBorders>
              <w:top w:val="nil"/>
              <w:left w:val="nil"/>
              <w:bottom w:val="nil"/>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0.59</w:t>
            </w:r>
          </w:p>
        </w:tc>
      </w:tr>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292"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g</w:t>
            </w:r>
            <w:r>
              <w:rPr>
                <w:rFonts w:hint="eastAsia" w:ascii="Gill Sans MT" w:hAnsi="Gill Sans MT" w:eastAsiaTheme="minorHAnsi" w:cstheme="minorBidi"/>
                <w:sz w:val="16"/>
                <w:szCs w:val="16"/>
                <w:vertAlign w:val="subscript"/>
                <w:lang w:val="en-GB" w:eastAsia="zh-CN" w:bidi="ar"/>
              </w:rPr>
              <w:t>GPi-Th</w:t>
            </w:r>
          </w:p>
        </w:tc>
        <w:tc>
          <w:tcPr>
            <w:tcW w:w="1113"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0.82</w:t>
            </w:r>
          </w:p>
        </w:tc>
        <w:tc>
          <w:tcPr>
            <w:tcW w:w="1113"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0.42</w:t>
            </w:r>
          </w:p>
        </w:tc>
        <w:tc>
          <w:tcPr>
            <w:tcW w:w="1113"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0.95</w:t>
            </w:r>
          </w:p>
        </w:tc>
        <w:tc>
          <w:tcPr>
            <w:tcW w:w="1114"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0.65</w:t>
            </w:r>
          </w:p>
        </w:tc>
        <w:tc>
          <w:tcPr>
            <w:tcW w:w="1116" w:type="dxa"/>
            <w:tcBorders>
              <w:top w:val="nil"/>
              <w:left w:val="nil"/>
              <w:bottom w:val="nil"/>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1.13</w:t>
            </w:r>
          </w:p>
        </w:tc>
        <w:tc>
          <w:tcPr>
            <w:tcW w:w="1107" w:type="dxa"/>
            <w:tcBorders>
              <w:top w:val="nil"/>
              <w:left w:val="nil"/>
              <w:bottom w:val="nil"/>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52</w:t>
            </w:r>
          </w:p>
        </w:tc>
        <w:tc>
          <w:tcPr>
            <w:tcW w:w="1113" w:type="dxa"/>
            <w:tcBorders>
              <w:top w:val="nil"/>
              <w:left w:val="nil"/>
              <w:bottom w:val="nil"/>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0.869</w:t>
            </w:r>
          </w:p>
        </w:tc>
        <w:tc>
          <w:tcPr>
            <w:tcW w:w="1113" w:type="dxa"/>
            <w:tcBorders>
              <w:top w:val="nil"/>
              <w:left w:val="nil"/>
              <w:bottom w:val="nil"/>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0.55</w:t>
            </w:r>
          </w:p>
        </w:tc>
      </w:tr>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292" w:type="dxa"/>
            <w:tcBorders>
              <w:top w:val="nil"/>
              <w:left w:val="nil"/>
              <w:bottom w:val="single" w:color="auto" w:sz="4" w:space="0"/>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bidi="ar"/>
              </w:rPr>
            </w:pPr>
            <w:r>
              <w:rPr>
                <w:rFonts w:hint="eastAsia" w:ascii="Gill Sans MT" w:hAnsi="Gill Sans MT" w:eastAsiaTheme="minorHAnsi" w:cstheme="minorBidi"/>
                <w:sz w:val="16"/>
                <w:szCs w:val="16"/>
                <w:lang w:val="en-GB" w:eastAsia="zh-CN" w:bidi="ar"/>
              </w:rPr>
              <w:t>g</w:t>
            </w:r>
            <w:r>
              <w:rPr>
                <w:rFonts w:hint="eastAsia" w:ascii="Gill Sans MT" w:hAnsi="Gill Sans MT" w:eastAsiaTheme="minorHAnsi" w:cstheme="minorBidi"/>
                <w:sz w:val="16"/>
                <w:szCs w:val="16"/>
                <w:vertAlign w:val="subscript"/>
                <w:lang w:val="en-GB" w:eastAsia="zh-CN" w:bidi="ar"/>
              </w:rPr>
              <w:t>IN-PY</w:t>
            </w:r>
          </w:p>
        </w:tc>
        <w:tc>
          <w:tcPr>
            <w:tcW w:w="1113" w:type="dxa"/>
            <w:tcBorders>
              <w:top w:val="nil"/>
              <w:left w:val="nil"/>
              <w:bottom w:val="single" w:color="auto" w:sz="4" w:space="0"/>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0.55</w:t>
            </w:r>
          </w:p>
        </w:tc>
        <w:tc>
          <w:tcPr>
            <w:tcW w:w="1113" w:type="dxa"/>
            <w:tcBorders>
              <w:top w:val="nil"/>
              <w:left w:val="nil"/>
              <w:bottom w:val="single" w:color="auto" w:sz="4" w:space="0"/>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0.58</w:t>
            </w:r>
          </w:p>
        </w:tc>
        <w:tc>
          <w:tcPr>
            <w:tcW w:w="1113" w:type="dxa"/>
            <w:tcBorders>
              <w:top w:val="nil"/>
              <w:left w:val="nil"/>
              <w:bottom w:val="single" w:color="auto" w:sz="4" w:space="0"/>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0.37</w:t>
            </w:r>
          </w:p>
        </w:tc>
        <w:tc>
          <w:tcPr>
            <w:tcW w:w="1114" w:type="dxa"/>
            <w:tcBorders>
              <w:top w:val="nil"/>
              <w:left w:val="nil"/>
              <w:bottom w:val="single" w:color="auto" w:sz="4" w:space="0"/>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0.59</w:t>
            </w:r>
          </w:p>
        </w:tc>
        <w:tc>
          <w:tcPr>
            <w:tcW w:w="1116" w:type="dxa"/>
            <w:tcBorders>
              <w:top w:val="nil"/>
              <w:left w:val="nil"/>
              <w:bottom w:val="single" w:color="auto" w:sz="4" w:space="0"/>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-1.22</w:t>
            </w:r>
          </w:p>
        </w:tc>
        <w:tc>
          <w:tcPr>
            <w:tcW w:w="1107" w:type="dxa"/>
            <w:tcBorders>
              <w:top w:val="nil"/>
              <w:left w:val="nil"/>
              <w:bottom w:val="single" w:color="auto" w:sz="4" w:space="0"/>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52</w:t>
            </w:r>
          </w:p>
        </w:tc>
        <w:tc>
          <w:tcPr>
            <w:tcW w:w="1113" w:type="dxa"/>
            <w:tcBorders>
              <w:top w:val="nil"/>
              <w:left w:val="nil"/>
              <w:bottom w:val="single" w:color="auto" w:sz="4" w:space="0"/>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0.115</w:t>
            </w:r>
          </w:p>
        </w:tc>
        <w:tc>
          <w:tcPr>
            <w:tcW w:w="1113" w:type="dxa"/>
            <w:tcBorders>
              <w:top w:val="nil"/>
              <w:left w:val="nil"/>
              <w:bottom w:val="single" w:color="auto" w:sz="4" w:space="0"/>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cstheme="minorBidi"/>
                <w:sz w:val="16"/>
                <w:szCs w:val="16"/>
                <w:lang w:val="en-GB" w:eastAsia="zh-CN"/>
              </w:rPr>
            </w:pPr>
            <w:r>
              <w:rPr>
                <w:rFonts w:hint="eastAsia" w:ascii="Gill Sans MT" w:hAnsi="Gill Sans MT" w:eastAsiaTheme="minorHAnsi" w:cstheme="minorBidi"/>
                <w:sz w:val="16"/>
                <w:szCs w:val="16"/>
                <w:lang w:val="en-GB" w:eastAsia="zh-CN" w:bidi="ar"/>
              </w:rPr>
              <w:t>0.61</w:t>
            </w:r>
          </w:p>
        </w:tc>
      </w:tr>
    </w:tbl>
    <w:p>
      <w:pPr>
        <w:spacing w:line="276" w:lineRule="auto"/>
        <w:jc w:val="both"/>
        <w:rPr>
          <w:rFonts w:ascii="Gill Sans MT" w:hAnsi="Gill Sans MT" w:cs="Gill Sans MT"/>
          <w:sz w:val="16"/>
          <w:szCs w:val="16"/>
          <w:lang w:eastAsia="zh-CN"/>
        </w:rPr>
      </w:pPr>
      <w:r>
        <w:rPr>
          <w:rFonts w:hint="default" w:ascii="Gill Sans MT" w:hAnsi="Gill Sans MT" w:cs="Gill Sans MT"/>
          <w:sz w:val="16"/>
          <w:szCs w:val="16"/>
          <w:lang w:eastAsia="zh-CN"/>
        </w:rPr>
        <w:t xml:space="preserve">Mc/SDc </w:t>
      </w:r>
      <w:r>
        <w:rPr>
          <w:rFonts w:ascii="Gill Sans MT" w:hAnsi="Gill Sans MT" w:cs="Gill Sans MT"/>
          <w:sz w:val="16"/>
          <w:szCs w:val="16"/>
          <w:lang w:eastAsia="zh-CN"/>
        </w:rPr>
        <w:t>represent</w:t>
      </w:r>
      <w:r>
        <w:rPr>
          <w:rFonts w:hint="default" w:ascii="Gill Sans MT" w:hAnsi="Gill Sans MT" w:cs="Gill Sans MT"/>
          <w:sz w:val="16"/>
          <w:szCs w:val="16"/>
          <w:lang w:eastAsia="zh-CN"/>
        </w:rPr>
        <w:t xml:space="preserve"> the means/standard deviations of the connection strengths of all models of the HC group. M</w:t>
      </w:r>
      <w:r>
        <w:rPr>
          <w:rFonts w:hint="eastAsia" w:ascii="Gill Sans MT" w:hAnsi="Gill Sans MT" w:eastAsiaTheme="minorHAnsi" w:cstheme="minorBidi"/>
          <w:b w:val="0"/>
          <w:bCs w:val="0"/>
          <w:sz w:val="16"/>
          <w:szCs w:val="16"/>
          <w:lang w:val="en-US" w:eastAsia="zh-CN" w:bidi="ar"/>
        </w:rPr>
        <w:t>off</w:t>
      </w:r>
      <w:r>
        <w:rPr>
          <w:rFonts w:hint="default" w:ascii="Gill Sans MT" w:hAnsi="Gill Sans MT" w:cs="Gill Sans MT"/>
          <w:sz w:val="16"/>
          <w:szCs w:val="16"/>
          <w:lang w:eastAsia="zh-CN"/>
        </w:rPr>
        <w:t>/SD</w:t>
      </w:r>
      <w:r>
        <w:rPr>
          <w:rFonts w:hint="eastAsia" w:ascii="Gill Sans MT" w:hAnsi="Gill Sans MT" w:eastAsiaTheme="minorHAnsi" w:cstheme="minorBidi"/>
          <w:b w:val="0"/>
          <w:bCs w:val="0"/>
          <w:sz w:val="16"/>
          <w:szCs w:val="16"/>
          <w:lang w:val="en-US" w:eastAsia="zh-CN" w:bidi="ar"/>
        </w:rPr>
        <w:t>off</w:t>
      </w:r>
      <w:r>
        <w:rPr>
          <w:rFonts w:hint="default" w:ascii="Gill Sans MT" w:hAnsi="Gill Sans MT" w:cs="Gill Sans MT"/>
          <w:sz w:val="16"/>
          <w:szCs w:val="16"/>
          <w:lang w:eastAsia="zh-CN"/>
        </w:rPr>
        <w:t xml:space="preserve"> are the means/standard deviations of the connection strengths of all models of the DBS-OFF group. A</w:t>
      </w:r>
      <w:r>
        <w:rPr>
          <w:rFonts w:ascii="Gill Sans MT" w:hAnsi="Gill Sans MT" w:cs="Gill Sans MT"/>
          <w:sz w:val="16"/>
          <w:szCs w:val="16"/>
          <w:lang w:eastAsia="zh-CN"/>
        </w:rPr>
        <w:t>n</w:t>
      </w:r>
      <w:r>
        <w:rPr>
          <w:rFonts w:hint="default" w:ascii="Gill Sans MT" w:hAnsi="Gill Sans MT" w:cs="Gill Sans MT"/>
          <w:sz w:val="16"/>
          <w:szCs w:val="16"/>
          <w:lang w:eastAsia="zh-CN"/>
        </w:rPr>
        <w:t xml:space="preserve"> independent</w:t>
      </w:r>
      <w:r>
        <w:rPr>
          <w:rFonts w:ascii="Gill Sans MT" w:hAnsi="Gill Sans MT" w:cs="Gill Sans MT"/>
          <w:sz w:val="16"/>
          <w:szCs w:val="16"/>
          <w:lang w:eastAsia="zh-CN"/>
        </w:rPr>
        <w:t>-</w:t>
      </w:r>
      <w:r>
        <w:rPr>
          <w:rFonts w:hint="default" w:ascii="Gill Sans MT" w:hAnsi="Gill Sans MT" w:cs="Gill Sans MT"/>
          <w:sz w:val="16"/>
          <w:szCs w:val="16"/>
          <w:lang w:eastAsia="zh-CN"/>
        </w:rPr>
        <w:t xml:space="preserve">samples t-test was </w:t>
      </w:r>
      <w:r>
        <w:rPr>
          <w:rFonts w:ascii="Gill Sans MT" w:hAnsi="Gill Sans MT" w:cs="Gill Sans MT"/>
          <w:sz w:val="16"/>
          <w:szCs w:val="16"/>
          <w:lang w:eastAsia="zh-CN"/>
        </w:rPr>
        <w:t>conducted</w:t>
      </w:r>
      <w:r>
        <w:rPr>
          <w:rFonts w:hint="default" w:ascii="Gill Sans MT" w:hAnsi="Gill Sans MT" w:cs="Gill Sans MT"/>
          <w:sz w:val="16"/>
          <w:szCs w:val="16"/>
          <w:lang w:eastAsia="zh-CN"/>
        </w:rPr>
        <w:t xml:space="preserve"> to compare these two samples. ** and * represent the significance levels of 1% and 5%, respectively.</w:t>
      </w:r>
    </w:p>
    <w:p>
      <w:pPr>
        <w:spacing w:line="480" w:lineRule="auto"/>
        <w:jc w:val="both"/>
        <w:sectPr>
          <w:type w:val="continuous"/>
          <w:pgSz w:w="11906" w:h="16838"/>
          <w:pgMar w:top="1440" w:right="964" w:bottom="1270" w:left="964" w:header="851" w:footer="992" w:gutter="0"/>
          <w:pgBorders>
            <w:top w:val="none" w:sz="0" w:space="0"/>
            <w:left w:val="none" w:sz="0" w:space="0"/>
            <w:bottom w:val="none" w:sz="0" w:space="0"/>
            <w:right w:val="none" w:sz="0" w:space="0"/>
          </w:pgBorders>
          <w:cols w:space="425" w:num="1"/>
          <w:docGrid w:type="lines" w:linePitch="312" w:charSpace="0"/>
        </w:sectPr>
      </w:pPr>
    </w:p>
    <w:p>
      <w:pPr>
        <w:rPr>
          <w:rFonts w:hint="default" w:ascii="Gill Sans MT" w:hAnsi="Gill Sans MT" w:eastAsia="宋体" w:cstheme="minorBidi"/>
          <w:b/>
          <w:bCs w:val="0"/>
          <w:kern w:val="0"/>
          <w:sz w:val="16"/>
          <w:szCs w:val="16"/>
          <w:lang w:val="en-GB"/>
        </w:rPr>
      </w:pPr>
      <w:r>
        <w:rPr>
          <w:rFonts w:hint="eastAsia" w:ascii="Gill Sans MT" w:hAnsi="Gill Sans MT" w:cstheme="minorBidi"/>
          <w:b/>
          <w:bCs w:val="0"/>
          <w:kern w:val="0"/>
          <w:sz w:val="16"/>
          <w:szCs w:val="16"/>
          <w:lang w:val="en-GB" w:eastAsia="zh-CN"/>
        </w:rPr>
        <w:t>Table S7</w:t>
      </w:r>
      <w:r>
        <w:rPr>
          <w:rFonts w:ascii="Gill Sans MT" w:hAnsi="Gill Sans MT" w:eastAsia="宋体" w:cstheme="minorBidi"/>
          <w:b/>
          <w:bCs w:val="0"/>
          <w:kern w:val="0"/>
          <w:sz w:val="16"/>
          <w:szCs w:val="16"/>
          <w:lang w:val="en-GB"/>
        </w:rPr>
        <w:t xml:space="preserve"> The mean resting firing rates</w:t>
      </w:r>
    </w:p>
    <w:tbl>
      <w:tblPr>
        <w:tblStyle w:val="8"/>
        <w:tblW w:w="0" w:type="auto"/>
        <w:tblInd w:w="0" w:type="dxa"/>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Layout w:type="autofit"/>
        <w:tblCellMar>
          <w:top w:w="0" w:type="dxa"/>
          <w:left w:w="108" w:type="dxa"/>
          <w:bottom w:w="0" w:type="dxa"/>
          <w:right w:w="108" w:type="dxa"/>
        </w:tblCellMar>
      </w:tblPr>
      <w:tblGrid>
        <w:gridCol w:w="1131"/>
        <w:gridCol w:w="1132"/>
        <w:gridCol w:w="1132"/>
        <w:gridCol w:w="1132"/>
        <w:gridCol w:w="1132"/>
        <w:gridCol w:w="1132"/>
        <w:gridCol w:w="1132"/>
        <w:gridCol w:w="1132"/>
        <w:gridCol w:w="1132"/>
      </w:tblGrid>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131" w:type="dxa"/>
            <w:tcBorders>
              <w:top w:val="single" w:color="auto" w:sz="4" w:space="0"/>
              <w:left w:val="nil"/>
              <w:bottom w:val="single" w:color="auto" w:sz="4" w:space="0"/>
              <w:right w:val="nil"/>
            </w:tcBorders>
            <w:shd w:val="clear" w:color="auto" w:fill="FFFFFF" w:themeFill="background1"/>
            <w:vAlign w:val="center"/>
          </w:tcPr>
          <w:p>
            <w:pPr>
              <w:widowControl/>
              <w:spacing w:after="0" w:line="240" w:lineRule="auto"/>
              <w:jc w:val="both"/>
              <w:rPr>
                <w:rFonts w:hint="eastAsia" w:ascii="Gill Sans MT" w:hAnsi="Gill Sans MT" w:eastAsiaTheme="minorHAnsi"/>
                <w:b/>
                <w:bCs/>
                <w:sz w:val="16"/>
                <w:szCs w:val="16"/>
                <w:lang w:val="en-GB" w:eastAsia="zh-CN" w:bidi="ar"/>
              </w:rPr>
            </w:pPr>
            <w:r>
              <w:rPr>
                <w:rFonts w:hint="eastAsia" w:ascii="Gill Sans MT" w:hAnsi="Gill Sans MT" w:eastAsiaTheme="minorHAnsi" w:cstheme="minorBidi"/>
                <w:b/>
                <w:bCs/>
                <w:sz w:val="16"/>
                <w:szCs w:val="16"/>
                <w:lang w:val="en-GB" w:eastAsia="zh-CN" w:bidi="ar"/>
              </w:rPr>
              <w:t>Rate</w:t>
            </w:r>
          </w:p>
        </w:tc>
        <w:tc>
          <w:tcPr>
            <w:tcW w:w="1132" w:type="dxa"/>
            <w:tcBorders>
              <w:top w:val="single" w:color="auto" w:sz="4" w:space="0"/>
              <w:left w:val="nil"/>
              <w:bottom w:val="single" w:color="auto" w:sz="4" w:space="0"/>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b/>
                <w:bCs/>
                <w:sz w:val="16"/>
                <w:szCs w:val="16"/>
                <w:lang w:val="en-GB" w:eastAsia="zh-CN" w:bidi="ar"/>
              </w:rPr>
            </w:pPr>
            <w:r>
              <w:rPr>
                <w:rFonts w:hint="eastAsia" w:ascii="Gill Sans MT" w:hAnsi="Gill Sans MT" w:eastAsiaTheme="minorHAnsi" w:cstheme="minorBidi"/>
                <w:b/>
                <w:bCs/>
                <w:sz w:val="16"/>
                <w:szCs w:val="16"/>
                <w:lang w:val="en-GB" w:eastAsia="zh-CN" w:bidi="ar"/>
              </w:rPr>
              <w:t>Mc</w:t>
            </w:r>
          </w:p>
        </w:tc>
        <w:tc>
          <w:tcPr>
            <w:tcW w:w="1132" w:type="dxa"/>
            <w:tcBorders>
              <w:top w:val="single" w:color="auto" w:sz="4" w:space="0"/>
              <w:left w:val="nil"/>
              <w:bottom w:val="single" w:color="auto" w:sz="4" w:space="0"/>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b/>
                <w:bCs/>
                <w:sz w:val="16"/>
                <w:szCs w:val="16"/>
                <w:lang w:val="en-GB" w:eastAsia="zh-CN" w:bidi="ar"/>
              </w:rPr>
            </w:pPr>
            <w:r>
              <w:rPr>
                <w:rFonts w:hint="eastAsia" w:ascii="Gill Sans MT" w:hAnsi="Gill Sans MT" w:eastAsiaTheme="minorHAnsi" w:cstheme="minorBidi"/>
                <w:b/>
                <w:bCs/>
                <w:sz w:val="16"/>
                <w:szCs w:val="16"/>
                <w:lang w:val="en-GB" w:eastAsia="zh-CN" w:bidi="ar"/>
              </w:rPr>
              <w:t>SDc</w:t>
            </w:r>
          </w:p>
        </w:tc>
        <w:tc>
          <w:tcPr>
            <w:tcW w:w="1132" w:type="dxa"/>
            <w:tcBorders>
              <w:top w:val="single" w:color="auto" w:sz="4" w:space="0"/>
              <w:left w:val="nil"/>
              <w:bottom w:val="single" w:color="auto" w:sz="4" w:space="0"/>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b/>
                <w:bCs/>
                <w:sz w:val="16"/>
                <w:szCs w:val="16"/>
                <w:lang w:val="en-GB" w:eastAsia="zh-CN" w:bidi="ar"/>
              </w:rPr>
            </w:pPr>
            <w:r>
              <w:rPr>
                <w:rFonts w:hint="eastAsia" w:ascii="Gill Sans MT" w:hAnsi="Gill Sans MT" w:eastAsiaTheme="minorHAnsi" w:cstheme="minorBidi"/>
                <w:b/>
                <w:bCs/>
                <w:sz w:val="16"/>
                <w:szCs w:val="16"/>
                <w:lang w:val="en-GB" w:eastAsia="zh-CN" w:bidi="ar"/>
              </w:rPr>
              <w:t>M</w:t>
            </w:r>
            <w:r>
              <w:rPr>
                <w:rFonts w:hint="eastAsia" w:ascii="Gill Sans MT" w:hAnsi="Gill Sans MT" w:eastAsiaTheme="minorHAnsi" w:cstheme="minorBidi"/>
                <w:b/>
                <w:bCs/>
                <w:sz w:val="16"/>
                <w:szCs w:val="16"/>
                <w:lang w:val="en-US" w:eastAsia="zh-CN" w:bidi="ar"/>
              </w:rPr>
              <w:t>off</w:t>
            </w:r>
          </w:p>
        </w:tc>
        <w:tc>
          <w:tcPr>
            <w:tcW w:w="1132" w:type="dxa"/>
            <w:tcBorders>
              <w:top w:val="single" w:color="auto" w:sz="4" w:space="0"/>
              <w:left w:val="nil"/>
              <w:bottom w:val="single" w:color="auto" w:sz="4" w:space="0"/>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b/>
                <w:bCs/>
                <w:sz w:val="16"/>
                <w:szCs w:val="16"/>
                <w:lang w:val="en-GB" w:eastAsia="zh-CN" w:bidi="ar"/>
              </w:rPr>
            </w:pPr>
            <w:r>
              <w:rPr>
                <w:rFonts w:hint="eastAsia" w:ascii="Gill Sans MT" w:hAnsi="Gill Sans MT" w:eastAsiaTheme="minorHAnsi" w:cstheme="minorBidi"/>
                <w:b/>
                <w:bCs/>
                <w:sz w:val="16"/>
                <w:szCs w:val="16"/>
                <w:lang w:val="en-GB" w:eastAsia="zh-CN" w:bidi="ar"/>
              </w:rPr>
              <w:t>SD</w:t>
            </w:r>
            <w:r>
              <w:rPr>
                <w:rFonts w:hint="eastAsia" w:ascii="Gill Sans MT" w:hAnsi="Gill Sans MT" w:eastAsiaTheme="minorHAnsi" w:cstheme="minorBidi"/>
                <w:b/>
                <w:bCs/>
                <w:sz w:val="16"/>
                <w:szCs w:val="16"/>
                <w:lang w:val="en-US" w:eastAsia="zh-CN" w:bidi="ar"/>
              </w:rPr>
              <w:t>off</w:t>
            </w:r>
          </w:p>
        </w:tc>
        <w:tc>
          <w:tcPr>
            <w:tcW w:w="1132" w:type="dxa"/>
            <w:tcBorders>
              <w:top w:val="single" w:color="auto" w:sz="4" w:space="0"/>
              <w:left w:val="nil"/>
              <w:bottom w:val="single" w:color="auto" w:sz="4" w:space="0"/>
              <w:right w:val="nil"/>
            </w:tcBorders>
            <w:shd w:val="clear" w:color="auto" w:fill="FFFFFF" w:themeFill="background1"/>
          </w:tcPr>
          <w:p>
            <w:pPr>
              <w:widowControl/>
              <w:spacing w:after="0" w:line="240" w:lineRule="auto"/>
              <w:jc w:val="both"/>
              <w:textAlignment w:val="auto"/>
              <w:rPr>
                <w:rFonts w:hint="eastAsia" w:ascii="Gill Sans MT" w:hAnsi="Gill Sans MT" w:eastAsiaTheme="minorHAnsi"/>
                <w:b/>
                <w:bCs/>
                <w:sz w:val="16"/>
                <w:szCs w:val="16"/>
                <w:lang w:val="en-GB" w:eastAsia="zh-CN" w:bidi="ar"/>
              </w:rPr>
            </w:pPr>
            <w:r>
              <w:rPr>
                <w:rFonts w:hint="eastAsia" w:ascii="Gill Sans MT" w:hAnsi="Gill Sans MT" w:eastAsiaTheme="minorHAnsi" w:cstheme="minorBidi"/>
                <w:b/>
                <w:bCs/>
                <w:sz w:val="16"/>
                <w:szCs w:val="16"/>
                <w:lang w:val="en-GB" w:eastAsia="zh-CN" w:bidi="ar"/>
              </w:rPr>
              <w:t>t</w:t>
            </w:r>
          </w:p>
        </w:tc>
        <w:tc>
          <w:tcPr>
            <w:tcW w:w="1132" w:type="dxa"/>
            <w:tcBorders>
              <w:top w:val="single" w:color="auto" w:sz="4" w:space="0"/>
              <w:left w:val="nil"/>
              <w:bottom w:val="single" w:color="auto" w:sz="4" w:space="0"/>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b/>
                <w:bCs/>
                <w:sz w:val="16"/>
                <w:szCs w:val="16"/>
                <w:lang w:val="en-GB" w:eastAsia="zh-CN" w:bidi="ar"/>
              </w:rPr>
            </w:pPr>
            <w:r>
              <w:rPr>
                <w:rFonts w:hint="eastAsia" w:ascii="Gill Sans MT" w:hAnsi="Gill Sans MT" w:eastAsiaTheme="minorHAnsi" w:cstheme="minorBidi"/>
                <w:b/>
                <w:bCs/>
                <w:sz w:val="16"/>
                <w:szCs w:val="16"/>
                <w:lang w:val="en-GB" w:eastAsia="zh-CN" w:bidi="ar"/>
              </w:rPr>
              <w:t>df</w:t>
            </w:r>
          </w:p>
        </w:tc>
        <w:tc>
          <w:tcPr>
            <w:tcW w:w="1132" w:type="dxa"/>
            <w:tcBorders>
              <w:top w:val="single" w:color="auto" w:sz="4" w:space="0"/>
              <w:left w:val="nil"/>
              <w:bottom w:val="single" w:color="auto" w:sz="4" w:space="0"/>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b/>
                <w:bCs/>
                <w:sz w:val="16"/>
                <w:szCs w:val="16"/>
                <w:lang w:val="en-GB" w:eastAsia="zh-CN" w:bidi="ar"/>
              </w:rPr>
            </w:pPr>
            <w:r>
              <w:rPr>
                <w:rFonts w:ascii="Gill Sans MT" w:hAnsi="Gill Sans MT"/>
                <w:b/>
                <w:bCs/>
                <w:i/>
                <w:sz w:val="16"/>
                <w:szCs w:val="16"/>
              </w:rPr>
              <w:t>P</w:t>
            </w:r>
            <w:r>
              <w:rPr>
                <w:rFonts w:hint="default" w:ascii="Gill Sans MT" w:hAnsi="Gill Sans MT"/>
                <w:b/>
                <w:sz w:val="16"/>
                <w:szCs w:val="16"/>
              </w:rPr>
              <w:t>-value</w:t>
            </w:r>
          </w:p>
        </w:tc>
        <w:tc>
          <w:tcPr>
            <w:tcW w:w="1132" w:type="dxa"/>
            <w:tcBorders>
              <w:top w:val="single" w:color="auto" w:sz="4" w:space="0"/>
              <w:left w:val="nil"/>
              <w:bottom w:val="single" w:color="auto" w:sz="4" w:space="0"/>
              <w:right w:val="nil"/>
            </w:tcBorders>
            <w:shd w:val="clear" w:color="auto" w:fill="FFFFFF" w:themeFill="background1"/>
            <w:vAlign w:val="center"/>
          </w:tcPr>
          <w:p>
            <w:pPr>
              <w:widowControl/>
              <w:spacing w:after="0" w:line="240" w:lineRule="auto"/>
              <w:jc w:val="both"/>
              <w:textAlignment w:val="auto"/>
              <w:rPr>
                <w:rFonts w:hint="eastAsia" w:ascii="Gill Sans MT" w:hAnsi="Gill Sans MT" w:eastAsiaTheme="minorHAnsi" w:cstheme="minorBidi"/>
                <w:b/>
                <w:bCs/>
                <w:sz w:val="16"/>
                <w:szCs w:val="16"/>
                <w:lang w:val="en-GB" w:eastAsia="zh-CN" w:bidi="ar"/>
              </w:rPr>
            </w:pPr>
            <w:r>
              <w:rPr>
                <w:rFonts w:hint="eastAsia" w:ascii="Gill Sans MT" w:hAnsi="Gill Sans MT" w:eastAsiaTheme="minorHAnsi" w:cstheme="minorBidi"/>
                <w:b/>
                <w:bCs/>
                <w:sz w:val="16"/>
                <w:szCs w:val="16"/>
                <w:lang w:val="en-GB" w:eastAsia="zh-CN" w:bidi="ar"/>
              </w:rPr>
              <w:t>sd</w:t>
            </w:r>
          </w:p>
        </w:tc>
      </w:tr>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131" w:type="dxa"/>
            <w:tcBorders>
              <w:top w:val="single" w:color="auto" w:sz="4" w:space="0"/>
              <w:left w:val="nil"/>
              <w:bottom w:val="nil"/>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STN</w:t>
            </w:r>
          </w:p>
        </w:tc>
        <w:tc>
          <w:tcPr>
            <w:tcW w:w="1132" w:type="dxa"/>
            <w:tcBorders>
              <w:top w:val="single" w:color="auto" w:sz="4" w:space="0"/>
              <w:left w:val="nil"/>
              <w:bottom w:val="nil"/>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45.76</w:t>
            </w:r>
          </w:p>
        </w:tc>
        <w:tc>
          <w:tcPr>
            <w:tcW w:w="1132" w:type="dxa"/>
            <w:tcBorders>
              <w:top w:val="single" w:color="auto" w:sz="4" w:space="0"/>
              <w:left w:val="nil"/>
              <w:bottom w:val="nil"/>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48.49</w:t>
            </w:r>
          </w:p>
        </w:tc>
        <w:tc>
          <w:tcPr>
            <w:tcW w:w="1132" w:type="dxa"/>
            <w:tcBorders>
              <w:top w:val="single" w:color="auto" w:sz="4" w:space="0"/>
              <w:left w:val="nil"/>
              <w:bottom w:val="nil"/>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45.76</w:t>
            </w:r>
          </w:p>
        </w:tc>
        <w:tc>
          <w:tcPr>
            <w:tcW w:w="1132" w:type="dxa"/>
            <w:tcBorders>
              <w:top w:val="single" w:color="auto" w:sz="4" w:space="0"/>
              <w:left w:val="nil"/>
              <w:bottom w:val="nil"/>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48.49</w:t>
            </w:r>
          </w:p>
        </w:tc>
        <w:tc>
          <w:tcPr>
            <w:tcW w:w="1132" w:type="dxa"/>
            <w:tcBorders>
              <w:top w:val="single" w:color="auto" w:sz="4" w:space="0"/>
              <w:left w:val="nil"/>
              <w:bottom w:val="nil"/>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-3.18</w:t>
            </w:r>
          </w:p>
        </w:tc>
        <w:tc>
          <w:tcPr>
            <w:tcW w:w="1132" w:type="dxa"/>
            <w:tcBorders>
              <w:top w:val="single" w:color="auto" w:sz="4" w:space="0"/>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52</w:t>
            </w:r>
          </w:p>
        </w:tc>
        <w:tc>
          <w:tcPr>
            <w:tcW w:w="1132" w:type="dxa"/>
            <w:tcBorders>
              <w:top w:val="single" w:color="auto" w:sz="4" w:space="0"/>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0.0012</w:t>
            </w:r>
            <w:r>
              <w:rPr>
                <w:rFonts w:hint="eastAsia" w:ascii="Gill Sans MT" w:hAnsi="Gill Sans MT" w:eastAsiaTheme="minorHAnsi" w:cstheme="minorBidi"/>
                <w:b w:val="0"/>
                <w:bCs w:val="0"/>
                <w:sz w:val="16"/>
                <w:szCs w:val="16"/>
                <w:vertAlign w:val="superscript"/>
                <w:lang w:val="en-GB" w:eastAsia="zh-CN" w:bidi="ar"/>
              </w:rPr>
              <w:t>**</w:t>
            </w:r>
          </w:p>
        </w:tc>
        <w:tc>
          <w:tcPr>
            <w:tcW w:w="1132" w:type="dxa"/>
            <w:tcBorders>
              <w:top w:val="single" w:color="auto" w:sz="4" w:space="0"/>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37.94</w:t>
            </w:r>
          </w:p>
        </w:tc>
      </w:tr>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131"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GPi</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118.15</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34.15</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118.15</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34.15</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-3.82</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52</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0.0002</w:t>
            </w:r>
            <w:r>
              <w:rPr>
                <w:rFonts w:hint="eastAsia" w:ascii="Gill Sans MT" w:hAnsi="Gill Sans MT" w:eastAsiaTheme="minorHAnsi" w:cstheme="minorBidi"/>
                <w:b w:val="0"/>
                <w:bCs w:val="0"/>
                <w:sz w:val="16"/>
                <w:szCs w:val="16"/>
                <w:vertAlign w:val="superscript"/>
                <w:lang w:val="en-GB" w:eastAsia="zh-CN" w:bidi="ar"/>
              </w:rPr>
              <w:t>***</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27.36</w:t>
            </w:r>
          </w:p>
        </w:tc>
      </w:tr>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131"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GPe</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98.52</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27.24</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98.52</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27.24</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-0.74</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52</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0.2299</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30.17</w:t>
            </w:r>
          </w:p>
        </w:tc>
      </w:tr>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131"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PY</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804.83</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945.40</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804.83</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945.40</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-3.06</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52</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0.0018</w:t>
            </w:r>
            <w:r>
              <w:rPr>
                <w:rFonts w:hint="eastAsia" w:ascii="Gill Sans MT" w:hAnsi="Gill Sans MT" w:eastAsiaTheme="minorHAnsi" w:cstheme="minorBidi"/>
                <w:b w:val="0"/>
                <w:bCs w:val="0"/>
                <w:sz w:val="16"/>
                <w:szCs w:val="16"/>
                <w:vertAlign w:val="superscript"/>
                <w:lang w:val="en-GB" w:eastAsia="zh-CN" w:bidi="ar"/>
              </w:rPr>
              <w:t>**</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715.18</w:t>
            </w:r>
          </w:p>
        </w:tc>
      </w:tr>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131"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Th</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131.00</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47.44</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131.00</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47.44</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-0.17</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52</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0.4314</w:t>
            </w:r>
          </w:p>
        </w:tc>
        <w:tc>
          <w:tcPr>
            <w:tcW w:w="1132" w:type="dxa"/>
            <w:tcBorders>
              <w:top w:val="nil"/>
              <w:left w:val="nil"/>
              <w:bottom w:val="nil"/>
              <w:right w:val="nil"/>
            </w:tcBorders>
            <w:vAlign w:val="center"/>
          </w:tcPr>
          <w:p>
            <w:pPr>
              <w:widowControl/>
              <w:spacing w:after="0" w:line="240" w:lineRule="auto"/>
              <w:jc w:val="both"/>
              <w:textAlignment w:val="auto"/>
              <w:rPr>
                <w:rFonts w:hint="eastAsia" w:ascii="Gill Sans MT" w:hAnsi="Gill Sans MT" w:eastAsiaTheme="minorHAnsi" w:cstheme="minorBid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60.91</w:t>
            </w:r>
          </w:p>
        </w:tc>
      </w:tr>
      <w:tr>
        <w:tblPrEx>
          <w:tblBorders>
            <w:top w:val="single" w:color="AEAAAA" w:themeColor="background2" w:themeShade="BF" w:sz="4" w:space="0"/>
            <w:left w:val="single" w:color="AEAAAA" w:themeColor="background2" w:themeShade="BF" w:sz="4" w:space="0"/>
            <w:bottom w:val="single" w:color="AEAAAA" w:themeColor="background2" w:themeShade="BF" w:sz="4" w:space="0"/>
            <w:right w:val="single" w:color="AEAAAA" w:themeColor="background2" w:themeShade="BF" w:sz="4" w:space="0"/>
            <w:insideH w:val="single" w:color="AEAAAA" w:themeColor="background2" w:themeShade="BF" w:sz="4" w:space="0"/>
            <w:insideV w:val="single" w:color="AEAAAA" w:themeColor="background2" w:themeShade="BF" w:sz="4" w:space="0"/>
          </w:tblBorders>
          <w:tblCellMar>
            <w:top w:w="0" w:type="dxa"/>
            <w:left w:w="108" w:type="dxa"/>
            <w:bottom w:w="0" w:type="dxa"/>
            <w:right w:w="108" w:type="dxa"/>
          </w:tblCellMar>
        </w:tblPrEx>
        <w:tc>
          <w:tcPr>
            <w:tcW w:w="1131" w:type="dxa"/>
            <w:tcBorders>
              <w:top w:val="nil"/>
              <w:left w:val="nil"/>
              <w:bottom w:val="single" w:color="auto" w:sz="4" w:space="0"/>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IN</w:t>
            </w:r>
          </w:p>
        </w:tc>
        <w:tc>
          <w:tcPr>
            <w:tcW w:w="1132" w:type="dxa"/>
            <w:tcBorders>
              <w:top w:val="nil"/>
              <w:left w:val="nil"/>
              <w:bottom w:val="single" w:color="auto" w:sz="4" w:space="0"/>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54.35</w:t>
            </w:r>
          </w:p>
        </w:tc>
        <w:tc>
          <w:tcPr>
            <w:tcW w:w="1132" w:type="dxa"/>
            <w:tcBorders>
              <w:top w:val="nil"/>
              <w:left w:val="nil"/>
              <w:bottom w:val="single" w:color="auto" w:sz="4" w:space="0"/>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62.64</w:t>
            </w:r>
          </w:p>
        </w:tc>
        <w:tc>
          <w:tcPr>
            <w:tcW w:w="1132" w:type="dxa"/>
            <w:tcBorders>
              <w:top w:val="nil"/>
              <w:left w:val="nil"/>
              <w:bottom w:val="single" w:color="auto" w:sz="4" w:space="0"/>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54.35</w:t>
            </w:r>
          </w:p>
        </w:tc>
        <w:tc>
          <w:tcPr>
            <w:tcW w:w="1132" w:type="dxa"/>
            <w:tcBorders>
              <w:top w:val="nil"/>
              <w:left w:val="nil"/>
              <w:bottom w:val="single" w:color="auto" w:sz="4" w:space="0"/>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62.64</w:t>
            </w:r>
          </w:p>
        </w:tc>
        <w:tc>
          <w:tcPr>
            <w:tcW w:w="1132" w:type="dxa"/>
            <w:tcBorders>
              <w:top w:val="nil"/>
              <w:left w:val="nil"/>
              <w:bottom w:val="single" w:color="auto" w:sz="4" w:space="0"/>
              <w:right w:val="nil"/>
            </w:tcBorders>
            <w:vAlign w:val="center"/>
          </w:tcPr>
          <w:p>
            <w:pPr>
              <w:widowControl/>
              <w:spacing w:after="0" w:line="240" w:lineRule="auto"/>
              <w:jc w:val="both"/>
              <w:textAlignment w:val="auto"/>
              <w:rPr>
                <w:rFonts w:hint="eastAsia" w:ascii="Gill Sans MT" w:hAnsi="Gill Sans MT" w:eastAsiaTheme="minorHAns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-1.55</w:t>
            </w:r>
          </w:p>
        </w:tc>
        <w:tc>
          <w:tcPr>
            <w:tcW w:w="1132" w:type="dxa"/>
            <w:tcBorders>
              <w:top w:val="nil"/>
              <w:left w:val="nil"/>
              <w:bottom w:val="single" w:color="auto" w:sz="4" w:space="0"/>
              <w:right w:val="nil"/>
            </w:tcBorders>
            <w:vAlign w:val="center"/>
          </w:tcPr>
          <w:p>
            <w:pPr>
              <w:widowControl/>
              <w:spacing w:after="0" w:line="240" w:lineRule="auto"/>
              <w:jc w:val="both"/>
              <w:textAlignment w:val="auto"/>
              <w:rPr>
                <w:rFonts w:hint="eastAsia" w:ascii="Gill Sans MT" w:hAnsi="Gill Sans MT" w:eastAsiaTheme="minorHAnsi" w:cstheme="minorBid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52</w:t>
            </w:r>
          </w:p>
        </w:tc>
        <w:tc>
          <w:tcPr>
            <w:tcW w:w="1132" w:type="dxa"/>
            <w:tcBorders>
              <w:top w:val="nil"/>
              <w:left w:val="nil"/>
              <w:bottom w:val="single" w:color="auto" w:sz="4" w:space="0"/>
              <w:right w:val="nil"/>
            </w:tcBorders>
            <w:vAlign w:val="center"/>
          </w:tcPr>
          <w:p>
            <w:pPr>
              <w:widowControl/>
              <w:spacing w:after="0" w:line="240" w:lineRule="auto"/>
              <w:jc w:val="both"/>
              <w:textAlignment w:val="auto"/>
              <w:rPr>
                <w:rFonts w:hint="eastAsia" w:ascii="Gill Sans MT" w:hAnsi="Gill Sans MT" w:eastAsiaTheme="minorHAnsi" w:cstheme="minorBid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0.0637</w:t>
            </w:r>
          </w:p>
        </w:tc>
        <w:tc>
          <w:tcPr>
            <w:tcW w:w="1132" w:type="dxa"/>
            <w:tcBorders>
              <w:top w:val="nil"/>
              <w:left w:val="nil"/>
              <w:bottom w:val="single" w:color="auto" w:sz="4" w:space="0"/>
              <w:right w:val="nil"/>
            </w:tcBorders>
            <w:vAlign w:val="center"/>
          </w:tcPr>
          <w:p>
            <w:pPr>
              <w:widowControl/>
              <w:spacing w:after="0" w:line="240" w:lineRule="auto"/>
              <w:jc w:val="both"/>
              <w:textAlignment w:val="auto"/>
              <w:rPr>
                <w:rFonts w:hint="eastAsia" w:ascii="Gill Sans MT" w:hAnsi="Gill Sans MT" w:eastAsiaTheme="minorHAnsi" w:cstheme="minorBidi"/>
                <w:b w:val="0"/>
                <w:bCs w:val="0"/>
                <w:sz w:val="16"/>
                <w:szCs w:val="16"/>
                <w:lang w:val="en-GB" w:eastAsia="zh-CN" w:bidi="ar"/>
              </w:rPr>
            </w:pPr>
            <w:r>
              <w:rPr>
                <w:rFonts w:hint="eastAsia" w:ascii="Gill Sans MT" w:hAnsi="Gill Sans MT" w:eastAsiaTheme="minorHAnsi" w:cstheme="minorBidi"/>
                <w:b w:val="0"/>
                <w:bCs w:val="0"/>
                <w:sz w:val="16"/>
                <w:szCs w:val="16"/>
                <w:lang w:val="en-GB" w:eastAsia="zh-CN" w:bidi="ar"/>
              </w:rPr>
              <w:t>55.41</w:t>
            </w:r>
          </w:p>
        </w:tc>
      </w:tr>
    </w:tbl>
    <w:p>
      <w:pPr>
        <w:spacing w:line="276" w:lineRule="auto"/>
        <w:jc w:val="both"/>
        <w:rPr>
          <w:lang w:eastAsia="zh-CN"/>
        </w:rPr>
      </w:pPr>
      <w:r>
        <w:rPr>
          <w:rFonts w:hint="default" w:ascii="Gill Sans MT" w:hAnsi="Gill Sans MT" w:cs="Gill Sans MT"/>
          <w:sz w:val="16"/>
          <w:szCs w:val="16"/>
          <w:lang w:eastAsia="zh-CN"/>
        </w:rPr>
        <w:t xml:space="preserve">Mc/SDc </w:t>
      </w:r>
      <w:r>
        <w:rPr>
          <w:rFonts w:ascii="Gill Sans MT" w:hAnsi="Gill Sans MT" w:cs="Gill Sans MT"/>
          <w:sz w:val="16"/>
          <w:szCs w:val="16"/>
          <w:lang w:eastAsia="zh-CN"/>
        </w:rPr>
        <w:t>represent</w:t>
      </w:r>
      <w:r>
        <w:rPr>
          <w:rFonts w:hint="default" w:ascii="Gill Sans MT" w:hAnsi="Gill Sans MT" w:cs="Gill Sans MT"/>
          <w:sz w:val="16"/>
          <w:szCs w:val="16"/>
          <w:lang w:eastAsia="zh-CN"/>
        </w:rPr>
        <w:t xml:space="preserve"> the means/standard deviations of resting firing rates of all models of the HC group. M</w:t>
      </w:r>
      <w:r>
        <w:rPr>
          <w:rFonts w:hint="eastAsia" w:ascii="Gill Sans MT" w:hAnsi="Gill Sans MT" w:eastAsiaTheme="minorHAnsi" w:cstheme="minorBidi"/>
          <w:b w:val="0"/>
          <w:bCs w:val="0"/>
          <w:sz w:val="16"/>
          <w:szCs w:val="16"/>
          <w:lang w:val="en-US" w:eastAsia="zh-CN" w:bidi="ar"/>
        </w:rPr>
        <w:t>off</w:t>
      </w:r>
      <w:r>
        <w:rPr>
          <w:rFonts w:hint="default" w:ascii="Gill Sans MT" w:hAnsi="Gill Sans MT" w:cs="Gill Sans MT"/>
          <w:sz w:val="16"/>
          <w:szCs w:val="16"/>
          <w:lang w:eastAsia="zh-CN"/>
        </w:rPr>
        <w:t>/SD</w:t>
      </w:r>
      <w:r>
        <w:rPr>
          <w:rFonts w:hint="eastAsia" w:ascii="Gill Sans MT" w:hAnsi="Gill Sans MT" w:eastAsiaTheme="minorHAnsi" w:cstheme="minorBidi"/>
          <w:b w:val="0"/>
          <w:bCs w:val="0"/>
          <w:sz w:val="16"/>
          <w:szCs w:val="16"/>
          <w:lang w:val="en-US" w:eastAsia="zh-CN" w:bidi="ar"/>
        </w:rPr>
        <w:t>off</w:t>
      </w:r>
      <w:r>
        <w:rPr>
          <w:rFonts w:hint="default" w:ascii="Gill Sans MT" w:hAnsi="Gill Sans MT" w:cs="Gill Sans MT"/>
          <w:sz w:val="16"/>
          <w:szCs w:val="16"/>
          <w:lang w:eastAsia="zh-CN"/>
        </w:rPr>
        <w:t xml:space="preserve"> are the means/standard deviations of resting firing rates of all models of the DBS-OFF group. A</w:t>
      </w:r>
      <w:r>
        <w:rPr>
          <w:rFonts w:ascii="Gill Sans MT" w:hAnsi="Gill Sans MT" w:cs="Gill Sans MT"/>
          <w:sz w:val="16"/>
          <w:szCs w:val="16"/>
          <w:lang w:eastAsia="zh-CN"/>
        </w:rPr>
        <w:t xml:space="preserve">n </w:t>
      </w:r>
      <w:r>
        <w:rPr>
          <w:rFonts w:hint="default" w:ascii="Gill Sans MT" w:hAnsi="Gill Sans MT" w:cs="Gill Sans MT"/>
          <w:sz w:val="16"/>
          <w:szCs w:val="16"/>
          <w:lang w:eastAsia="zh-CN"/>
        </w:rPr>
        <w:t>independent</w:t>
      </w:r>
      <w:r>
        <w:rPr>
          <w:rFonts w:ascii="Gill Sans MT" w:hAnsi="Gill Sans MT" w:cs="Gill Sans MT"/>
          <w:sz w:val="16"/>
          <w:szCs w:val="16"/>
          <w:lang w:eastAsia="zh-CN"/>
        </w:rPr>
        <w:t>-</w:t>
      </w:r>
      <w:r>
        <w:rPr>
          <w:rFonts w:hint="default" w:ascii="Gill Sans MT" w:hAnsi="Gill Sans MT" w:cs="Gill Sans MT"/>
          <w:sz w:val="16"/>
          <w:szCs w:val="16"/>
          <w:lang w:eastAsia="zh-CN"/>
        </w:rPr>
        <w:t xml:space="preserve">samples </w:t>
      </w:r>
      <w:r>
        <w:rPr>
          <w:rFonts w:ascii="Gill Sans MT" w:hAnsi="Gill Sans MT" w:cs="Gill Sans MT"/>
          <w:sz w:val="16"/>
          <w:szCs w:val="16"/>
          <w:lang w:eastAsia="zh-CN"/>
        </w:rPr>
        <w:t xml:space="preserve">t-test </w:t>
      </w:r>
      <w:r>
        <w:rPr>
          <w:rFonts w:hint="default" w:ascii="Gill Sans MT" w:hAnsi="Gill Sans MT" w:cs="Gill Sans MT"/>
          <w:sz w:val="16"/>
          <w:szCs w:val="16"/>
          <w:lang w:eastAsia="zh-CN"/>
        </w:rPr>
        <w:t xml:space="preserve">was </w:t>
      </w:r>
      <w:r>
        <w:rPr>
          <w:rFonts w:ascii="Gill Sans MT" w:hAnsi="Gill Sans MT" w:cs="Gill Sans MT"/>
          <w:sz w:val="16"/>
          <w:szCs w:val="16"/>
          <w:lang w:eastAsia="zh-CN"/>
        </w:rPr>
        <w:t>conducted</w:t>
      </w:r>
      <w:r>
        <w:rPr>
          <w:rFonts w:hint="default" w:ascii="Gill Sans MT" w:hAnsi="Gill Sans MT" w:cs="Gill Sans MT"/>
          <w:sz w:val="16"/>
          <w:szCs w:val="16"/>
          <w:lang w:eastAsia="zh-CN"/>
        </w:rPr>
        <w:t xml:space="preserve"> to compare these two samples. ***, ** and * represent the significance levels of 0.1%, 1% and 5%, respectively.</w:t>
      </w:r>
    </w:p>
    <w:p>
      <w:pPr>
        <w:spacing w:line="240" w:lineRule="auto"/>
        <w:jc w:val="left"/>
        <w:rPr>
          <w:rFonts w:hint="eastAsia" w:ascii="Times New Roman" w:hAnsi="Times New Roman" w:cs="Times New Roman"/>
          <w:b/>
          <w:bCs/>
          <w:lang w:eastAsia="zh-CN"/>
        </w:rPr>
      </w:pPr>
      <w:r>
        <w:rPr>
          <w:rFonts w:hint="eastAsia" w:ascii="Times New Roman" w:hAnsi="Times New Roman" w:cs="Times New Roman"/>
          <w:b/>
          <w:bCs/>
          <w:lang w:eastAsia="zh-CN"/>
        </w:rPr>
        <w:br w:type="page"/>
      </w:r>
    </w:p>
    <w:p>
      <w:pPr>
        <w:spacing w:line="480" w:lineRule="auto"/>
        <w:jc w:val="both"/>
        <w:rPr>
          <w:rFonts w:ascii="Times New Roman" w:hAnsi="Times New Roman" w:cs="Times New Roman"/>
          <w:lang w:eastAsia="zh-CN"/>
        </w:rPr>
      </w:pPr>
      <w:r>
        <w:rPr>
          <w:rFonts w:hint="eastAsia" w:ascii="Times New Roman" w:hAnsi="Times New Roman" w:cs="Times New Roman"/>
          <w:b/>
          <w:bCs/>
          <w:lang w:eastAsia="zh-CN"/>
        </w:rPr>
        <w:t>Fig. S3</w:t>
      </w:r>
      <w:r>
        <w:rPr>
          <w:rFonts w:ascii="Times New Roman" w:hAnsi="Times New Roman" w:cs="Times New Roman"/>
          <w:lang w:eastAsia="zh-CN"/>
        </w:rPr>
        <w:t xml:space="preserve"> </w:t>
      </w:r>
      <w:r>
        <w:rPr>
          <w:rFonts w:hint="eastAsia" w:ascii="Times New Roman" w:hAnsi="Times New Roman" w:cs="Times New Roman"/>
          <w:lang w:eastAsia="zh-CN"/>
        </w:rPr>
        <w:t>The spearman</w:t>
      </w:r>
      <w:r>
        <w:rPr>
          <w:rFonts w:hint="default" w:ascii="Times New Roman" w:hAnsi="Times New Roman" w:cs="Times New Roman"/>
          <w:lang w:val="en-US" w:eastAsia="zh-CN"/>
        </w:rPr>
        <w:t>’</w:t>
      </w:r>
      <w:r>
        <w:rPr>
          <w:rFonts w:hint="eastAsia" w:ascii="Times New Roman" w:hAnsi="Times New Roman" w:cs="Times New Roman"/>
          <w:lang w:val="en-US" w:eastAsia="zh-CN"/>
        </w:rPr>
        <w:t>s</w:t>
      </w:r>
      <w:r>
        <w:rPr>
          <w:rFonts w:hint="eastAsia" w:ascii="Times New Roman" w:hAnsi="Times New Roman" w:cs="Times New Roman"/>
          <w:lang w:eastAsia="zh-CN"/>
        </w:rPr>
        <w:t xml:space="preserve"> correlation analysis of synaptic connection strength value and symptom scale score. </w:t>
      </w:r>
      <w:r>
        <w:rPr>
          <w:rFonts w:hint="eastAsia" w:ascii="Times New Roman" w:hAnsi="Times New Roman" w:cs="Times New Roman"/>
          <w:lang w:val="en-US" w:eastAsia="zh-CN"/>
        </w:rPr>
        <w:t>p</w:t>
      </w:r>
      <w:r>
        <w:rPr>
          <w:rFonts w:hint="eastAsia" w:ascii="Times New Roman" w:hAnsi="Times New Roman" w:cs="Times New Roman"/>
          <w:lang w:eastAsia="zh-CN"/>
        </w:rPr>
        <w:t xml:space="preserve"> indicates the significance. ** and * represent the significance levels of 1% and 5%, respectively.</w:t>
      </w:r>
    </w:p>
    <w:p>
      <w:pPr>
        <w:spacing w:line="480" w:lineRule="auto"/>
        <w:jc w:val="center"/>
      </w:pPr>
      <w:r>
        <w:drawing>
          <wp:inline distT="0" distB="0" distL="114300" distR="114300">
            <wp:extent cx="4779010" cy="7991475"/>
            <wp:effectExtent l="0" t="0" r="2540" b="9525"/>
            <wp:docPr id="9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21"/>
                    <pic:cNvPicPr>
                      <a:picLocks noChangeAspect="1"/>
                    </pic:cNvPicPr>
                  </pic:nvPicPr>
                  <pic:blipFill>
                    <a:blip r:embed="rId8"/>
                    <a:stretch>
                      <a:fillRect/>
                    </a:stretch>
                  </pic:blipFill>
                  <pic:spPr>
                    <a:xfrm>
                      <a:off x="0" y="0"/>
                      <a:ext cx="4779010" cy="7991475"/>
                    </a:xfrm>
                    <a:prstGeom prst="rect">
                      <a:avLst/>
                    </a:prstGeom>
                  </pic:spPr>
                </pic:pic>
              </a:graphicData>
            </a:graphic>
          </wp:inline>
        </w:drawing>
      </w:r>
    </w:p>
    <w:p>
      <w:pPr>
        <w:spacing w:line="480" w:lineRule="auto"/>
        <w:jc w:val="center"/>
      </w:pPr>
      <w:r>
        <w:drawing>
          <wp:inline distT="0" distB="0" distL="114300" distR="114300">
            <wp:extent cx="5204460" cy="8933815"/>
            <wp:effectExtent l="0" t="0" r="15240" b="635"/>
            <wp:docPr id="9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16"/>
                    <pic:cNvPicPr>
                      <a:picLocks noChangeAspect="1"/>
                    </pic:cNvPicPr>
                  </pic:nvPicPr>
                  <pic:blipFill>
                    <a:blip r:embed="rId9"/>
                    <a:stretch>
                      <a:fillRect/>
                    </a:stretch>
                  </pic:blipFill>
                  <pic:spPr>
                    <a:xfrm>
                      <a:off x="0" y="0"/>
                      <a:ext cx="5204460" cy="8933815"/>
                    </a:xfrm>
                    <a:prstGeom prst="rect">
                      <a:avLst/>
                    </a:prstGeom>
                  </pic:spPr>
                </pic:pic>
              </a:graphicData>
            </a:graphic>
          </wp:inline>
        </w:drawing>
      </w:r>
    </w:p>
    <w:p>
      <w:pPr>
        <w:spacing w:line="480" w:lineRule="auto"/>
        <w:jc w:val="center"/>
      </w:pPr>
      <w:r>
        <w:drawing>
          <wp:inline distT="0" distB="0" distL="114300" distR="114300">
            <wp:extent cx="5208270" cy="8949690"/>
            <wp:effectExtent l="0" t="0" r="11430" b="3810"/>
            <wp:docPr id="9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19"/>
                    <pic:cNvPicPr>
                      <a:picLocks noChangeAspect="1"/>
                    </pic:cNvPicPr>
                  </pic:nvPicPr>
                  <pic:blipFill>
                    <a:blip r:embed="rId10"/>
                    <a:srcRect t="354"/>
                    <a:stretch>
                      <a:fillRect/>
                    </a:stretch>
                  </pic:blipFill>
                  <pic:spPr>
                    <a:xfrm>
                      <a:off x="0" y="0"/>
                      <a:ext cx="5208270" cy="8949690"/>
                    </a:xfrm>
                    <a:prstGeom prst="rect">
                      <a:avLst/>
                    </a:prstGeom>
                  </pic:spPr>
                </pic:pic>
              </a:graphicData>
            </a:graphic>
          </wp:inline>
        </w:drawing>
      </w:r>
    </w:p>
    <w:p>
      <w:pPr>
        <w:spacing w:line="480" w:lineRule="auto"/>
        <w:jc w:val="center"/>
      </w:pPr>
      <w:r>
        <w:drawing>
          <wp:inline distT="0" distB="0" distL="114300" distR="114300">
            <wp:extent cx="5150485" cy="8912860"/>
            <wp:effectExtent l="0" t="0" r="12065" b="2540"/>
            <wp:docPr id="94"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25"/>
                    <pic:cNvPicPr>
                      <a:picLocks noChangeAspect="1"/>
                    </pic:cNvPicPr>
                  </pic:nvPicPr>
                  <pic:blipFill>
                    <a:blip r:embed="rId11"/>
                    <a:srcRect t="263"/>
                    <a:stretch>
                      <a:fillRect/>
                    </a:stretch>
                  </pic:blipFill>
                  <pic:spPr>
                    <a:xfrm>
                      <a:off x="0" y="0"/>
                      <a:ext cx="5150485" cy="8912860"/>
                    </a:xfrm>
                    <a:prstGeom prst="rect">
                      <a:avLst/>
                    </a:prstGeom>
                  </pic:spPr>
                </pic:pic>
              </a:graphicData>
            </a:graphic>
          </wp:inline>
        </w:drawing>
      </w:r>
    </w:p>
    <w:p>
      <w:pPr>
        <w:spacing w:line="480" w:lineRule="auto"/>
        <w:jc w:val="center"/>
      </w:pPr>
      <w:r>
        <w:drawing>
          <wp:inline distT="0" distB="0" distL="114300" distR="114300">
            <wp:extent cx="5133340" cy="8895715"/>
            <wp:effectExtent l="0" t="0" r="10160" b="635"/>
            <wp:docPr id="96"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27"/>
                    <pic:cNvPicPr>
                      <a:picLocks noChangeAspect="1"/>
                    </pic:cNvPicPr>
                  </pic:nvPicPr>
                  <pic:blipFill>
                    <a:blip r:embed="rId12"/>
                    <a:stretch>
                      <a:fillRect/>
                    </a:stretch>
                  </pic:blipFill>
                  <pic:spPr>
                    <a:xfrm>
                      <a:off x="0" y="0"/>
                      <a:ext cx="5133340" cy="8895715"/>
                    </a:xfrm>
                    <a:prstGeom prst="rect">
                      <a:avLst/>
                    </a:prstGeom>
                  </pic:spPr>
                </pic:pic>
              </a:graphicData>
            </a:graphic>
          </wp:inline>
        </w:drawing>
      </w:r>
    </w:p>
    <w:p>
      <w:pPr>
        <w:spacing w:line="480" w:lineRule="auto"/>
        <w:jc w:val="center"/>
      </w:pPr>
      <w:r>
        <w:drawing>
          <wp:inline distT="0" distB="0" distL="114300" distR="114300">
            <wp:extent cx="5146040" cy="8909685"/>
            <wp:effectExtent l="0" t="0" r="16510" b="5715"/>
            <wp:docPr id="9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16"/>
                    <pic:cNvPicPr>
                      <a:picLocks noChangeAspect="1"/>
                    </pic:cNvPicPr>
                  </pic:nvPicPr>
                  <pic:blipFill>
                    <a:blip r:embed="rId13"/>
                    <a:stretch>
                      <a:fillRect/>
                    </a:stretch>
                  </pic:blipFill>
                  <pic:spPr>
                    <a:xfrm>
                      <a:off x="0" y="0"/>
                      <a:ext cx="5146040" cy="8909685"/>
                    </a:xfrm>
                    <a:prstGeom prst="rect">
                      <a:avLst/>
                    </a:prstGeom>
                  </pic:spPr>
                </pic:pic>
              </a:graphicData>
            </a:graphic>
          </wp:inline>
        </w:drawing>
      </w:r>
    </w:p>
    <w:p>
      <w:pPr>
        <w:spacing w:line="480" w:lineRule="auto"/>
        <w:jc w:val="center"/>
      </w:pPr>
      <w:r>
        <w:drawing>
          <wp:inline distT="0" distB="0" distL="114300" distR="114300">
            <wp:extent cx="4898390" cy="8483600"/>
            <wp:effectExtent l="0" t="0" r="16510" b="12700"/>
            <wp:docPr id="9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16"/>
                    <pic:cNvPicPr>
                      <a:picLocks noChangeAspect="1"/>
                    </pic:cNvPicPr>
                  </pic:nvPicPr>
                  <pic:blipFill>
                    <a:blip r:embed="rId14"/>
                    <a:stretch>
                      <a:fillRect/>
                    </a:stretch>
                  </pic:blipFill>
                  <pic:spPr>
                    <a:xfrm>
                      <a:off x="0" y="0"/>
                      <a:ext cx="4898390" cy="8483600"/>
                    </a:xfrm>
                    <a:prstGeom prst="rect">
                      <a:avLst/>
                    </a:prstGeom>
                  </pic:spPr>
                </pic:pic>
              </a:graphicData>
            </a:graphic>
          </wp:inline>
        </w:drawing>
      </w:r>
    </w:p>
    <w:p>
      <w:pPr>
        <w:spacing w:line="480" w:lineRule="auto"/>
        <w:jc w:val="both"/>
        <w:rPr>
          <w:rFonts w:ascii="Times New Roman" w:hAnsi="Times New Roman" w:cs="Times New Roman"/>
          <w:lang w:eastAsia="zh-CN"/>
        </w:rPr>
      </w:pPr>
      <w:r>
        <w:rPr>
          <w:rFonts w:hint="eastAsia" w:ascii="Times New Roman" w:hAnsi="Times New Roman" w:cs="Times New Roman"/>
          <w:b/>
          <w:bCs/>
          <w:lang w:eastAsia="zh-CN"/>
        </w:rPr>
        <w:t>Fig. S4</w:t>
      </w:r>
      <w:r>
        <w:rPr>
          <w:rFonts w:hint="eastAsia" w:ascii="Times New Roman" w:hAnsi="Times New Roman" w:cs="Times New Roman"/>
          <w:lang w:eastAsia="zh-CN"/>
        </w:rPr>
        <w:t xml:space="preserve"> The spearman</w:t>
      </w:r>
      <w:r>
        <w:rPr>
          <w:rFonts w:hint="default" w:ascii="Times New Roman" w:hAnsi="Times New Roman" w:cs="Times New Roman"/>
          <w:lang w:val="en-US" w:eastAsia="zh-CN"/>
        </w:rPr>
        <w:t>’</w:t>
      </w:r>
      <w:r>
        <w:rPr>
          <w:rFonts w:hint="eastAsia" w:ascii="Times New Roman" w:hAnsi="Times New Roman" w:cs="Times New Roman"/>
          <w:lang w:val="en-US" w:eastAsia="zh-CN"/>
        </w:rPr>
        <w:t>s</w:t>
      </w:r>
      <w:r>
        <w:rPr>
          <w:rFonts w:hint="eastAsia" w:ascii="Times New Roman" w:hAnsi="Times New Roman" w:cs="Times New Roman"/>
          <w:lang w:eastAsia="zh-CN"/>
        </w:rPr>
        <w:t xml:space="preserve"> correlation analysis of synaptic connection strength change value and rate of symptom improvement. R represents the correlation coefficient, and P indicates the significance. ***, ** and * represent the significance levels of 0.1%, 1% and 5%, respectively.</w:t>
      </w:r>
    </w:p>
    <w:p>
      <w:pPr>
        <w:spacing w:line="480" w:lineRule="auto"/>
        <w:jc w:val="both"/>
        <w:rPr>
          <w:lang w:eastAsia="zh-CN"/>
        </w:rPr>
      </w:pPr>
      <w:r>
        <w:rPr>
          <w:rFonts w:hint="eastAsia"/>
          <w:lang w:eastAsia="zh-CN"/>
        </w:rPr>
        <w:drawing>
          <wp:inline distT="0" distB="0" distL="114300" distR="114300">
            <wp:extent cx="6334760" cy="2010410"/>
            <wp:effectExtent l="0" t="0" r="8890" b="8890"/>
            <wp:docPr id="46" name="图片 46" descr="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01"/>
                    <pic:cNvPicPr>
                      <a:picLocks noChangeAspect="1"/>
                    </pic:cNvPicPr>
                  </pic:nvPicPr>
                  <pic:blipFill>
                    <a:blip r:embed="rId15"/>
                    <a:stretch>
                      <a:fillRect/>
                    </a:stretch>
                  </pic:blipFill>
                  <pic:spPr>
                    <a:xfrm>
                      <a:off x="0" y="0"/>
                      <a:ext cx="6334760" cy="2010410"/>
                    </a:xfrm>
                    <a:prstGeom prst="rect">
                      <a:avLst/>
                    </a:prstGeom>
                  </pic:spPr>
                </pic:pic>
              </a:graphicData>
            </a:graphic>
          </wp:inline>
        </w:drawing>
      </w:r>
      <w:r>
        <w:rPr>
          <w:rFonts w:hint="eastAsia"/>
          <w:lang w:eastAsia="zh-CN"/>
        </w:rPr>
        <w:drawing>
          <wp:inline distT="0" distB="0" distL="114300" distR="114300">
            <wp:extent cx="6329680" cy="2018665"/>
            <wp:effectExtent l="0" t="0" r="13970" b="635"/>
            <wp:docPr id="45" name="图片 45" descr="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02"/>
                    <pic:cNvPicPr>
                      <a:picLocks noChangeAspect="1"/>
                    </pic:cNvPicPr>
                  </pic:nvPicPr>
                  <pic:blipFill>
                    <a:blip r:embed="rId16"/>
                    <a:stretch>
                      <a:fillRect/>
                    </a:stretch>
                  </pic:blipFill>
                  <pic:spPr>
                    <a:xfrm>
                      <a:off x="0" y="0"/>
                      <a:ext cx="6329680" cy="2018665"/>
                    </a:xfrm>
                    <a:prstGeom prst="rect">
                      <a:avLst/>
                    </a:prstGeom>
                  </pic:spPr>
                </pic:pic>
              </a:graphicData>
            </a:graphic>
          </wp:inline>
        </w:drawing>
      </w:r>
      <w:r>
        <w:rPr>
          <w:rFonts w:hint="eastAsia"/>
          <w:lang w:eastAsia="zh-CN"/>
        </w:rPr>
        <w:drawing>
          <wp:inline distT="0" distB="0" distL="114300" distR="114300">
            <wp:extent cx="6335395" cy="2014855"/>
            <wp:effectExtent l="0" t="0" r="8255" b="4445"/>
            <wp:docPr id="44" name="图片 44" descr="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03"/>
                    <pic:cNvPicPr>
                      <a:picLocks noChangeAspect="1"/>
                    </pic:cNvPicPr>
                  </pic:nvPicPr>
                  <pic:blipFill>
                    <a:blip r:embed="rId17"/>
                    <a:stretch>
                      <a:fillRect/>
                    </a:stretch>
                  </pic:blipFill>
                  <pic:spPr>
                    <a:xfrm>
                      <a:off x="0" y="0"/>
                      <a:ext cx="6335395" cy="2014855"/>
                    </a:xfrm>
                    <a:prstGeom prst="rect">
                      <a:avLst/>
                    </a:prstGeom>
                  </pic:spPr>
                </pic:pic>
              </a:graphicData>
            </a:graphic>
          </wp:inline>
        </w:drawing>
      </w:r>
      <w:r>
        <w:rPr>
          <w:rFonts w:hint="eastAsia"/>
          <w:lang w:eastAsia="zh-CN"/>
        </w:rPr>
        <w:drawing>
          <wp:inline distT="0" distB="0" distL="114300" distR="114300">
            <wp:extent cx="6335395" cy="2014855"/>
            <wp:effectExtent l="0" t="0" r="8255" b="4445"/>
            <wp:docPr id="43" name="图片 43" descr="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04"/>
                    <pic:cNvPicPr>
                      <a:picLocks noChangeAspect="1"/>
                    </pic:cNvPicPr>
                  </pic:nvPicPr>
                  <pic:blipFill>
                    <a:blip r:embed="rId18"/>
                    <a:stretch>
                      <a:fillRect/>
                    </a:stretch>
                  </pic:blipFill>
                  <pic:spPr>
                    <a:xfrm>
                      <a:off x="0" y="0"/>
                      <a:ext cx="6335395" cy="2014855"/>
                    </a:xfrm>
                    <a:prstGeom prst="rect">
                      <a:avLst/>
                    </a:prstGeom>
                  </pic:spPr>
                </pic:pic>
              </a:graphicData>
            </a:graphic>
          </wp:inline>
        </w:drawing>
      </w:r>
      <w:r>
        <w:rPr>
          <w:rFonts w:hint="eastAsia"/>
          <w:lang w:eastAsia="zh-CN"/>
        </w:rPr>
        <w:drawing>
          <wp:inline distT="0" distB="0" distL="114300" distR="114300">
            <wp:extent cx="6335395" cy="2014855"/>
            <wp:effectExtent l="0" t="0" r="8255" b="4445"/>
            <wp:docPr id="42" name="图片 42"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05"/>
                    <pic:cNvPicPr>
                      <a:picLocks noChangeAspect="1"/>
                    </pic:cNvPicPr>
                  </pic:nvPicPr>
                  <pic:blipFill>
                    <a:blip r:embed="rId19"/>
                    <a:stretch>
                      <a:fillRect/>
                    </a:stretch>
                  </pic:blipFill>
                  <pic:spPr>
                    <a:xfrm>
                      <a:off x="0" y="0"/>
                      <a:ext cx="6335395" cy="2014855"/>
                    </a:xfrm>
                    <a:prstGeom prst="rect">
                      <a:avLst/>
                    </a:prstGeom>
                  </pic:spPr>
                </pic:pic>
              </a:graphicData>
            </a:graphic>
          </wp:inline>
        </w:drawing>
      </w:r>
      <w:r>
        <w:rPr>
          <w:rFonts w:hint="eastAsia"/>
          <w:lang w:eastAsia="zh-CN"/>
        </w:rPr>
        <w:drawing>
          <wp:inline distT="0" distB="0" distL="114300" distR="114300">
            <wp:extent cx="6334760" cy="2011680"/>
            <wp:effectExtent l="0" t="0" r="8890" b="7620"/>
            <wp:docPr id="41" name="图片 41" descr="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06"/>
                    <pic:cNvPicPr>
                      <a:picLocks noChangeAspect="1"/>
                    </pic:cNvPicPr>
                  </pic:nvPicPr>
                  <pic:blipFill>
                    <a:blip r:embed="rId20"/>
                    <a:stretch>
                      <a:fillRect/>
                    </a:stretch>
                  </pic:blipFill>
                  <pic:spPr>
                    <a:xfrm>
                      <a:off x="0" y="0"/>
                      <a:ext cx="6334760" cy="2011680"/>
                    </a:xfrm>
                    <a:prstGeom prst="rect">
                      <a:avLst/>
                    </a:prstGeom>
                  </pic:spPr>
                </pic:pic>
              </a:graphicData>
            </a:graphic>
          </wp:inline>
        </w:drawing>
      </w:r>
      <w:r>
        <w:rPr>
          <w:rFonts w:hint="eastAsia"/>
          <w:lang w:eastAsia="zh-CN"/>
        </w:rPr>
        <w:drawing>
          <wp:inline distT="0" distB="0" distL="114300" distR="114300">
            <wp:extent cx="6332855" cy="2014220"/>
            <wp:effectExtent l="0" t="0" r="10795" b="5080"/>
            <wp:docPr id="40" name="图片 40" descr="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07"/>
                    <pic:cNvPicPr>
                      <a:picLocks noChangeAspect="1"/>
                    </pic:cNvPicPr>
                  </pic:nvPicPr>
                  <pic:blipFill>
                    <a:blip r:embed="rId21"/>
                    <a:stretch>
                      <a:fillRect/>
                    </a:stretch>
                  </pic:blipFill>
                  <pic:spPr>
                    <a:xfrm>
                      <a:off x="0" y="0"/>
                      <a:ext cx="6332855" cy="2014220"/>
                    </a:xfrm>
                    <a:prstGeom prst="rect">
                      <a:avLst/>
                    </a:prstGeom>
                  </pic:spPr>
                </pic:pic>
              </a:graphicData>
            </a:graphic>
          </wp:inline>
        </w:drawing>
      </w:r>
      <w:r>
        <w:rPr>
          <w:rFonts w:hint="eastAsia"/>
          <w:lang w:eastAsia="zh-CN"/>
        </w:rPr>
        <w:drawing>
          <wp:inline distT="0" distB="0" distL="114300" distR="114300">
            <wp:extent cx="6331585" cy="1995170"/>
            <wp:effectExtent l="0" t="0" r="12065" b="5080"/>
            <wp:docPr id="39" name="图片 39" descr="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08"/>
                    <pic:cNvPicPr>
                      <a:picLocks noChangeAspect="1"/>
                    </pic:cNvPicPr>
                  </pic:nvPicPr>
                  <pic:blipFill>
                    <a:blip r:embed="rId22"/>
                    <a:stretch>
                      <a:fillRect/>
                    </a:stretch>
                  </pic:blipFill>
                  <pic:spPr>
                    <a:xfrm>
                      <a:off x="0" y="0"/>
                      <a:ext cx="6331585" cy="1995170"/>
                    </a:xfrm>
                    <a:prstGeom prst="rect">
                      <a:avLst/>
                    </a:prstGeom>
                  </pic:spPr>
                </pic:pic>
              </a:graphicData>
            </a:graphic>
          </wp:inline>
        </w:drawing>
      </w:r>
      <w:r>
        <w:rPr>
          <w:rFonts w:hint="eastAsia"/>
          <w:lang w:eastAsia="zh-CN"/>
        </w:rPr>
        <w:drawing>
          <wp:inline distT="0" distB="0" distL="114300" distR="114300">
            <wp:extent cx="6335395" cy="2009775"/>
            <wp:effectExtent l="0" t="0" r="8255" b="9525"/>
            <wp:docPr id="38" name="图片 38" descr="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09"/>
                    <pic:cNvPicPr>
                      <a:picLocks noChangeAspect="1"/>
                    </pic:cNvPicPr>
                  </pic:nvPicPr>
                  <pic:blipFill>
                    <a:blip r:embed="rId23"/>
                    <a:stretch>
                      <a:fillRect/>
                    </a:stretch>
                  </pic:blipFill>
                  <pic:spPr>
                    <a:xfrm>
                      <a:off x="0" y="0"/>
                      <a:ext cx="6335395" cy="2009775"/>
                    </a:xfrm>
                    <a:prstGeom prst="rect">
                      <a:avLst/>
                    </a:prstGeom>
                  </pic:spPr>
                </pic:pic>
              </a:graphicData>
            </a:graphic>
          </wp:inline>
        </w:drawing>
      </w:r>
      <w:r>
        <w:rPr>
          <w:rFonts w:hint="eastAsia"/>
          <w:lang w:eastAsia="zh-CN"/>
        </w:rPr>
        <w:drawing>
          <wp:inline distT="0" distB="0" distL="114300" distR="114300">
            <wp:extent cx="6330950" cy="2150110"/>
            <wp:effectExtent l="0" t="0" r="12700" b="2540"/>
            <wp:docPr id="37" name="图片 37"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10"/>
                    <pic:cNvPicPr>
                      <a:picLocks noChangeAspect="1"/>
                    </pic:cNvPicPr>
                  </pic:nvPicPr>
                  <pic:blipFill>
                    <a:blip r:embed="rId24"/>
                    <a:stretch>
                      <a:fillRect/>
                    </a:stretch>
                  </pic:blipFill>
                  <pic:spPr>
                    <a:xfrm>
                      <a:off x="0" y="0"/>
                      <a:ext cx="6330950" cy="2150110"/>
                    </a:xfrm>
                    <a:prstGeom prst="rect">
                      <a:avLst/>
                    </a:prstGeom>
                  </pic:spPr>
                </pic:pic>
              </a:graphicData>
            </a:graphic>
          </wp:inline>
        </w:drawing>
      </w:r>
      <w:r>
        <w:rPr>
          <w:rFonts w:hint="eastAsia"/>
          <w:lang w:eastAsia="zh-CN"/>
        </w:rPr>
        <w:drawing>
          <wp:inline distT="0" distB="0" distL="114300" distR="114300">
            <wp:extent cx="6332855" cy="2000885"/>
            <wp:effectExtent l="0" t="0" r="10795" b="18415"/>
            <wp:docPr id="36" name="图片 36"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11"/>
                    <pic:cNvPicPr>
                      <a:picLocks noChangeAspect="1"/>
                    </pic:cNvPicPr>
                  </pic:nvPicPr>
                  <pic:blipFill>
                    <a:blip r:embed="rId25"/>
                    <a:stretch>
                      <a:fillRect/>
                    </a:stretch>
                  </pic:blipFill>
                  <pic:spPr>
                    <a:xfrm>
                      <a:off x="0" y="0"/>
                      <a:ext cx="6332855" cy="2000885"/>
                    </a:xfrm>
                    <a:prstGeom prst="rect">
                      <a:avLst/>
                    </a:prstGeom>
                  </pic:spPr>
                </pic:pic>
              </a:graphicData>
            </a:graphic>
          </wp:inline>
        </w:drawing>
      </w:r>
      <w:r>
        <w:rPr>
          <w:rFonts w:hint="eastAsia"/>
          <w:lang w:eastAsia="zh-CN"/>
        </w:rPr>
        <w:drawing>
          <wp:inline distT="0" distB="0" distL="114300" distR="114300">
            <wp:extent cx="6332220" cy="2004695"/>
            <wp:effectExtent l="0" t="0" r="11430" b="14605"/>
            <wp:docPr id="35" name="图片 35"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12"/>
                    <pic:cNvPicPr>
                      <a:picLocks noChangeAspect="1"/>
                    </pic:cNvPicPr>
                  </pic:nvPicPr>
                  <pic:blipFill>
                    <a:blip r:embed="rId26"/>
                    <a:stretch>
                      <a:fillRect/>
                    </a:stretch>
                  </pic:blipFill>
                  <pic:spPr>
                    <a:xfrm>
                      <a:off x="0" y="0"/>
                      <a:ext cx="6332220" cy="2004695"/>
                    </a:xfrm>
                    <a:prstGeom prst="rect">
                      <a:avLst/>
                    </a:prstGeom>
                  </pic:spPr>
                </pic:pic>
              </a:graphicData>
            </a:graphic>
          </wp:inline>
        </w:drawing>
      </w:r>
      <w:r>
        <w:rPr>
          <w:rFonts w:hint="eastAsia"/>
          <w:lang w:eastAsia="zh-CN"/>
        </w:rPr>
        <w:drawing>
          <wp:inline distT="0" distB="0" distL="114300" distR="114300">
            <wp:extent cx="6332855" cy="1958975"/>
            <wp:effectExtent l="0" t="0" r="10795" b="3175"/>
            <wp:docPr id="34" name="图片 34"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13"/>
                    <pic:cNvPicPr>
                      <a:picLocks noChangeAspect="1"/>
                    </pic:cNvPicPr>
                  </pic:nvPicPr>
                  <pic:blipFill>
                    <a:blip r:embed="rId27"/>
                    <a:stretch>
                      <a:fillRect/>
                    </a:stretch>
                  </pic:blipFill>
                  <pic:spPr>
                    <a:xfrm>
                      <a:off x="0" y="0"/>
                      <a:ext cx="6332855" cy="1958975"/>
                    </a:xfrm>
                    <a:prstGeom prst="rect">
                      <a:avLst/>
                    </a:prstGeom>
                  </pic:spPr>
                </pic:pic>
              </a:graphicData>
            </a:graphic>
          </wp:inline>
        </w:drawing>
      </w:r>
      <w:r>
        <w:rPr>
          <w:rFonts w:hint="eastAsia"/>
          <w:lang w:eastAsia="zh-CN"/>
        </w:rPr>
        <w:drawing>
          <wp:inline distT="0" distB="0" distL="114300" distR="114300">
            <wp:extent cx="6335395" cy="2009775"/>
            <wp:effectExtent l="0" t="0" r="8255" b="9525"/>
            <wp:docPr id="33" name="图片 33" descr="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14"/>
                    <pic:cNvPicPr>
                      <a:picLocks noChangeAspect="1"/>
                    </pic:cNvPicPr>
                  </pic:nvPicPr>
                  <pic:blipFill>
                    <a:blip r:embed="rId28"/>
                    <a:stretch>
                      <a:fillRect/>
                    </a:stretch>
                  </pic:blipFill>
                  <pic:spPr>
                    <a:xfrm>
                      <a:off x="0" y="0"/>
                      <a:ext cx="6335395" cy="2009775"/>
                    </a:xfrm>
                    <a:prstGeom prst="rect">
                      <a:avLst/>
                    </a:prstGeom>
                  </pic:spPr>
                </pic:pic>
              </a:graphicData>
            </a:graphic>
          </wp:inline>
        </w:drawing>
      </w:r>
      <w:r>
        <w:rPr>
          <w:rFonts w:hint="eastAsia"/>
          <w:lang w:eastAsia="zh-CN"/>
        </w:rPr>
        <w:drawing>
          <wp:inline distT="0" distB="0" distL="114300" distR="114300">
            <wp:extent cx="6332855" cy="2032000"/>
            <wp:effectExtent l="0" t="0" r="10795" b="6350"/>
            <wp:docPr id="32" name="图片 32" descr="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15"/>
                    <pic:cNvPicPr>
                      <a:picLocks noChangeAspect="1"/>
                    </pic:cNvPicPr>
                  </pic:nvPicPr>
                  <pic:blipFill>
                    <a:blip r:embed="rId29"/>
                    <a:stretch>
                      <a:fillRect/>
                    </a:stretch>
                  </pic:blipFill>
                  <pic:spPr>
                    <a:xfrm>
                      <a:off x="0" y="0"/>
                      <a:ext cx="6332855" cy="2032000"/>
                    </a:xfrm>
                    <a:prstGeom prst="rect">
                      <a:avLst/>
                    </a:prstGeom>
                  </pic:spPr>
                </pic:pic>
              </a:graphicData>
            </a:graphic>
          </wp:inline>
        </w:drawing>
      </w:r>
      <w:r>
        <w:rPr>
          <w:rFonts w:hint="eastAsia"/>
          <w:lang w:eastAsia="zh-CN"/>
        </w:rPr>
        <w:drawing>
          <wp:inline distT="0" distB="0" distL="114300" distR="114300">
            <wp:extent cx="6334760" cy="1995170"/>
            <wp:effectExtent l="0" t="0" r="8890" b="5080"/>
            <wp:docPr id="31" name="图片 31" descr="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16"/>
                    <pic:cNvPicPr>
                      <a:picLocks noChangeAspect="1"/>
                    </pic:cNvPicPr>
                  </pic:nvPicPr>
                  <pic:blipFill>
                    <a:blip r:embed="rId30"/>
                    <a:stretch>
                      <a:fillRect/>
                    </a:stretch>
                  </pic:blipFill>
                  <pic:spPr>
                    <a:xfrm>
                      <a:off x="0" y="0"/>
                      <a:ext cx="6334760" cy="1995170"/>
                    </a:xfrm>
                    <a:prstGeom prst="rect">
                      <a:avLst/>
                    </a:prstGeom>
                  </pic:spPr>
                </pic:pic>
              </a:graphicData>
            </a:graphic>
          </wp:inline>
        </w:drawing>
      </w:r>
      <w:r>
        <w:rPr>
          <w:rFonts w:hint="eastAsia"/>
          <w:lang w:eastAsia="zh-CN"/>
        </w:rPr>
        <w:drawing>
          <wp:inline distT="0" distB="0" distL="114300" distR="114300">
            <wp:extent cx="6332855" cy="1968500"/>
            <wp:effectExtent l="0" t="0" r="10795" b="12700"/>
            <wp:docPr id="30" name="图片 30"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17"/>
                    <pic:cNvPicPr>
                      <a:picLocks noChangeAspect="1"/>
                    </pic:cNvPicPr>
                  </pic:nvPicPr>
                  <pic:blipFill>
                    <a:blip r:embed="rId31"/>
                    <a:stretch>
                      <a:fillRect/>
                    </a:stretch>
                  </pic:blipFill>
                  <pic:spPr>
                    <a:xfrm>
                      <a:off x="0" y="0"/>
                      <a:ext cx="6332855" cy="1968500"/>
                    </a:xfrm>
                    <a:prstGeom prst="rect">
                      <a:avLst/>
                    </a:prstGeom>
                  </pic:spPr>
                </pic:pic>
              </a:graphicData>
            </a:graphic>
          </wp:inline>
        </w:drawing>
      </w:r>
      <w:r>
        <w:rPr>
          <w:rFonts w:hint="eastAsia"/>
          <w:lang w:eastAsia="zh-CN"/>
        </w:rPr>
        <w:drawing>
          <wp:inline distT="0" distB="0" distL="114300" distR="114300">
            <wp:extent cx="6329680" cy="1999615"/>
            <wp:effectExtent l="0" t="0" r="13970" b="635"/>
            <wp:docPr id="29" name="图片 29" descr="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18"/>
                    <pic:cNvPicPr>
                      <a:picLocks noChangeAspect="1"/>
                    </pic:cNvPicPr>
                  </pic:nvPicPr>
                  <pic:blipFill>
                    <a:blip r:embed="rId32"/>
                    <a:stretch>
                      <a:fillRect/>
                    </a:stretch>
                  </pic:blipFill>
                  <pic:spPr>
                    <a:xfrm>
                      <a:off x="0" y="0"/>
                      <a:ext cx="6329680" cy="1999615"/>
                    </a:xfrm>
                    <a:prstGeom prst="rect">
                      <a:avLst/>
                    </a:prstGeom>
                  </pic:spPr>
                </pic:pic>
              </a:graphicData>
            </a:graphic>
          </wp:inline>
        </w:drawing>
      </w:r>
      <w:r>
        <w:rPr>
          <w:rFonts w:hint="eastAsia"/>
          <w:lang w:eastAsia="zh-CN"/>
        </w:rPr>
        <w:drawing>
          <wp:inline distT="0" distB="0" distL="114300" distR="114300">
            <wp:extent cx="6329680" cy="2002155"/>
            <wp:effectExtent l="0" t="0" r="13970" b="17145"/>
            <wp:docPr id="28" name="图片 28" descr="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19"/>
                    <pic:cNvPicPr>
                      <a:picLocks noChangeAspect="1"/>
                    </pic:cNvPicPr>
                  </pic:nvPicPr>
                  <pic:blipFill>
                    <a:blip r:embed="rId33"/>
                    <a:stretch>
                      <a:fillRect/>
                    </a:stretch>
                  </pic:blipFill>
                  <pic:spPr>
                    <a:xfrm>
                      <a:off x="0" y="0"/>
                      <a:ext cx="6329680" cy="2002155"/>
                    </a:xfrm>
                    <a:prstGeom prst="rect">
                      <a:avLst/>
                    </a:prstGeom>
                  </pic:spPr>
                </pic:pic>
              </a:graphicData>
            </a:graphic>
          </wp:inline>
        </w:drawing>
      </w:r>
      <w:r>
        <w:rPr>
          <w:rFonts w:hint="eastAsia"/>
          <w:lang w:eastAsia="zh-CN"/>
        </w:rPr>
        <w:drawing>
          <wp:inline distT="0" distB="0" distL="114300" distR="114300">
            <wp:extent cx="6335395" cy="2006600"/>
            <wp:effectExtent l="0" t="0" r="8255" b="12700"/>
            <wp:docPr id="27" name="图片 27"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20"/>
                    <pic:cNvPicPr>
                      <a:picLocks noChangeAspect="1"/>
                    </pic:cNvPicPr>
                  </pic:nvPicPr>
                  <pic:blipFill>
                    <a:blip r:embed="rId34"/>
                    <a:stretch>
                      <a:fillRect/>
                    </a:stretch>
                  </pic:blipFill>
                  <pic:spPr>
                    <a:xfrm>
                      <a:off x="0" y="0"/>
                      <a:ext cx="6335395" cy="2006600"/>
                    </a:xfrm>
                    <a:prstGeom prst="rect">
                      <a:avLst/>
                    </a:prstGeom>
                  </pic:spPr>
                </pic:pic>
              </a:graphicData>
            </a:graphic>
          </wp:inline>
        </w:drawing>
      </w:r>
      <w:r>
        <w:rPr>
          <w:rFonts w:hint="eastAsia"/>
          <w:lang w:eastAsia="zh-CN"/>
        </w:rPr>
        <w:drawing>
          <wp:inline distT="0" distB="0" distL="114300" distR="114300">
            <wp:extent cx="6335395" cy="1997075"/>
            <wp:effectExtent l="0" t="0" r="8255" b="3175"/>
            <wp:docPr id="26" name="图片 26"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21"/>
                    <pic:cNvPicPr>
                      <a:picLocks noChangeAspect="1"/>
                    </pic:cNvPicPr>
                  </pic:nvPicPr>
                  <pic:blipFill>
                    <a:blip r:embed="rId35"/>
                    <a:stretch>
                      <a:fillRect/>
                    </a:stretch>
                  </pic:blipFill>
                  <pic:spPr>
                    <a:xfrm>
                      <a:off x="0" y="0"/>
                      <a:ext cx="6335395" cy="1997075"/>
                    </a:xfrm>
                    <a:prstGeom prst="rect">
                      <a:avLst/>
                    </a:prstGeom>
                  </pic:spPr>
                </pic:pic>
              </a:graphicData>
            </a:graphic>
          </wp:inline>
        </w:drawing>
      </w:r>
    </w:p>
    <w:p>
      <w:pPr>
        <w:spacing w:line="480" w:lineRule="auto"/>
        <w:jc w:val="both"/>
        <w:rPr>
          <w:lang w:eastAsia="zh-CN"/>
        </w:rPr>
      </w:pPr>
      <w:r>
        <w:rPr>
          <w:rFonts w:hint="eastAsia"/>
          <w:lang w:eastAsia="zh-CN"/>
        </w:rPr>
        <w:drawing>
          <wp:inline distT="0" distB="0" distL="114300" distR="114300">
            <wp:extent cx="6329680" cy="2002155"/>
            <wp:effectExtent l="0" t="0" r="13970" b="17145"/>
            <wp:docPr id="83" name="图片 83" descr="姿势平稳度替换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姿势平稳度替换图"/>
                    <pic:cNvPicPr>
                      <a:picLocks noChangeAspect="1"/>
                    </pic:cNvPicPr>
                  </pic:nvPicPr>
                  <pic:blipFill>
                    <a:blip r:embed="rId36"/>
                    <a:stretch>
                      <a:fillRect/>
                    </a:stretch>
                  </pic:blipFill>
                  <pic:spPr>
                    <a:xfrm>
                      <a:off x="0" y="0"/>
                      <a:ext cx="6329680" cy="2002155"/>
                    </a:xfrm>
                    <a:prstGeom prst="rect">
                      <a:avLst/>
                    </a:prstGeom>
                  </pic:spPr>
                </pic:pic>
              </a:graphicData>
            </a:graphic>
          </wp:inline>
        </w:drawing>
      </w:r>
      <w:r>
        <w:rPr>
          <w:rFonts w:hint="eastAsia"/>
          <w:lang w:eastAsia="zh-CN"/>
        </w:rPr>
        <w:drawing>
          <wp:inline distT="0" distB="0" distL="114300" distR="114300">
            <wp:extent cx="6329680" cy="2010410"/>
            <wp:effectExtent l="0" t="0" r="13970" b="8890"/>
            <wp:docPr id="24" name="图片 24" descr="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23"/>
                    <pic:cNvPicPr>
                      <a:picLocks noChangeAspect="1"/>
                    </pic:cNvPicPr>
                  </pic:nvPicPr>
                  <pic:blipFill>
                    <a:blip r:embed="rId37"/>
                    <a:stretch>
                      <a:fillRect/>
                    </a:stretch>
                  </pic:blipFill>
                  <pic:spPr>
                    <a:xfrm>
                      <a:off x="0" y="0"/>
                      <a:ext cx="6329680" cy="2010410"/>
                    </a:xfrm>
                    <a:prstGeom prst="rect">
                      <a:avLst/>
                    </a:prstGeom>
                  </pic:spPr>
                </pic:pic>
              </a:graphicData>
            </a:graphic>
          </wp:inline>
        </w:drawing>
      </w:r>
      <w:r>
        <w:rPr>
          <w:rFonts w:hint="eastAsia"/>
          <w:lang w:eastAsia="zh-CN"/>
        </w:rPr>
        <w:drawing>
          <wp:inline distT="0" distB="0" distL="114300" distR="114300">
            <wp:extent cx="6334125" cy="2006600"/>
            <wp:effectExtent l="0" t="0" r="9525" b="12700"/>
            <wp:docPr id="23" name="图片 23" descr="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24"/>
                    <pic:cNvPicPr>
                      <a:picLocks noChangeAspect="1"/>
                    </pic:cNvPicPr>
                  </pic:nvPicPr>
                  <pic:blipFill>
                    <a:blip r:embed="rId38"/>
                    <a:stretch>
                      <a:fillRect/>
                    </a:stretch>
                  </pic:blipFill>
                  <pic:spPr>
                    <a:xfrm>
                      <a:off x="0" y="0"/>
                      <a:ext cx="6334125" cy="2006600"/>
                    </a:xfrm>
                    <a:prstGeom prst="rect">
                      <a:avLst/>
                    </a:prstGeom>
                  </pic:spPr>
                </pic:pic>
              </a:graphicData>
            </a:graphic>
          </wp:inline>
        </w:drawing>
      </w:r>
      <w:r>
        <w:rPr>
          <w:rFonts w:hint="eastAsia"/>
          <w:lang w:eastAsia="zh-CN"/>
        </w:rPr>
        <w:drawing>
          <wp:inline distT="0" distB="0" distL="114300" distR="114300">
            <wp:extent cx="6330315" cy="2016125"/>
            <wp:effectExtent l="0" t="0" r="13335" b="3175"/>
            <wp:docPr id="22" name="图片 22" descr="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25"/>
                    <pic:cNvPicPr>
                      <a:picLocks noChangeAspect="1"/>
                    </pic:cNvPicPr>
                  </pic:nvPicPr>
                  <pic:blipFill>
                    <a:blip r:embed="rId39"/>
                    <a:stretch>
                      <a:fillRect/>
                    </a:stretch>
                  </pic:blipFill>
                  <pic:spPr>
                    <a:xfrm>
                      <a:off x="0" y="0"/>
                      <a:ext cx="6330315" cy="2016125"/>
                    </a:xfrm>
                    <a:prstGeom prst="rect">
                      <a:avLst/>
                    </a:prstGeom>
                  </pic:spPr>
                </pic:pic>
              </a:graphicData>
            </a:graphic>
          </wp:inline>
        </w:drawing>
      </w:r>
      <w:r>
        <w:rPr>
          <w:rFonts w:hint="eastAsia"/>
          <w:lang w:eastAsia="zh-CN"/>
        </w:rPr>
        <w:drawing>
          <wp:inline distT="0" distB="0" distL="114300" distR="114300">
            <wp:extent cx="6331585" cy="1995170"/>
            <wp:effectExtent l="0" t="0" r="12065" b="5080"/>
            <wp:docPr id="21" name="图片 21" descr="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26"/>
                    <pic:cNvPicPr>
                      <a:picLocks noChangeAspect="1"/>
                    </pic:cNvPicPr>
                  </pic:nvPicPr>
                  <pic:blipFill>
                    <a:blip r:embed="rId40"/>
                    <a:stretch>
                      <a:fillRect/>
                    </a:stretch>
                  </pic:blipFill>
                  <pic:spPr>
                    <a:xfrm>
                      <a:off x="0" y="0"/>
                      <a:ext cx="6331585" cy="1995170"/>
                    </a:xfrm>
                    <a:prstGeom prst="rect">
                      <a:avLst/>
                    </a:prstGeom>
                  </pic:spPr>
                </pic:pic>
              </a:graphicData>
            </a:graphic>
          </wp:inline>
        </w:drawing>
      </w:r>
      <w:r>
        <w:rPr>
          <w:rFonts w:hint="eastAsia"/>
          <w:lang w:eastAsia="zh-CN"/>
        </w:rPr>
        <w:drawing>
          <wp:inline distT="0" distB="0" distL="114300" distR="114300">
            <wp:extent cx="6334125" cy="2008505"/>
            <wp:effectExtent l="0" t="0" r="9525" b="10795"/>
            <wp:docPr id="20" name="图片 20" descr="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27"/>
                    <pic:cNvPicPr>
                      <a:picLocks noChangeAspect="1"/>
                    </pic:cNvPicPr>
                  </pic:nvPicPr>
                  <pic:blipFill>
                    <a:blip r:embed="rId41"/>
                    <a:stretch>
                      <a:fillRect/>
                    </a:stretch>
                  </pic:blipFill>
                  <pic:spPr>
                    <a:xfrm>
                      <a:off x="0" y="0"/>
                      <a:ext cx="6334125" cy="2008505"/>
                    </a:xfrm>
                    <a:prstGeom prst="rect">
                      <a:avLst/>
                    </a:prstGeom>
                  </pic:spPr>
                </pic:pic>
              </a:graphicData>
            </a:graphic>
          </wp:inline>
        </w:drawing>
      </w:r>
      <w:r>
        <w:rPr>
          <w:rFonts w:hint="eastAsia"/>
          <w:lang w:eastAsia="zh-CN"/>
        </w:rPr>
        <w:drawing>
          <wp:inline distT="0" distB="0" distL="114300" distR="114300">
            <wp:extent cx="6332855" cy="2008505"/>
            <wp:effectExtent l="0" t="0" r="10795" b="10795"/>
            <wp:docPr id="19" name="图片 19" descr="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28"/>
                    <pic:cNvPicPr>
                      <a:picLocks noChangeAspect="1"/>
                    </pic:cNvPicPr>
                  </pic:nvPicPr>
                  <pic:blipFill>
                    <a:blip r:embed="rId42"/>
                    <a:stretch>
                      <a:fillRect/>
                    </a:stretch>
                  </pic:blipFill>
                  <pic:spPr>
                    <a:xfrm>
                      <a:off x="0" y="0"/>
                      <a:ext cx="6332855" cy="2008505"/>
                    </a:xfrm>
                    <a:prstGeom prst="rect">
                      <a:avLst/>
                    </a:prstGeom>
                  </pic:spPr>
                </pic:pic>
              </a:graphicData>
            </a:graphic>
          </wp:inline>
        </w:drawing>
      </w:r>
      <w:r>
        <w:rPr>
          <w:rFonts w:hint="eastAsia"/>
          <w:lang w:eastAsia="zh-CN"/>
        </w:rPr>
        <w:drawing>
          <wp:inline distT="0" distB="0" distL="114300" distR="114300">
            <wp:extent cx="6331585" cy="2011045"/>
            <wp:effectExtent l="0" t="0" r="12065" b="8255"/>
            <wp:docPr id="18" name="图片 18" descr="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29"/>
                    <pic:cNvPicPr>
                      <a:picLocks noChangeAspect="1"/>
                    </pic:cNvPicPr>
                  </pic:nvPicPr>
                  <pic:blipFill>
                    <a:blip r:embed="rId43"/>
                    <a:stretch>
                      <a:fillRect/>
                    </a:stretch>
                  </pic:blipFill>
                  <pic:spPr>
                    <a:xfrm>
                      <a:off x="0" y="0"/>
                      <a:ext cx="6331585" cy="2011045"/>
                    </a:xfrm>
                    <a:prstGeom prst="rect">
                      <a:avLst/>
                    </a:prstGeom>
                  </pic:spPr>
                </pic:pic>
              </a:graphicData>
            </a:graphic>
          </wp:inline>
        </w:drawing>
      </w:r>
      <w:r>
        <w:rPr>
          <w:rFonts w:hint="eastAsia"/>
          <w:lang w:eastAsia="zh-CN"/>
        </w:rPr>
        <w:drawing>
          <wp:inline distT="0" distB="0" distL="114300" distR="114300">
            <wp:extent cx="6334125" cy="2006600"/>
            <wp:effectExtent l="0" t="0" r="9525" b="12700"/>
            <wp:docPr id="16" name="图片 16" descr="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30"/>
                    <pic:cNvPicPr>
                      <a:picLocks noChangeAspect="1"/>
                    </pic:cNvPicPr>
                  </pic:nvPicPr>
                  <pic:blipFill>
                    <a:blip r:embed="rId44"/>
                    <a:stretch>
                      <a:fillRect/>
                    </a:stretch>
                  </pic:blipFill>
                  <pic:spPr>
                    <a:xfrm>
                      <a:off x="0" y="0"/>
                      <a:ext cx="6334125" cy="2006600"/>
                    </a:xfrm>
                    <a:prstGeom prst="rect">
                      <a:avLst/>
                    </a:prstGeom>
                  </pic:spPr>
                </pic:pic>
              </a:graphicData>
            </a:graphic>
          </wp:inline>
        </w:drawing>
      </w:r>
      <w:r>
        <w:rPr>
          <w:rFonts w:hint="eastAsia"/>
          <w:lang w:eastAsia="zh-CN"/>
        </w:rPr>
        <w:drawing>
          <wp:inline distT="0" distB="0" distL="114300" distR="114300">
            <wp:extent cx="6331585" cy="2028825"/>
            <wp:effectExtent l="0" t="0" r="12065" b="9525"/>
            <wp:docPr id="14" name="图片 14" descr="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31"/>
                    <pic:cNvPicPr>
                      <a:picLocks noChangeAspect="1"/>
                    </pic:cNvPicPr>
                  </pic:nvPicPr>
                  <pic:blipFill>
                    <a:blip r:embed="rId45"/>
                    <a:stretch>
                      <a:fillRect/>
                    </a:stretch>
                  </pic:blipFill>
                  <pic:spPr>
                    <a:xfrm>
                      <a:off x="0" y="0"/>
                      <a:ext cx="6331585" cy="2028825"/>
                    </a:xfrm>
                    <a:prstGeom prst="rect">
                      <a:avLst/>
                    </a:prstGeom>
                  </pic:spPr>
                </pic:pic>
              </a:graphicData>
            </a:graphic>
          </wp:inline>
        </w:drawing>
      </w:r>
      <w:r>
        <w:rPr>
          <w:rFonts w:hint="eastAsia"/>
          <w:lang w:eastAsia="zh-CN"/>
        </w:rPr>
        <w:drawing>
          <wp:inline distT="0" distB="0" distL="114300" distR="114300">
            <wp:extent cx="6334125" cy="2006600"/>
            <wp:effectExtent l="0" t="0" r="9525" b="12700"/>
            <wp:docPr id="12" name="图片 12" descr="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32"/>
                    <pic:cNvPicPr>
                      <a:picLocks noChangeAspect="1"/>
                    </pic:cNvPicPr>
                  </pic:nvPicPr>
                  <pic:blipFill>
                    <a:blip r:embed="rId46"/>
                    <a:stretch>
                      <a:fillRect/>
                    </a:stretch>
                  </pic:blipFill>
                  <pic:spPr>
                    <a:xfrm>
                      <a:off x="0" y="0"/>
                      <a:ext cx="6334125" cy="2006600"/>
                    </a:xfrm>
                    <a:prstGeom prst="rect">
                      <a:avLst/>
                    </a:prstGeom>
                  </pic:spPr>
                </pic:pic>
              </a:graphicData>
            </a:graphic>
          </wp:inline>
        </w:drawing>
      </w:r>
      <w:r>
        <w:rPr>
          <w:rFonts w:hint="eastAsia"/>
          <w:lang w:eastAsia="zh-CN"/>
        </w:rPr>
        <w:drawing>
          <wp:inline distT="0" distB="0" distL="114300" distR="114300">
            <wp:extent cx="6334760" cy="1988185"/>
            <wp:effectExtent l="0" t="0" r="8890" b="12065"/>
            <wp:docPr id="11" name="图片 11" descr="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33"/>
                    <pic:cNvPicPr>
                      <a:picLocks noChangeAspect="1"/>
                    </pic:cNvPicPr>
                  </pic:nvPicPr>
                  <pic:blipFill>
                    <a:blip r:embed="rId47"/>
                    <a:stretch>
                      <a:fillRect/>
                    </a:stretch>
                  </pic:blipFill>
                  <pic:spPr>
                    <a:xfrm>
                      <a:off x="0" y="0"/>
                      <a:ext cx="6334760" cy="1988185"/>
                    </a:xfrm>
                    <a:prstGeom prst="rect">
                      <a:avLst/>
                    </a:prstGeom>
                  </pic:spPr>
                </pic:pic>
              </a:graphicData>
            </a:graphic>
          </wp:inline>
        </w:drawing>
      </w:r>
    </w:p>
    <w:p>
      <w:pPr>
        <w:spacing w:line="480" w:lineRule="auto"/>
        <w:jc w:val="both"/>
        <w:rPr>
          <w:rFonts w:hint="eastAsia"/>
          <w:lang w:eastAsia="zh-CN"/>
        </w:rPr>
      </w:pPr>
    </w:p>
    <w:p>
      <w:pPr>
        <w:spacing w:line="240" w:lineRule="auto"/>
        <w:jc w:val="left"/>
        <w:rPr>
          <w:rFonts w:hint="eastAsia" w:ascii="Times New Roman" w:hAnsi="Times New Roman" w:cs="Times New Roman"/>
          <w:b/>
          <w:bCs/>
          <w:lang w:eastAsia="zh-CN"/>
        </w:rPr>
      </w:pPr>
      <w:r>
        <w:rPr>
          <w:rFonts w:hint="eastAsia" w:ascii="Times New Roman" w:hAnsi="Times New Roman" w:cs="Times New Roman"/>
          <w:b/>
          <w:bCs/>
          <w:lang w:eastAsia="zh-CN"/>
        </w:rPr>
        <w:br w:type="page"/>
      </w:r>
    </w:p>
    <w:p>
      <w:pPr>
        <w:spacing w:line="480" w:lineRule="auto"/>
        <w:jc w:val="both"/>
        <w:rPr>
          <w:rFonts w:ascii="Times New Roman" w:hAnsi="Times New Roman" w:cs="Times New Roman"/>
          <w:lang w:eastAsia="zh-CN"/>
        </w:rPr>
      </w:pPr>
      <w:r>
        <w:rPr>
          <w:rFonts w:hint="eastAsia" w:ascii="Times New Roman" w:hAnsi="Times New Roman" w:cs="Times New Roman"/>
          <w:b/>
          <w:bCs/>
          <w:lang w:eastAsia="zh-CN"/>
        </w:rPr>
        <w:t>Fig. S5</w:t>
      </w:r>
      <w:r>
        <w:rPr>
          <w:rFonts w:hint="eastAsia" w:ascii="Times New Roman" w:hAnsi="Times New Roman" w:cs="Times New Roman"/>
          <w:lang w:eastAsia="zh-CN"/>
        </w:rPr>
        <w:t xml:space="preserve"> Paired sample t-test for STN-DBS switch state about synaptic connection strength under different symptoms. </w:t>
      </w:r>
    </w:p>
    <w:p>
      <w:pPr>
        <w:spacing w:line="480" w:lineRule="auto"/>
        <w:jc w:val="center"/>
      </w:pPr>
      <w:r>
        <w:drawing>
          <wp:inline distT="0" distB="0" distL="114300" distR="114300">
            <wp:extent cx="5232400" cy="3935730"/>
            <wp:effectExtent l="0" t="0" r="6350" b="7620"/>
            <wp:docPr id="10" name="图片 10" descr="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6"/>
                    <pic:cNvPicPr>
                      <a:picLocks noChangeAspect="1"/>
                    </pic:cNvPicPr>
                  </pic:nvPicPr>
                  <pic:blipFill>
                    <a:blip r:embed="rId48"/>
                    <a:stretch>
                      <a:fillRect/>
                    </a:stretch>
                  </pic:blipFill>
                  <pic:spPr>
                    <a:xfrm>
                      <a:off x="0" y="0"/>
                      <a:ext cx="5232400" cy="3935730"/>
                    </a:xfrm>
                    <a:prstGeom prst="rect">
                      <a:avLst/>
                    </a:prstGeom>
                  </pic:spPr>
                </pic:pic>
              </a:graphicData>
            </a:graphic>
          </wp:inline>
        </w:drawing>
      </w:r>
    </w:p>
    <w:p>
      <w:pPr>
        <w:spacing w:line="480" w:lineRule="auto"/>
        <w:jc w:val="center"/>
      </w:pPr>
      <w:r>
        <w:drawing>
          <wp:inline distT="0" distB="0" distL="114300" distR="114300">
            <wp:extent cx="5214620" cy="3888105"/>
            <wp:effectExtent l="0" t="0" r="5080" b="17145"/>
            <wp:docPr id="2" name="图片 2" descr="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7-12"/>
                    <pic:cNvPicPr>
                      <a:picLocks noChangeAspect="1"/>
                    </pic:cNvPicPr>
                  </pic:nvPicPr>
                  <pic:blipFill>
                    <a:blip r:embed="rId49"/>
                    <a:stretch>
                      <a:fillRect/>
                    </a:stretch>
                  </pic:blipFill>
                  <pic:spPr>
                    <a:xfrm>
                      <a:off x="0" y="0"/>
                      <a:ext cx="5214620" cy="3888105"/>
                    </a:xfrm>
                    <a:prstGeom prst="rect">
                      <a:avLst/>
                    </a:prstGeom>
                  </pic:spPr>
                </pic:pic>
              </a:graphicData>
            </a:graphic>
          </wp:inline>
        </w:drawing>
      </w:r>
    </w:p>
    <w:p>
      <w:pPr>
        <w:spacing w:line="480" w:lineRule="auto"/>
        <w:jc w:val="center"/>
      </w:pPr>
      <w:r>
        <w:drawing>
          <wp:inline distT="0" distB="0" distL="114300" distR="114300">
            <wp:extent cx="5699760" cy="4338955"/>
            <wp:effectExtent l="0" t="0" r="15240" b="4445"/>
            <wp:docPr id="15" name="图片 15" descr="1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3-18"/>
                    <pic:cNvPicPr>
                      <a:picLocks noChangeAspect="1"/>
                    </pic:cNvPicPr>
                  </pic:nvPicPr>
                  <pic:blipFill>
                    <a:blip r:embed="rId50"/>
                    <a:stretch>
                      <a:fillRect/>
                    </a:stretch>
                  </pic:blipFill>
                  <pic:spPr>
                    <a:xfrm>
                      <a:off x="0" y="0"/>
                      <a:ext cx="5699760" cy="4338955"/>
                    </a:xfrm>
                    <a:prstGeom prst="rect">
                      <a:avLst/>
                    </a:prstGeom>
                  </pic:spPr>
                </pic:pic>
              </a:graphicData>
            </a:graphic>
          </wp:inline>
        </w:drawing>
      </w:r>
    </w:p>
    <w:p>
      <w:pPr>
        <w:spacing w:line="480" w:lineRule="auto"/>
        <w:jc w:val="center"/>
      </w:pPr>
      <w:r>
        <w:drawing>
          <wp:inline distT="0" distB="0" distL="114300" distR="114300">
            <wp:extent cx="5700395" cy="4344035"/>
            <wp:effectExtent l="0" t="0" r="14605" b="18415"/>
            <wp:docPr id="25" name="图片 25" descr="19-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19-24"/>
                    <pic:cNvPicPr>
                      <a:picLocks noChangeAspect="1"/>
                    </pic:cNvPicPr>
                  </pic:nvPicPr>
                  <pic:blipFill>
                    <a:blip r:embed="rId51"/>
                    <a:stretch>
                      <a:fillRect/>
                    </a:stretch>
                  </pic:blipFill>
                  <pic:spPr>
                    <a:xfrm>
                      <a:off x="0" y="0"/>
                      <a:ext cx="5700395" cy="4344035"/>
                    </a:xfrm>
                    <a:prstGeom prst="rect">
                      <a:avLst/>
                    </a:prstGeom>
                  </pic:spPr>
                </pic:pic>
              </a:graphicData>
            </a:graphic>
          </wp:inline>
        </w:drawing>
      </w:r>
    </w:p>
    <w:p>
      <w:pPr>
        <w:spacing w:line="480" w:lineRule="auto"/>
        <w:jc w:val="center"/>
      </w:pPr>
      <w:r>
        <w:drawing>
          <wp:inline distT="0" distB="0" distL="114300" distR="114300">
            <wp:extent cx="5618480" cy="4191635"/>
            <wp:effectExtent l="0" t="0" r="1270" b="18415"/>
            <wp:docPr id="47" name="图片 47" descr="2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25-30"/>
                    <pic:cNvPicPr>
                      <a:picLocks noChangeAspect="1"/>
                    </pic:cNvPicPr>
                  </pic:nvPicPr>
                  <pic:blipFill>
                    <a:blip r:embed="rId52"/>
                    <a:stretch>
                      <a:fillRect/>
                    </a:stretch>
                  </pic:blipFill>
                  <pic:spPr>
                    <a:xfrm>
                      <a:off x="0" y="0"/>
                      <a:ext cx="5618480" cy="4191635"/>
                    </a:xfrm>
                    <a:prstGeom prst="rect">
                      <a:avLst/>
                    </a:prstGeom>
                  </pic:spPr>
                </pic:pic>
              </a:graphicData>
            </a:graphic>
          </wp:inline>
        </w:drawing>
      </w:r>
    </w:p>
    <w:p>
      <w:pPr>
        <w:spacing w:line="480" w:lineRule="auto"/>
        <w:jc w:val="center"/>
      </w:pPr>
      <w:r>
        <w:rPr>
          <w:rFonts w:hint="eastAsia" w:ascii="Times New Roman" w:hAnsi="Times New Roman" w:cs="Times New Roman"/>
          <w:lang w:eastAsia="zh-CN"/>
        </w:rPr>
        <w:drawing>
          <wp:inline distT="0" distB="0" distL="114300" distR="114300">
            <wp:extent cx="5608320" cy="2807970"/>
            <wp:effectExtent l="0" t="0" r="11430" b="11430"/>
            <wp:docPr id="48" name="图片 48" descr="3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31-33"/>
                    <pic:cNvPicPr>
                      <a:picLocks noChangeAspect="1"/>
                    </pic:cNvPicPr>
                  </pic:nvPicPr>
                  <pic:blipFill>
                    <a:blip r:embed="rId53"/>
                    <a:stretch>
                      <a:fillRect/>
                    </a:stretch>
                  </pic:blipFill>
                  <pic:spPr>
                    <a:xfrm>
                      <a:off x="0" y="0"/>
                      <a:ext cx="5608320" cy="2807970"/>
                    </a:xfrm>
                    <a:prstGeom prst="rect">
                      <a:avLst/>
                    </a:prstGeom>
                  </pic:spPr>
                </pic:pic>
              </a:graphicData>
            </a:graphic>
          </wp:inline>
        </w:drawing>
      </w:r>
    </w:p>
    <w:bookmarkEnd w:id="0"/>
    <w:p>
      <w:pPr>
        <w:spacing w:line="480" w:lineRule="auto"/>
        <w:jc w:val="both"/>
        <w:rPr>
          <w:rFonts w:ascii="Times New Roman" w:hAnsi="Times New Roman" w:cs="Times New Roman"/>
          <w:lang w:eastAsia="zh-CN"/>
        </w:rPr>
      </w:pPr>
    </w:p>
    <w:sectPr>
      <w:type w:val="continuous"/>
      <w:pgSz w:w="11906" w:h="16838"/>
      <w:pgMar w:top="1440" w:right="964" w:bottom="1270" w:left="964" w:header="851" w:footer="992" w:gutter="0"/>
      <w:pgBorders>
        <w:top w:val="none" w:sz="0" w:space="0"/>
        <w:left w:val="none" w:sz="0" w:space="0"/>
        <w:bottom w:val="none" w:sz="0" w:space="0"/>
        <w:right w:val="none" w:sz="0" w:space="0"/>
      </w:pgBorders>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ill Sans MT">
    <w:panose1 w:val="020B0502020104020203"/>
    <w:charset w:val="00"/>
    <w:family w:val="swiss"/>
    <w:pitch w:val="default"/>
    <w:sig w:usb0="00000003" w:usb1="00000000" w:usb2="00000000" w:usb3="00000000" w:csb0="20000003"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0F13BB"/>
    <w:multiLevelType w:val="singleLevel"/>
    <w:tmpl w:val="B10F13BB"/>
    <w:lvl w:ilvl="0" w:tentative="0">
      <w:start w:val="1"/>
      <w:numFmt w:val="decimal"/>
      <w:suff w:val="space"/>
      <w:lvlText w:val="%1."/>
      <w:lvlJc w:val="left"/>
    </w:lvl>
  </w:abstractNum>
  <w:abstractNum w:abstractNumId="1">
    <w:nsid w:val="41E68528"/>
    <w:multiLevelType w:val="singleLevel"/>
    <w:tmpl w:val="41E68528"/>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bordersDoNotSurroundHeader w:val="1"/>
  <w:bordersDoNotSurroundFooter w:val="1"/>
  <w:trackRevisions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A4NWEzNzc5MWUzZGZjZWQ3NmNkMzg2YzFkNDVlZjMifQ=="/>
    <w:docVar w:name="KSO_WPS_MARK_KEY" w:val="4556e826-20af-4f09-b589-81264e660d0d"/>
    <w:docVar w:name="NE.Ref{073A1D9C-F43C-45F3-8C1E-B44894E9A5CB}" w:val=" ADDIN NE.Ref.{073A1D9C-F43C-45F3-8C1E-B44894E9A5CB}&lt;Citation&gt;&lt;Group&gt;&lt;References&gt;&lt;Item&gt;&lt;ID&gt;565&lt;/ID&gt;&lt;UID&gt;{9A8AE594-0343-4AA1-8B3B-8056CDAC26D9}&lt;/UID&gt;&lt;Title&gt;Primary motor cortex of the parkinsonian monkey: altered encoding of active  movement&lt;/Title&gt;&lt;Template&gt;Journal Article&lt;/Template&gt;&lt;Star&gt;0&lt;/Star&gt;&lt;Tag&gt;0&lt;/Tag&gt;&lt;Author&gt;Pasquereau, B; DeLong, M R; Turner, R S&lt;/Author&gt;&lt;Year&gt;2016&lt;/Year&gt;&lt;Details&gt;&lt;_accession_num&gt;26490335&lt;/_accession_num&gt;&lt;_author_adr&gt;1 Department of Neurobiology, Center for Neuroscience and The Center for the  Neural Basis of Cognition, University of Pittsburgh, Pittsburgh, Pennsylvania  15261, USA.; 2 Department of Neurology, Emory University, Atlanta, Georgia, USA.; 1 Department of Neurobiology, Center for Neuroscience and The Center for the  Neural Basis of Cognition, University of Pittsburgh, Pittsburgh, Pennsylvania  15261, USA rturner@pitt.edu.&lt;/_author_adr&gt;&lt;_date_display&gt;2016 Jan&lt;/_date_display&gt;&lt;_date&gt;2016-01-01&lt;/_date&gt;&lt;_doi&gt;10.1093/brain/awv312&lt;/_doi&gt;&lt;_isbn&gt;1460-2156 (Electronic); 0006-8950 (Print); 0006-8950 (Linking)&lt;/_isbn&gt;&lt;_issue&gt;Pt 1&lt;/_issue&gt;&lt;_journal&gt;Brain&lt;/_journal&gt;&lt;_keywords&gt;GLM; MPTP; Parkinson’s disease; kinematics; loss of specificity; response latency&lt;/_keywords&gt;&lt;_language&gt;eng&lt;/_language&gt;&lt;_ori_publication&gt;© The Author (2015). Published by Oxford University Press on behalf of the _x000d__x000a_      Guarantors of Brain. All rights reserved. For Permissions, please email: _x000d__x000a_      journals.permissions@oup.com.&lt;/_ori_publication&gt;&lt;_pages&gt;127-43&lt;/_pages&gt;&lt;_subject_headings&gt;1-Methyl-4-phenyl-1,2,3,6-tetrahydropyridine; Action Potentials; Animals; Corpus Striatum/physiopathology; Female; Macaca mulatta; Motor Cortex/*physiopathology; *Movement; Neural Pathways/physiopathology; Neurons; Parkinsonian Disorders/chemically induced/*physiopathology; Pyramidal Tracts/*physiopathology&lt;/_subject_headings&gt;&lt;_tertiary_title&gt;Brain : a journal of neurology&lt;/_tertiary_title&gt;&lt;_type_work&gt;Journal Article; Research Support, N.I.H., Extramural&lt;/_type_work&gt;&lt;_url&gt;http://www.ncbi.nlm.nih.gov/entrez/query.fcgi?cmd=Retrieve&amp;amp;db=pubmed&amp;amp;dopt=Abstract&amp;amp;list_uids=26490335&amp;amp;query_hl=1&lt;/_url&gt;&lt;_volume&gt;139&lt;/_volume&gt;&lt;_created&gt;64982338&lt;/_created&gt;&lt;_modified&gt;64982338&lt;/_modified&gt;&lt;_impact_factor&gt;  15.255&lt;/_impact_factor&gt;&lt;_social_category&gt;医学(1)&lt;/_social_category&gt;&lt;_collection_scope&gt;SCIE&lt;/_collection_scope&gt;&lt;/Details&gt;&lt;Extra&gt;&lt;DBUID&gt;{F96A950B-833F-4880-A151-76DA2D6A2879}&lt;/DBUID&gt;&lt;/Extra&gt;&lt;/Item&gt;&lt;/References&gt;&lt;/Group&gt;&lt;/Citation&gt;_x000a_"/>
    <w:docVar w:name="NE.Ref{0DCBB25B-76BB-4BC0-B8A1-D0D464188A2D}" w:val=" ADDIN NE.Ref.{0DCBB25B-76BB-4BC0-B8A1-D0D464188A2D}&lt;Citation&gt;&lt;Group&gt;&lt;References&gt;&lt;Item&gt;&lt;ID&gt;545&lt;/ID&gt;&lt;UID&gt;{01FDF68B-00B4-47B9-8E8D-E200BD1F8B94}&lt;/UID&gt;&lt;Title&gt;Mechanism of Deep Brain Stimulation: Inhibition, Excitation, or Disruption?&lt;/Title&gt;&lt;Template&gt;Journal Article&lt;/Template&gt;&lt;Star&gt;0&lt;/Star&gt;&lt;Tag&gt;0&lt;/Tag&gt;&lt;Author&gt;Chiken, S; Nambu, A&lt;/Author&gt;&lt;Year&gt;2016&lt;/Year&gt;&lt;Details&gt;&lt;_accession_num&gt;25888630&lt;/_accession_num&gt;&lt;_author_adr&gt;Division of System Neurophysiology, National Institute for Physiological Sciences  and Department of Physiological Sciences, SOKENDAI (The Graduate University for  Advanced Studies), Myodaiji, Okazaki, Japan.; Division of System Neurophysiology, National Institute for Physiological Sciences  and Department of Physiological Sciences, SOKENDAI (The Graduate University for  Advanced Studies), Myodaiji, Okazaki, Japan nambu@nips.ac.jp.&lt;/_author_adr&gt;&lt;_date_display&gt;2016 Jun&lt;/_date_display&gt;&lt;_date&gt;2016-06-01&lt;/_date&gt;&lt;_doi&gt;10.1177/1073858415581986&lt;/_doi&gt;&lt;_isbn&gt;1089-4098 (Electronic); 1073-8584 (Print); 1073-8584 (Linking)&lt;/_isbn&gt;&lt;_issue&gt;3&lt;/_issue&gt;&lt;_journal&gt;Neuroscientist&lt;/_journal&gt;&lt;_keywords&gt;Parkinson’s disease; deep brain stimulation; dystonia; globus pallidus; stereotactic surgery; subthalamic nucleus&lt;/_keywords&gt;&lt;_language&gt;eng&lt;/_language&gt;&lt;_ori_publication&gt;© The Author(s) 2015.&lt;/_ori_publication&gt;&lt;_pages&gt;313-22&lt;/_pages&gt;&lt;_subject_headings&gt;Action Potentials; Animals; Basal Ganglia/physiopathology; Brain/*physiopathology; Cerebral Cortex/physiopathology; *Deep Brain Stimulation; Humans; *Models, Neurological; *Neural Inhibition; Neural Pathways/physiopathology; Neurons/*physiology; Parkinson Disease/*physiopathology/*therapy; Subthalamic Nucleus/physiopathology&lt;/_subject_headings&gt;&lt;_tertiary_title&gt;The Neuroscientist : a review journal bringing neurobiology, neurology and _x000d__x000a_      psychiatry&lt;/_tertiary_title&gt;&lt;_type_work&gt;Journal Article; Research Support, Non-U.S. Gov&amp;apos;t; Review&lt;/_type_work&gt;&lt;_url&gt;http://www.ncbi.nlm.nih.gov/entrez/query.fcgi?cmd=Retrieve&amp;amp;db=pubmed&amp;amp;dopt=Abstract&amp;amp;list_uids=25888630&amp;amp;query_hl=1&lt;/_url&gt;&lt;_volume&gt;22&lt;/_volume&gt;&lt;_created&gt;64982286&lt;/_created&gt;&lt;_modified&gt;64982286&lt;/_modified&gt;&lt;_impact_factor&gt;   7.235&lt;/_impact_factor&gt;&lt;_social_category&gt;医学(2)&lt;/_social_category&gt;&lt;_collection_scope&gt;SCIE&lt;/_collection_scope&gt;&lt;/Details&gt;&lt;Extra&gt;&lt;DBUID&gt;{F96A950B-833F-4880-A151-76DA2D6A2879}&lt;/DBUID&gt;&lt;/Extra&gt;&lt;/Item&gt;&lt;/References&gt;&lt;/Group&gt;&lt;Group&gt;&lt;References&gt;&lt;Item&gt;&lt;ID&gt;546&lt;/ID&gt;&lt;UID&gt;{476C307E-9789-4DF0-93DC-A641C362149D}&lt;/UID&gt;&lt;Title/&gt;&lt;Template&gt;Journal Article&lt;/Template&gt;&lt;Star&gt;0&lt;/Star&gt;&lt;Tag&gt;0&lt;/Tag&gt;&lt;Author/&gt;&lt;Year&gt;0&lt;/Year&gt;&lt;Details&gt;&lt;_isbn&gt;1662-5145   _x000d__x000a_&lt;/_isbn&gt;&lt;_created&gt;64982286&lt;/_created&gt;&lt;_modified&gt;64982286&lt;/_modified&gt;&lt;/Details&gt;&lt;Extra&gt;&lt;DBUID&gt;{F96A950B-833F-4880-A151-76DA2D6A2879}&lt;/DBUID&gt;&lt;/Extra&gt;&lt;/Item&gt;&lt;/References&gt;&lt;/Group&gt;&lt;/Citation&gt;_x000a_"/>
    <w:docVar w:name="NE.Ref{13574DB7-5D74-4ED3-BA90-582F6ECE6BEB}" w:val=" ADDIN NE.Ref.{13574DB7-5D74-4ED3-BA90-582F6ECE6BEB}&lt;Citation&gt;&lt;Group&gt;&lt;References&gt;&lt;Item&gt;&lt;ID&gt;559&lt;/ID&gt;&lt;UID&gt;{574823E4-797E-41B3-B2D6-BF17643AE973}&lt;/UID&gt;&lt;Title&gt;Investigating Synchronous Oscillation and Deep Brain Stimulation Treatment in A  Model of Cortico-Basal Ganglia Network&lt;/Title&gt;&lt;Template&gt;Journal Article&lt;/Template&gt;&lt;Star&gt;0&lt;/Star&gt;&lt;Tag&gt;0&lt;/Tag&gt;&lt;Author&gt;Lu, M; Wei, X; Loparo, K A&lt;/Author&gt;&lt;Year&gt;2017&lt;/Year&gt;&lt;Details&gt;&lt;_accession_num&gt;28541214&lt;/_accession_num&gt;&lt;_date_display&gt;2017 Nov&lt;/_date_display&gt;&lt;_date&gt;2017-11-01&lt;/_date&gt;&lt;_doi&gt;10.1109/TNSRE.2017.2707100&lt;/_doi&gt;&lt;_isbn&gt;1558-0210 (Electronic); 1534-4320 (Linking)&lt;/_isbn&gt;&lt;_issue&gt;11&lt;/_issue&gt;&lt;_journal&gt;IEEE Trans Neural Syst Rehabil Eng&lt;/_journal&gt;&lt;_language&gt;eng&lt;/_language&gt;&lt;_pages&gt;1950-1958&lt;/_pages&gt;&lt;_subject_headings&gt;Algorithms; Basal Ganglia/*physiology; Beta Rhythm/physiology; Cerebral Cortex/*physiology; *Deep Brain Stimulation; Humans; Models, Neurological; Motor Cortex/physiology; Nerve Net/*physiology; Neural Pathways/physiology; Neurons/physiology; Parkinsonian Disorders/physiopathology/therapy; Subthalamic Nucleus/physiology&lt;/_subject_headings&gt;&lt;_tertiary_title&gt;IEEE transactions on neural systems and rehabilitation engineering : a _x000d__x000a_      publication of the IEEE Engineering in Medicine and Biology Society&lt;/_tertiary_title&gt;&lt;_type_work&gt;Journal Article; Research Support, Non-U.S. Gov&amp;apos;t&lt;/_type_work&gt;&lt;_url&gt;http://www.ncbi.nlm.nih.gov/entrez/query.fcgi?cmd=Retrieve&amp;amp;db=pubmed&amp;amp;dopt=Abstract&amp;amp;list_uids=28541214&amp;amp;query_hl=1&lt;/_url&gt;&lt;_volume&gt;25&lt;/_volume&gt;&lt;_created&gt;64982321&lt;/_created&gt;&lt;_modified&gt;64982321&lt;/_modified&gt;&lt;_impact_factor&gt;   4.528&lt;/_impact_factor&gt;&lt;_social_category&gt;工程技术(2)&lt;/_social_category&gt;&lt;_collection_scope&gt;SCIE;EI&lt;/_collection_scope&gt;&lt;/Details&gt;&lt;Extra&gt;&lt;DBUID&gt;{F96A950B-833F-4880-A151-76DA2D6A2879}&lt;/DBUID&gt;&lt;/Extra&gt;&lt;/Item&gt;&lt;/References&gt;&lt;/Group&gt;&lt;Group&gt;&lt;References&gt;&lt;Item&gt;&lt;ID&gt;560&lt;/ID&gt;&lt;UID&gt;{4C50988D-E555-4B75-A8FF-EECA8D151980}&lt;/UID&gt;&lt;Title&gt;Update on models of basal ganglia function and dysfunction&lt;/Title&gt;&lt;Template&gt;Journal Article&lt;/Template&gt;&lt;Star&gt;0&lt;/Star&gt;&lt;Tag&gt;0&lt;/Tag&gt;&lt;Author&gt;DeLong, M; Wichmann, T&lt;/Author&gt;&lt;Year&gt;2009&lt;/Year&gt;&lt;Details&gt;&lt;_accession_num&gt;20082999&lt;/_accession_num&gt;&lt;_author_adr&gt;Department Neurology, Emory University School of Medicine, Atlanta, GA 30322,  USA. medmrd@emory.edu&lt;/_author_adr&gt;&lt;_date_display&gt;2009 Dec&lt;/_date_display&gt;&lt;_date&gt;2009-12-01&lt;/_date&gt;&lt;_doi&gt;10.1016/S1353-8020(09)70822-3&lt;/_doi&gt;&lt;_isbn&gt;1873-5126 (Electronic); 1353-8020 (Print); 1353-8020 (Linking)&lt;/_isbn&gt;&lt;_issue&gt;0 3&lt;/_issue&gt;&lt;_journal&gt;Parkinsonism Relat Disord&lt;/_journal&gt;&lt;_language&gt;eng&lt;/_language&gt;&lt;_pages&gt;S237-40&lt;/_pages&gt;&lt;_subject_headings&gt;Animals; Basal Ganglia/*physiology/*physiopathology; Cerebral Cortex/physiopathology; Humans; Movement Disorders/*pathology/physiopathology; Neural Pathways/physiopathology&lt;/_subject_headings&gt;&lt;_tertiary_title&gt;Parkinsonism &amp;amp; related disorders&lt;/_tertiary_title&gt;&lt;_type_work&gt;Journal Article; Research Support, N.I.H., Extramural; Review&lt;/_type_work&gt;&lt;_url&gt;http://www.ncbi.nlm.nih.gov/entrez/query.fcgi?cmd=Retrieve&amp;amp;db=pubmed&amp;amp;dopt=Abstract&amp;amp;list_uids=20082999&amp;amp;query_hl=1&lt;/_url&gt;&lt;_volume&gt;15 Suppl 3&lt;/_volume&gt;&lt;_created&gt;64982327&lt;/_created&gt;&lt;_modified&gt;64982327&lt;/_modified&gt;&lt;_impact_factor&gt;   4.402&lt;/_impact_factor&gt;&lt;_social_category&gt;医学(3)&lt;/_social_category&gt;&lt;_collection_scope&gt;SCIE&lt;/_collection_scope&gt;&lt;/Details&gt;&lt;Extra&gt;&lt;DBUID&gt;{F96A950B-833F-4880-A151-76DA2D6A2879}&lt;/DBUID&gt;&lt;/Extra&gt;&lt;/Item&gt;&lt;/References&gt;&lt;/Group&gt;&lt;Group&gt;&lt;References&gt;&lt;Item&gt;&lt;ID&gt;561&lt;/ID&gt;&lt;UID&gt;{82C7A41F-3EE7-48C7-BA9B-3EC220285AAF}&lt;/UID&gt;&lt;Title&gt;Alterations in neuronal activity in basal ganglia-thalamocortical circuits in the  parkinsonian state&lt;/Title&gt;&lt;Template&gt;Journal Article&lt;/Template&gt;&lt;Star&gt;0&lt;/Star&gt;&lt;Tag&gt;0&lt;/Tag&gt;&lt;Author&gt;Galvan, A; Devergnas, A; Wichmann, T&lt;/Author&gt;&lt;Year&gt;2015&lt;/Year&gt;&lt;Details&gt;&lt;_accession_num&gt;25698937&lt;/_accession_num&gt;&lt;_author_adr&gt;Yerkes National Primate Research Center, Emory University Atlanta, GA, USA ;  Department of Neurology, School of Medicine, Emory University Atlanta, GA, USA ;  Udall Center of Excellence for Parkinson&amp;apos;s Disease Research, Emory University  Atlanta, GA, USA.; Yerkes National Primate Research Center, Emory University Atlanta, GA, USA ;  Udall Center of Excellence for Parkinson&amp;apos;s Disease Research, Emory University  Atlanta, GA, USA.; Yerkes National Primate Research Center, Emory University Atlanta, GA, USA ;  Department of Neurology, School of Medicine, Emory University Atlanta, GA, USA ;  Udall Center of Excellence for Parkinson&amp;apos;s Disease Research, Emory University  Atlanta, GA, USA.&lt;/_author_adr&gt;&lt;_date_display&gt;2015&lt;/_date_display&gt;&lt;_date&gt;2015-01-20&lt;/_date&gt;&lt;_doi&gt;10.3389/fnana.2015.00005&lt;/_doi&gt;&lt;_isbn&gt;1662-5129 (Print); 1662-5129 (Electronic); 1662-5129 (Linking)&lt;/_isbn&gt;&lt;_journal&gt;Front Neuroanat&lt;/_journal&gt;&lt;_keywords&gt;LFP; Parkinson’s disease; animal models; basal ganglia; electrophysiology; extracellular recording; parkinsonism&lt;/_keywords&gt;&lt;_language&gt;eng&lt;/_language&gt;&lt;_pages&gt;5&lt;/_pages&gt;&lt;_tertiary_title&gt;Frontiers in neuroanatomy&lt;/_tertiary_title&gt;&lt;_type_work&gt;Journal Article; Review&lt;/_type_work&gt;&lt;_url&gt;http://www.ncbi.nlm.nih.gov/entrez/query.fcgi?cmd=Retrieve&amp;amp;db=pubmed&amp;amp;dopt=Abstract&amp;amp;list_uids=25698937&amp;amp;query_hl=1&lt;/_url&gt;&lt;_volume&gt;9&lt;/_volume&gt;&lt;_created&gt;64982331&lt;/_created&gt;&lt;_modified&gt;64982331&lt;/_modified&gt;&lt;_impact_factor&gt;   3.543&lt;/_impact_factor&gt;&lt;_social_category&gt;医学(3)&lt;/_social_category&gt;&lt;_collection_scope&gt;SCIE&lt;/_collection_scope&gt;&lt;/Details&gt;&lt;Extra&gt;&lt;DBUID&gt;{F96A950B-833F-4880-A151-76DA2D6A2879}&lt;/DBUID&gt;&lt;/Extra&gt;&lt;/Item&gt;&lt;/References&gt;&lt;/Group&gt;&lt;Group&gt;&lt;References&gt;&lt;Item&gt;&lt;ID&gt;562&lt;/ID&gt;&lt;UID&gt;{B4EBEC7C-69F6-4FC0-8EE9-703FBEB1236A}&lt;/UID&gt;&lt;Title&gt;Aberrant features of in vivo striatal dynamics in Parkinson&amp;apos;s disease&lt;/Title&gt;&lt;Template&gt;Journal Article&lt;/Template&gt;&lt;Star&gt;0&lt;/Star&gt;&lt;Tag&gt;0&lt;/Tag&gt;&lt;Author&gt;Lee, K; Masmanidis, S C&lt;/Author&gt;&lt;Year&gt;2019&lt;/Year&gt;&lt;Details&gt;&lt;_accession_num&gt;31502290&lt;/_accession_num&gt;&lt;_author_adr&gt;Department of Neurobiology and California Nanosystems Institute, University of  California, Los Angeles, California.; Department of Neurobiology and California Nanosystems Institute, University of  California, Los Angeles, California.&lt;/_author_adr&gt;&lt;_date_display&gt;2019 Dec&lt;/_date_display&gt;&lt;_date&gt;2019-12-01&lt;/_date&gt;&lt;_doi&gt;10.1002/jnr.24519&lt;/_doi&gt;&lt;_isbn&gt;1097-4547 (Electronic); 0360-4012 (Print); 0360-4012 (Linking)&lt;/_isbn&gt;&lt;_issue&gt;12&lt;/_issue&gt;&lt;_journal&gt;J Neurosci Res&lt;/_journal&gt;&lt;_keywords&gt;Parkinson&amp;apos;s; movement disorders; single-unit neural activity&lt;/_keywords&gt;&lt;_language&gt;eng&lt;/_language&gt;&lt;_ori_publication&gt;© 2019 Wiley Periodicals, Inc.&lt;/_ori_publication&gt;&lt;_pages&gt;1678-1688&lt;/_pages&gt;&lt;_subject_headings&gt;Animals; Basal Ganglia/physiopathology; Behavior, Animal; Corpus Striatum/*physiopathology; Disease Models, Animal; Humans; Interneurons/physiology; Neural Pathways/physiology; Neurons/*physiology; Parkinson Disease/*physiopathology&lt;/_subject_headings&gt;&lt;_tertiary_title&gt;Journal of neuroscience research&lt;/_tertiary_title&gt;&lt;_type_work&gt;Journal Article; Research Support, N.I.H., Extramural; Research Support, U.S. Gov&amp;apos;t, Non-P.H.S.; Review&lt;/_type_work&gt;&lt;_url&gt;http://www.ncbi.nlm.nih.gov/entrez/query.fcgi?cmd=Retrieve&amp;amp;db=pubmed&amp;amp;dopt=Abstract&amp;amp;list_uids=31502290&amp;amp;query_hl=1&lt;/_url&gt;&lt;_volume&gt;97&lt;/_volume&gt;&lt;_created&gt;64982332&lt;/_created&gt;&lt;_modified&gt;64982332&lt;/_modified&gt;&lt;_impact_factor&gt;   4.433&lt;/_impact_factor&gt;&lt;_social_category&gt;医学(3)&lt;/_social_category&gt;&lt;_collection_scope&gt;SCIE&lt;/_collection_scope&gt;&lt;/Details&gt;&lt;Extra&gt;&lt;DBUID&gt;{F96A950B-833F-4880-A151-76DA2D6A2879}&lt;/DBUID&gt;&lt;/Extra&gt;&lt;/Item&gt;&lt;/References&gt;&lt;/Group&gt;&lt;/Citation&gt;_x000a_"/>
    <w:docVar w:name="NE.Ref{15F06716-7937-44C3-95C2-0311CBBEE86E}" w:val=" ADDIN NE.Ref.{15F06716-7937-44C3-95C2-0311CBBEE86E}&lt;Citation&gt;&lt;Group&gt;&lt;References&gt;&lt;Item&gt;&lt;ID&gt;529&lt;/ID&gt;&lt;UID&gt;{A04EF25C-AF25-480C-8348-AE7C7C0F5557}&lt;/UID&gt;&lt;Title&gt;Brain connectivity changes when comparing effects of subthalamic deep brain  stimulation with levodopa treatment in Parkinson&amp;apos;s disease&lt;/Title&gt;&lt;Template&gt;Journal Article&lt;/Template&gt;&lt;Star&gt;0&lt;/Star&gt;&lt;Tag&gt;0&lt;/Tag&gt;&lt;Author&gt;Mueller, K; Jech, R; Růžička, F; Holiga, Š; Ballarini, T; Bezdicek, O; Möller, H E; Vymazal, J; Růžička, E; Schroeter, M L; Urgošík, D&lt;/Author&gt;&lt;Year&gt;2018&lt;/Year&gt;&lt;Details&gt;&lt;_accession_num&gt;30035027&lt;/_accession_num&gt;&lt;_author_adr&gt;Max Planck Institute for Human Cognitive and Brain Sciences, Leipzig, Germany.; Department of Neurology and Center of Clinical Neuroscience, Charles University,  First Faculty of Medicine and General University Hospital in Prague, Prague,  Czech Republic; Department of Stereotactic and Radiation Neurosurgery, Na Homolce  Hospital, Prague, Czech Republic. Electronic address: jech@cesnet.cz.; Department of Neurology and Center of Clinical Neuroscience, Charles University,  First Faculty of Medicine and General University Hospital in Prague, Prague,  Czech Republic.; Max Planck Institute for Human Cognitive and Brain Sciences, Leipzig, Germany.; Max Planck Institute for Human Cognitive and Brain Sciences, Leipzig, Germany.; Department of Neurology and Center of Clinical Neuroscience, Charles University,  First Faculty of Medicine and General University Hospital in Prague, Prague,  Czech Republic.; Max Planck Institute for Human Cognitive and Brain Sciences, Leipzig, Germany.; Department of Stereotactic and Radiation Neurosurgery, Na Homolce Hospital,  Prague, Czech Republic.; Department of Neurology and Center of Clinical Neuroscience, Charles University,  First Faculty of Medicine and General University Hospital in Prague, Prague,  Czech Republic.; Max Planck Institute for Human Cognitive and Brain Sciences, Leipzig, Germany;  Clinic for Cognitive Neurology, University Hospital Leipzig, Germany.; Department of Stereotactic and Radiation Neurosurgery, Na Homolce Hospital,  Prague, Czech Republic.&lt;/_author_adr&gt;&lt;_date_display&gt;2018&lt;/_date_display&gt;&lt;_date&gt;2018-01-20&lt;/_date&gt;&lt;_doi&gt;10.1016/j.nicl.2018.05.006&lt;/_doi&gt;&lt;_isbn&gt;2213-1582 (Electronic); 2213-1582 (Linking)&lt;/_isbn&gt;&lt;_journal&gt;Neuroimage Clin&lt;/_journal&gt;&lt;_keywords&gt;Brain connectivity; Deep brain stimulation; Eigenvector centrality; Functional connectivity; Levodopa; Nexopathy; Parkinson&amp;apos;s disease; Resting state magnetic resonance imaging; STN; Subthalamic nucleus&lt;/_keywords&gt;&lt;_language&gt;eng&lt;/_language&gt;&lt;_pages&gt;1025-1035&lt;/_pages&gt;&lt;_subject_headings&gt;Antiparkinson Agents/*therapeutic use; *Deep Brain Stimulation; Female; Humans; Levodopa/*therapeutic use; Magnetic Resonance Imaging; Male; Middle Aged; Nerve Net/*physiopathology; Parkinson Disease/drug therapy/*physiopathology/therapy; Severity of Illness Index; Subthalamic Nucleus/*physiopathology&lt;/_subject_headings&gt;&lt;_tertiary_title&gt;NeuroImage. Clinical&lt;/_tertiary_title&gt;&lt;_type_work&gt;Comparative Study; Journal Article; Research Support, N.I.H., Intramural&lt;/_type_work&gt;&lt;_url&gt;http://www.ncbi.nlm.nih.gov/entrez/query.fcgi?cmd=Retrieve&amp;amp;db=pubmed&amp;amp;dopt=Abstract&amp;amp;list_uids=30035027&amp;amp;query_hl=1&lt;/_url&gt;&lt;_volume&gt;19&lt;/_volume&gt;&lt;_created&gt;64981372&lt;/_created&gt;&lt;_modified&gt;64981372&lt;/_modified&gt;&lt;_impact_factor&gt;   4.891&lt;/_impact_factor&gt;&lt;_social_category&gt;医学(2)&lt;/_social_category&gt;&lt;_collection_scope&gt;SCIE&lt;/_collection_scope&gt;&lt;/Details&gt;&lt;Extra&gt;&lt;DBUID&gt;{F96A950B-833F-4880-A151-76DA2D6A2879}&lt;/DBUID&gt;&lt;/Extra&gt;&lt;/Item&gt;&lt;/References&gt;&lt;/Group&gt;&lt;/Citation&gt;_x000a_"/>
    <w:docVar w:name="NE.Ref{262AE414-6685-4E10-837C-8530A0DA427C}" w:val=" ADDIN NE.Ref.{262AE414-6685-4E10-837C-8530A0DA427C}&lt;Citation&gt;&lt;Group&gt;&lt;References&gt;&lt;Item&gt;&lt;ID&gt;555&lt;/ID&gt;&lt;UID&gt;{2FAACC5B-7198-4E1D-BA1F-62CCC7FF320A}&lt;/UID&gt;&lt;Title&gt;Nonlinear responses in fMRI: the Balloon model, Volterra kernels, and other  hemodynamics&lt;/Title&gt;&lt;Template&gt;Journal Article&lt;/Template&gt;&lt;Star&gt;0&lt;/Star&gt;&lt;Tag&gt;0&lt;/Tag&gt;&lt;Author&gt;Friston, K J; Mechelli, A; Turner, R; Price, C J&lt;/Author&gt;&lt;Year&gt;2000&lt;/Year&gt;&lt;Details&gt;&lt;_accession_num&gt;10988040&lt;/_accession_num&gt;&lt;_author_adr&gt;The Wellcome Department of Cognitive Neurology, Institute of Neurology, Queen  Square, London WC1N 3BG, United Kingdom.&lt;/_author_adr&gt;&lt;_date_display&gt;2000 Oct&lt;/_date_display&gt;&lt;_date&gt;2000-10-01&lt;/_date&gt;&lt;_doi&gt;10.1006/nimg.2000.0630&lt;/_doi&gt;&lt;_isbn&gt;1053-8119 (Print); 1053-8119 (Linking)&lt;/_isbn&gt;&lt;_issue&gt;4&lt;/_issue&gt;&lt;_journal&gt;Neuroimage&lt;/_journal&gt;&lt;_language&gt;eng&lt;/_language&gt;&lt;_ori_publication&gt;Copyright 2000 Academic Press.&lt;/_ori_publication&gt;&lt;_pages&gt;466-77&lt;/_pages&gt;&lt;_subject_headings&gt;Brain/*physiology; Cerebrovascular Circulation/*physiology; Hemodynamics/physiology; *Magnetic Resonance Imaging; *Models, Cardiovascular; *Models, Neurological; *Nonlinear Dynamics&lt;/_subject_headings&gt;&lt;_tertiary_title&gt;NeuroImage&lt;/_tertiary_title&gt;&lt;_type_work&gt;Journal Article; Research Support, Non-U.S. Gov&amp;apos;t&lt;/_type_work&gt;&lt;_url&gt;http://www.ncbi.nlm.nih.gov/entrez/query.fcgi?cmd=Retrieve&amp;amp;db=pubmed&amp;amp;dopt=Abstract&amp;amp;list_uids=10988040&amp;amp;query_hl=1&lt;/_url&gt;&lt;_volume&gt;12&lt;/_volume&gt;&lt;_created&gt;64982309&lt;/_created&gt;&lt;_modified&gt;64982309&lt;/_modified&gt;&lt;_impact_factor&gt;   7.400&lt;/_impact_factor&gt;&lt;_social_category&gt;医学(1)&lt;/_social_category&gt;&lt;_collection_scope&gt;SCIE&lt;/_collection_scope&gt;&lt;/Details&gt;&lt;Extra&gt;&lt;DBUID&gt;{F96A950B-833F-4880-A151-76DA2D6A2879}&lt;/DBUID&gt;&lt;/Extra&gt;&lt;/Item&gt;&lt;/References&gt;&lt;/Group&gt;&lt;/Citation&gt;_x000a_"/>
    <w:docVar w:name="NE.Ref{27550D46-D3E2-47D6-A13B-C38FCA870EE3}" w:val=" ADDIN NE.Ref.{27550D46-D3E2-47D6-A13B-C38FCA870EE3}&lt;Citation&gt;&lt;Group&gt;&lt;References&gt;&lt;Item&gt;&lt;ID&gt;541&lt;/ID&gt;&lt;UID&gt;{B574D40B-6128-4448-A0B1-D517B8BDA6A0}&lt;/UID&gt;&lt;Title&gt;Simple model of spiking neurons&lt;/Title&gt;&lt;Template&gt;Journal Article&lt;/Template&gt;&lt;Star&gt;0&lt;/Star&gt;&lt;Tag&gt;0&lt;/Tag&gt;&lt;Author&gt;Izhikevich, E M&lt;/Author&gt;&lt;Year&gt;2003&lt;/Year&gt;&lt;Details&gt;&lt;_accession_num&gt;18244602&lt;/_accession_num&gt;&lt;_author_adr&gt;The Neurosciences Inst., San Diego, CA, USA.&lt;/_author_adr&gt;&lt;_date_display&gt;2003&lt;/_date_display&gt;&lt;_date&gt;2003-01-20&lt;/_date&gt;&lt;_doi&gt;10.1109/TNN.2003.820440&lt;/_doi&gt;&lt;_isbn&gt;1045-9227 (Print); 1045-9227 (Linking)&lt;/_isbn&gt;&lt;_issue&gt;6&lt;/_issue&gt;&lt;_journal&gt;IEEE Trans Neural Netw&lt;/_journal&gt;&lt;_language&gt;eng&lt;/_language&gt;&lt;_pages&gt;1569-72&lt;/_pages&gt;&lt;_tertiary_title&gt;IEEE transactions on neural networks&lt;/_tertiary_title&gt;&lt;_type_work&gt;Journal Article&lt;/_type_work&gt;&lt;_url&gt;http://www.ncbi.nlm.nih.gov/entrez/query.fcgi?cmd=Retrieve&amp;amp;db=pubmed&amp;amp;dopt=Abstract&amp;amp;list_uids=18244602&amp;amp;query_hl=1&lt;/_url&gt;&lt;_volume&gt;14&lt;/_volume&gt;&lt;_created&gt;64981382&lt;/_created&gt;&lt;_modified&gt;64981382&lt;/_modified&gt;&lt;/Details&gt;&lt;Extra&gt;&lt;DBUID&gt;{F96A950B-833F-4880-A151-76DA2D6A2879}&lt;/DBUID&gt;&lt;/Extra&gt;&lt;/Item&gt;&lt;/References&gt;&lt;/Group&gt;&lt;/Citation&gt;_x000a_"/>
    <w:docVar w:name="NE.Ref{2882AB8F-20B8-43B9-BF93-E613C004A53B}" w:val=" ADDIN NE.Ref.{2882AB8F-20B8-43B9-BF93-E613C004A53B}&lt;Citation&gt;&lt;Group&gt;&lt;References&gt;&lt;Item&gt;&lt;ID&gt;566&lt;/ID&gt;&lt;UID&gt;{CFF48254-FFA1-4E51-8BFF-3C1FBAB9918F}&lt;/UID&gt;&lt;Title&gt;Conveyance of cortical pacing for parkinsonian tremor-like hyperkinetic behavior  by subthalamic dysrhythmia&lt;/Title&gt;&lt;Template&gt;Journal Article&lt;/Template&gt;&lt;Star&gt;0&lt;/Star&gt;&lt;Tag&gt;0&lt;/Tag&gt;&lt;Author&gt;Huang, C S; Wang, G H; Chuang, H H; Chuang, A Y; Yeh, J Y; Lai, Y C; Yang, Y C&lt;/Author&gt;&lt;Year&gt;2021&lt;/Year&gt;&lt;Details&gt;&lt;_accession_num&gt;33882305&lt;/_accession_num&gt;&lt;_author_adr&gt;Graduate Institute of Biomedical Sciences, College of Medicine, Chang Gung  University, Taoyuan 333, Taiwan; Department of Biomedical Sciences, College of  Medicine, Chang Gung University, Taoyuan 333, Taiwan.; Department of Biomedical Sciences, College of Medicine, Chang Gung University,  Taoyuan 333, Taiwan; School of Medicine, College of Medicine, Chang Gung  University, Taoyuan 333, Taiwan; Department of Medical Education, Chang Gung  Memorial Hospital, Linkou Medical Center, Taoyuan 333, Taiwan.; Graduate Institute of Biomedical Sciences, College of Medicine, Chang Gung  University, Taoyuan 333, Taiwan.; Department of Biomedical Sciences, College of Medicine, Chang Gung University,  Taoyuan 333, Taiwan.; Department of Medical Biotechnology and Laboratory Science, College of Medicine,  Chang Gung University, Taoyuan 333, Taiwan.; Department of Biomedical Sciences, College of Medicine, Chang Gung University,  Taoyuan 333, Taiwan.; Graduate Institute of Biomedical Sciences, College of Medicine, Chang Gung  University, Taoyuan 333, Taiwan; Department of Biomedical Sciences, College of  Medicine, Chang Gung University, Taoyuan 333, Taiwan; Neuroscience Research  Center, Chang Gung Memorial Hospital, Linkou Medical Center, Taoyuan 333, Taiwan.  Electronic address: ycyang@mail.cgu.edu.tw.&lt;/_author_adr&gt;&lt;_date_display&gt;2021 Apr 20&lt;/_date_display&gt;&lt;_date&gt;2021-04-20&lt;/_date&gt;&lt;_doi&gt;10.1016/j.celrep.2021.109007&lt;/_doi&gt;&lt;_isbn&gt;2211-1247 (Electronic)&lt;/_isbn&gt;&lt;_issue&gt;3&lt;/_issue&gt;&lt;_journal&gt;Cell Rep&lt;/_journal&gt;&lt;_keywords&gt;A-type K(+) channel; basal ganglia network; brain oscillation; burst discharge; cortico-subcortical reentrant loop; cortico-subthalamic transmission; glutamatergic transmission; hyperdirect pathway; motor control; parkinsonian tremor&lt;/_keywords&gt;&lt;_language&gt;eng&lt;/_language&gt;&lt;_ori_publication&gt;Copyright © 2021 The Authors. Published by Elsevier Inc. All rights reserved.&lt;/_ori_publication&gt;&lt;_pages&gt;109007&lt;/_pages&gt;&lt;_subject_headings&gt;4-Aminopyridine/pharmacology; 6-Cyano-7-nitroquinoxaline-2,3-dione/pharmacology; Animals; Excitatory Amino Acid Agonists/pharmacology; Excitatory Amino Acid Antagonists/pharmacology; Female; Globus Pallidus/drug effects/metabolism/*physiopathology; Glutamic Acid/metabolism/pharmacology; Humans; Hyperkinesis/metabolism/*physiopathology; Male; Membrane Potentials/drug effects; Mice, Inbred C57BL; Motor Cortex/drug effects/metabolism/*physiopathology; Muscle, Skeletal/drug effects/metabolism/physiopathology; Optogenetics/methods; Parkinson Disease, Secondary/metabolism/*physiopathology; Rats; Rats, Wistar; Subthalamic Nucleus/drug effects/metabolism/*physiopathology; Synapses/drug effects/metabolism/pathology; Synaptic Transmission; Tremor/metabolism/*physiopathology; alpha-Amino-3-hydroxy-5-methyl-4-isoxazolepropionic Acid/pharmacology&lt;/_subject_headings&gt;&lt;_tertiary_title&gt;Cell reports&lt;/_tertiary_title&gt;&lt;_type_work&gt;Journal Article; Research Support, Non-U.S. Gov&amp;apos;t&lt;/_type_work&gt;&lt;_url&gt;http://www.ncbi.nlm.nih.gov/entrez/query.fcgi?cmd=Retrieve&amp;amp;db=pubmed&amp;amp;dopt=Abstract&amp;amp;list_uids=33882305&amp;amp;query_hl=1&lt;/_url&gt;&lt;_volume&gt;35&lt;/_volume&gt;&lt;_created&gt;64982340&lt;/_created&gt;&lt;_modified&gt;64982340&lt;/_modified&gt;&lt;_impact_factor&gt;   9.995&lt;/_impact_factor&gt;&lt;_social_category&gt;生物学(1)&lt;/_social_category&gt;&lt;_collection_scope&gt;SCIE&lt;/_collection_scope&gt;&lt;/Details&gt;&lt;Extra&gt;&lt;DBUID&gt;{F96A950B-833F-4880-A151-76DA2D6A2879}&lt;/DBUID&gt;&lt;/Extra&gt;&lt;/Item&gt;&lt;/References&gt;&lt;/Group&gt;&lt;/Citation&gt;_x000a_"/>
    <w:docVar w:name="NE.Ref{34B97392-6FA1-47E3-BD40-9932F8635AD0}" w:val=" ADDIN NE.Ref.{34B97392-6FA1-47E3-BD40-9932F8635AD0}&lt;Citation&gt;&lt;Group&gt;&lt;References&gt;&lt;Item&gt;&lt;ID&gt;531&lt;/ID&gt;&lt;UID&gt;{10266982-53DD-4336-A05E-60D1D0389872}&lt;/UID&gt;&lt;Title&gt;Resting state functional MRI in Parkinson&amp;apos;s disease: the impact of deep brain  stimulation on &amp;apos;effective&amp;apos; connectivity&lt;/Title&gt;&lt;Template&gt;Journal Article&lt;/Template&gt;&lt;Star&gt;0&lt;/Star&gt;&lt;Tag&gt;0&lt;/Tag&gt;&lt;Author&gt;Kahan, J; Urner, M; Moran, R; Flandin, G; Marreiros, A; Mancini, L; White, M; Thornton, J; Yousry, T; Zrinzo, L; Hariz, M; Limousin, P; Friston, K; Foltynie, T&lt;/Author&gt;&lt;Year&gt;2014&lt;/Year&gt;&lt;Details&gt;&lt;_accession_num&gt;24566670&lt;/_accession_num&gt;&lt;_author_adr&gt;1 Sobell Department for Motor Neurosciences and Movement Disorders, UCL Institute  of Neurology, London, UK.&lt;/_author_adr&gt;&lt;_date_display&gt;2014 Apr&lt;/_date_display&gt;&lt;_date&gt;2014-04-01&lt;/_date&gt;&lt;_doi&gt;10.1093/brain/awu027&lt;/_doi&gt;&lt;_isbn&gt;1460-2156 (Electronic); 0006-8950 (Print); 0006-8950 (Linking)&lt;/_isbn&gt;&lt;_issue&gt;Pt 4&lt;/_issue&gt;&lt;_journal&gt;Brain&lt;/_journal&gt;&lt;_keywords&gt;Parkinson’s disease; deep brain stimulation; dynamic causal modelling; resting state functional MRI; subthalamic nucleus&lt;/_keywords&gt;&lt;_language&gt;eng&lt;/_language&gt;&lt;_pages&gt;1130-44&lt;/_pages&gt;&lt;_subject_headings&gt;Adult; Aged; Brain/*physiopathology; *Deep Brain Stimulation; Female; Humans; Magnetic Resonance Imaging; Male; Middle Aged; *Models, Neurological; Neural Pathways/*physiology; Parkinson Disease/physiopathology/*therapy; Rest/physiology&lt;/_subject_headings&gt;&lt;_tertiary_title&gt;Brain : a journal of neurology&lt;/_tertiary_title&gt;&lt;_type_work&gt;Journal Article; Research Support, Non-U.S. Gov&amp;apos;t&lt;/_type_work&gt;&lt;_url&gt;http://www.ncbi.nlm.nih.gov/entrez/query.fcgi?cmd=Retrieve&amp;amp;db=pubmed&amp;amp;dopt=Abstract&amp;amp;list_uids=24566670&amp;amp;query_hl=1&lt;/_url&gt;&lt;_volume&gt;137&lt;/_volume&gt;&lt;_created&gt;64981373&lt;/_created&gt;&lt;_modified&gt;64981373&lt;/_modified&gt;&lt;_impact_factor&gt;  15.255&lt;/_impact_factor&gt;&lt;_social_category&gt;医学(1)&lt;/_social_category&gt;&lt;_collection_scope&gt;SCIE&lt;/_collection_scope&gt;&lt;/Details&gt;&lt;Extra&gt;&lt;DBUID&gt;{F96A950B-833F-4880-A151-76DA2D6A2879}&lt;/DBUID&gt;&lt;/Extra&gt;&lt;/Item&gt;&lt;/References&gt;&lt;/Group&gt;&lt;/Citation&gt;_x000a_"/>
    <w:docVar w:name="NE.Ref{35032DFD-9FE4-4BFD-BE58-DFFBD8636BFE}" w:val=" ADDIN NE.Ref.{35032DFD-9FE4-4BFD-BE58-DFFBD8636BFE}&lt;Citation&gt;&lt;Group&gt;&lt;References&gt;&lt;Item&gt;&lt;ID&gt;559&lt;/ID&gt;&lt;UID&gt;{574823E4-797E-41B3-B2D6-BF17643AE973}&lt;/UID&gt;&lt;Title&gt;Investigating Synchronous Oscillation and Deep Brain Stimulation Treatment in A  Model of Cortico-Basal Ganglia Network&lt;/Title&gt;&lt;Template&gt;Journal Article&lt;/Template&gt;&lt;Star&gt;0&lt;/Star&gt;&lt;Tag&gt;0&lt;/Tag&gt;&lt;Author&gt;Lu, M; Wei, X; Loparo, K A&lt;/Author&gt;&lt;Year&gt;2017&lt;/Year&gt;&lt;Details&gt;&lt;_accession_num&gt;28541214&lt;/_accession_num&gt;&lt;_date_display&gt;2017 Nov&lt;/_date_display&gt;&lt;_date&gt;2017-11-01&lt;/_date&gt;&lt;_doi&gt;10.1109/TNSRE.2017.2707100&lt;/_doi&gt;&lt;_isbn&gt;1558-0210 (Electronic); 1534-4320 (Linking)&lt;/_isbn&gt;&lt;_issue&gt;11&lt;/_issue&gt;&lt;_journal&gt;IEEE Trans Neural Syst Rehabil Eng&lt;/_journal&gt;&lt;_language&gt;eng&lt;/_language&gt;&lt;_pages&gt;1950-1958&lt;/_pages&gt;&lt;_subject_headings&gt;Algorithms; Basal Ganglia/*physiology; Beta Rhythm/physiology; Cerebral Cortex/*physiology; *Deep Brain Stimulation; Humans; Models, Neurological; Motor Cortex/physiology; Nerve Net/*physiology; Neural Pathways/physiology; Neurons/physiology; Parkinsonian Disorders/physiopathology/therapy; Subthalamic Nucleus/physiology&lt;/_subject_headings&gt;&lt;_tertiary_title&gt;IEEE transactions on neural systems and rehabilitation engineering : a _x000d__x000a_      publication of the IEEE Engineering in Medicine and Biology Society&lt;/_tertiary_title&gt;&lt;_type_work&gt;Journal Article; Research Support, Non-U.S. Gov&amp;apos;t&lt;/_type_work&gt;&lt;_url&gt;http://www.ncbi.nlm.nih.gov/entrez/query.fcgi?cmd=Retrieve&amp;amp;db=pubmed&amp;amp;dopt=Abstract&amp;amp;list_uids=28541214&amp;amp;query_hl=1&lt;/_url&gt;&lt;_volume&gt;25&lt;/_volume&gt;&lt;_created&gt;64982321&lt;/_created&gt;&lt;_modified&gt;64982321&lt;/_modified&gt;&lt;_impact_factor&gt;   4.528&lt;/_impact_factor&gt;&lt;_social_category&gt;工程技术(2)&lt;/_social_category&gt;&lt;_collection_scope&gt;SCIE;EI&lt;/_collection_scope&gt;&lt;/Details&gt;&lt;Extra&gt;&lt;DBUID&gt;{F96A950B-833F-4880-A151-76DA2D6A2879}&lt;/DBUID&gt;&lt;/Extra&gt;&lt;/Item&gt;&lt;/References&gt;&lt;/Group&gt;&lt;/Citation&gt;_x000a_"/>
    <w:docVar w:name="NE.Ref{356E0414-2224-490F-AB8F-4A0CA9E38AEF}" w:val=" ADDIN NE.Ref.{356E0414-2224-490F-AB8F-4A0CA9E38AEF}&lt;Citation&gt;&lt;Group&gt;&lt;References&gt;&lt;Item&gt;&lt;ID&gt;569&lt;/ID&gt;&lt;UID&gt;{E137145A-9F99-40CE-9CBE-A3C01F9224A4}&lt;/UID&gt;&lt;Title&gt;Pathophysiology of bradykinesia in Parkinson&amp;apos;s disease&lt;/Title&gt;&lt;Template&gt;Journal Article&lt;/Template&gt;&lt;Star&gt;0&lt;/Star&gt;&lt;Tag&gt;0&lt;/Tag&gt;&lt;Author&gt;Berardelli, A; Rothwell, J C; Thompson, P D; Hallett, M&lt;/Author&gt;&lt;Year&gt;2001&lt;/Year&gt;&lt;Details&gt;&lt;_created&gt;65064708&lt;/_created&gt;&lt;_modified&gt;65064709&lt;/_modified&gt;&lt;_url&gt;https://go.exlibris.link/wsVF0mxB&lt;/_url&gt;&lt;_place_published&gt;Oxford&lt;/_place_published&gt;&lt;_journal&gt;Brain (London, England : 1878)&lt;/_journal&gt;&lt;_volume&gt;124&lt;/_volume&gt;&lt;_issue&gt;11&lt;/_issue&gt;&lt;_number&gt;2&lt;/_number&gt;&lt;_pages&gt;2131-2146&lt;/_pages&gt;&lt;_doi&gt;10.1093/brain/124.11.2131&lt;/_doi&gt;&lt;_date_display&gt;2001&lt;/_date_display&gt;&lt;_date&gt;53121600&lt;/_date&gt;&lt;_isbn&gt;0006-8950;1460-2156;&lt;/_isbn&gt;&lt;_ori_publication&gt;Oxford University Press&lt;/_ori_publication&gt;&lt;_keywords&gt;Animals; Biological and medical sciences; BP = Bereitschaftspotential; bradykinesia; CNV = contingent negative variation; Degenerative and inherited degenerative diseases of the nervous system. Leukodystrophies. Prion diseases; fMRI = functional MRI; Humans; Hypokinesia - complications; Hypokinesia - physiopathology; Hypokinesia - therapy; Medical sciences; MEG = magnetic electroencephalography; motor control; movement; Muscle Rigidity - physiopathology; Muscle Weakness - physiopathology; Neurology; Parkinson Disease - complications; Parkinson Disease - physiopathology; Parkinson Disease - therapy; Parkinson&amp;apos;s disease; SMA = supplementary motor area; Tremor - physiopathology&lt;/_keywords&gt;&lt;_accessed&gt;65064709&lt;/_accessed&gt;&lt;_db_updated&gt;PKU Search&lt;/_db_updated&gt;&lt;_impact_factor&gt;  15.255&lt;/_impact_factor&gt;&lt;/Details&gt;&lt;Extra&gt;&lt;DBUID&gt;{F96A950B-833F-4880-A151-76DA2D6A2879}&lt;/DBUID&gt;&lt;/Extra&gt;&lt;/Item&gt;&lt;/References&gt;&lt;/Group&gt;&lt;/Citation&gt;_x000a_"/>
    <w:docVar w:name="NE.Ref{3980340D-EF30-481F-A64B-C15E26FE2A83}" w:val=" ADDIN NE.Ref.{3980340D-EF30-481F-A64B-C15E26FE2A83}&lt;Citation&gt;&lt;Group&gt;&lt;References&gt;&lt;Item&gt;&lt;ID&gt;538&lt;/ID&gt;&lt;UID&gt;{636EE020-B1A3-4675-A5F7-BEB7000C86B9}&lt;/UID&gt;&lt;Title&gt;The positive and negative syndrome scale (PANSS) for schizophrenia&lt;/Title&gt;&lt;Template&gt;Journal Article&lt;/Template&gt;&lt;Star&gt;0&lt;/Star&gt;&lt;Tag&gt;0&lt;/Tag&gt;&lt;Author&gt;Kay, S R; Fiszbein, A; Opler, L A&lt;/Author&gt;&lt;Year&gt;1987&lt;/Year&gt;&lt;Details&gt;&lt;_accession_num&gt;3616518&lt;/_accession_num&gt;&lt;_date_display&gt;1987&lt;/_date_display&gt;&lt;_date&gt;1987-01-19&lt;/_date&gt;&lt;_doi&gt;10.1093/schbul/13.2.261&lt;/_doi&gt;&lt;_isbn&gt;0586-7614 (Print); 0586-7614 (Linking)&lt;/_isbn&gt;&lt;_issue&gt;2&lt;/_issue&gt;&lt;_journal&gt;Schizophr Bull&lt;/_journal&gt;&lt;_language&gt;eng&lt;/_language&gt;&lt;_pages&gt;261-76&lt;/_pages&gt;&lt;_subject_headings&gt;Adult; Aged; Female; Humans; Male; Middle Aged; *Psychiatric Status Rating Scales; Psychometrics; Schizophrenia/*diagnosis; Schizophrenic Psychology&lt;/_subject_headings&gt;&lt;_tertiary_title&gt;Schizophrenia bulletin&lt;/_tertiary_title&gt;&lt;_type_work&gt;Journal Article&lt;/_type_work&gt;&lt;_url&gt;http://www.ncbi.nlm.nih.gov/entrez/query.fcgi?cmd=Retrieve&amp;amp;db=pubmed&amp;amp;dopt=Abstract&amp;amp;list_uids=3616518&amp;amp;query_hl=1&lt;/_url&gt;&lt;_volume&gt;13&lt;/_volume&gt;&lt;_created&gt;64981379&lt;/_created&gt;&lt;_modified&gt;64981379&lt;/_modified&gt;&lt;_impact_factor&gt;   7.348&lt;/_impact_factor&gt;&lt;_social_category&gt;医学(1)&lt;/_social_category&gt;&lt;_collection_scope&gt;SSCI;SCIE&lt;/_collection_scope&gt;&lt;/Details&gt;&lt;Extra&gt;&lt;DBUID&gt;{F96A950B-833F-4880-A151-76DA2D6A2879}&lt;/DBUID&gt;&lt;/Extra&gt;&lt;/Item&gt;&lt;/References&gt;&lt;/Group&gt;&lt;Group&gt;&lt;References&gt;&lt;Item&gt;&lt;ID&gt;540&lt;/ID&gt;&lt;UID&gt;{92E68BA6-C22F-4A3A-97D3-A4465CC39E5B}&lt;/UID&gt;&lt;Title&gt;Aberrant &amp;quot;default mode&amp;quot; functional connectivity in schizophrenia&lt;/Title&gt;&lt;Template&gt;Journal Article&lt;/Template&gt;&lt;Star&gt;0&lt;/Star&gt;&lt;Tag&gt;0&lt;/Tag&gt;&lt;Author&gt;Garrity, A G; Pearlson, G D; McKiernan, K; Lloyd, D; Kiehl, K A; Calhoun, V D&lt;/Author&gt;&lt;Year&gt;2007&lt;/Year&gt;&lt;Details&gt;&lt;_accession_num&gt;17329470&lt;/_accession_num&gt;&lt;_author_adr&gt;Trinity College, Hartford, CT, USA.&lt;/_author_adr&gt;&lt;_date_display&gt;2007 Mar&lt;/_date_display&gt;&lt;_date&gt;2007-03-01&lt;/_date&gt;&lt;_doi&gt;10.1176/ajp.2007.164.3.450&lt;/_doi&gt;&lt;_isbn&gt;0002-953X (Print); 0002-953X (Linking)&lt;/_isbn&gt;&lt;_issue&gt;3&lt;/_issue&gt;&lt;_journal&gt;Am J Psychiatry&lt;/_journal&gt;&lt;_language&gt;eng&lt;/_language&gt;&lt;_pages&gt;450-7&lt;/_pages&gt;&lt;_subject_headings&gt;Acoustic Stimulation; Adult; Auditory Perception/physiology; Brain/*physiopathology; Brain Mapping; Cerebral Cortex/physiopathology; Discrimination, Psychological/physiology; Female; Functional Laterality/physiology; Gyrus Cinguli/physiopathology; Humans; Image Processing, Computer-Assisted; Magnetic Resonance Imaging/statistics &amp;amp; numerical data; Male; Middle Aged; Models, Neurological; Neural Pathways/*physiopathology; Parahippocampal Gyrus/physiology; Perceptual Masking/physiology; Principal Component Analysis; Schizophrenia/diagnosis/*physiopathology; *Schizophrenic Psychology; Severity of Illness Index&lt;/_subject_headings&gt;&lt;_tertiary_title&gt;The American journal of psychiatry&lt;/_tertiary_title&gt;&lt;_type_work&gt;Comparative Study; Journal Article; Research Support, N.I.H., Extramural; Research Support, Non-U.S. Gov&amp;apos;t&lt;/_type_work&gt;&lt;_url&gt;http://www.ncbi.nlm.nih.gov/entrez/query.fcgi?cmd=Retrieve&amp;amp;db=pubmed&amp;amp;dopt=Abstract&amp;amp;list_uids=17329470&amp;amp;query_hl=1&lt;/_url&gt;&lt;_volume&gt;164&lt;/_volume&gt;&lt;_created&gt;64981381&lt;/_created&gt;&lt;_modified&gt;64981381&lt;/_modified&gt;&lt;_impact_factor&gt;  19.242&lt;/_impact_factor&gt;&lt;_social_category&gt;医学(1)&lt;/_social_category&gt;&lt;_collection_scope&gt;SSCI;SCIE&lt;/_collection_scope&gt;&lt;/Details&gt;&lt;Extra&gt;&lt;DBUID&gt;{F96A950B-833F-4880-A151-76DA2D6A2879}&lt;/DBUID&gt;&lt;/Extra&gt;&lt;/Item&gt;&lt;/References&gt;&lt;/Group&gt;&lt;Group&gt;&lt;References&gt;&lt;Item&gt;&lt;ID&gt;551&lt;/ID&gt;&lt;UID&gt;{22141AF9-C3B8-425F-AA97-E9842D52A274}&lt;/UID&gt;&lt;Title&gt;Functional hierarchy underlies preferential connectivity disturbances in schizophrenia&lt;/Title&gt;&lt;Template&gt;Journal Article&lt;/Template&gt;&lt;Star&gt;0&lt;/Star&gt;&lt;Tag&gt;0&lt;/Tag&gt;&lt;Author&gt;Yang, Genevieve J; Murray, John D; Wang, Xiao-Jing; Glahn, David C; Pearlson, Godfrey D; Repovs, Grega; Krystal, John H; Anticevic, Alan&lt;/Author&gt;&lt;Year&gt;2016&lt;/Year&gt;&lt;Details&gt;&lt;_alternate_title&gt;Proceedings of the National Academy of SciencesProceedings of the National Academy of Sciences&lt;/_alternate_title&gt;&lt;_date_display&gt;2016_x000d__x000a_2016/01/12&lt;/_date_display&gt;&lt;_date&gt;2016-01-12&lt;/_date&gt;&lt;_doi&gt;10.1073/pnas.1508436113&lt;/_doi&gt;&lt;_issue&gt;2&lt;/_issue&gt;&lt;_journal&gt;Proceedings of the National Academy of Sciences&lt;/_journal&gt;&lt;_ori_publication&gt;Proceedings of the National Academy of Sciences&lt;/_ori_publication&gt;&lt;_pages&gt;E219-E228&lt;/_pages&gt;&lt;_url&gt;https://doi.org/10.1073/pnas.1508436113&lt;/_url&gt;&lt;_volume&gt;113&lt;/_volume&gt;&lt;_created&gt;64982299&lt;/_created&gt;&lt;_modified&gt;64982299&lt;/_modified&gt;&lt;/Details&gt;&lt;Extra&gt;&lt;DBUID&gt;{F96A950B-833F-4880-A151-76DA2D6A2879}&lt;/DBUID&gt;&lt;/Extra&gt;&lt;/Item&gt;&lt;/References&gt;&lt;/Group&gt;&lt;/Citation&gt;_x000a_"/>
    <w:docVar w:name="NE.Ref{4286D811-E19F-46C3-AC01-9BFFAA07668B}" w:val=" ADDIN NE.Ref.{4286D811-E19F-46C3-AC01-9BFFAA07668B}&lt;Citation&gt;&lt;Group&gt;&lt;References&gt;&lt;Item&gt;&lt;ID&gt;528&lt;/ID&gt;&lt;UID&gt;{41DDD59B-EE85-49CF-BB59-8D17F15ED6C0}&lt;/UID&gt;&lt;Title&gt;Diffeomorphic registration using geodesic shooting and Gauss-Newton optimisation.&lt;/Title&gt;&lt;Template&gt;Journal Article&lt;/Template&gt;&lt;Star&gt;0&lt;/Star&gt;&lt;Tag&gt;0&lt;/Tag&gt;&lt;Author&gt;Ashburner, John; Friston, Karl J&lt;/Author&gt;&lt;Year&gt;2011&lt;/Year&gt;&lt;Details&gt;&lt;_issue&gt;3&lt;/_issue&gt;&lt;_journal&gt;Elsevier Sponsored Documents&lt;/_journal&gt;&lt;_created&gt;64981371&lt;/_created&gt;&lt;_modified&gt;64981371&lt;/_modified&gt;&lt;/Details&gt;&lt;Extra&gt;&lt;DBUID&gt;{F96A950B-833F-4880-A151-76DA2D6A2879}&lt;/DBUID&gt;&lt;/Extra&gt;&lt;/Item&gt;&lt;/References&gt;&lt;/Group&gt;&lt;/Citation&gt;_x000a_"/>
    <w:docVar w:name="NE.Ref{445E1861-BB9E-4905-9B78-167EF3CE0A8A}" w:val=" ADDIN NE.Ref.{445E1861-BB9E-4905-9B78-167EF3CE0A8A}&lt;Citation&gt;&lt;Group&gt;&lt;References&gt;&lt;Item&gt;&lt;ID&gt;554&lt;/ID&gt;&lt;UID&gt;{2ADB6C41-6E18-47D6-A564-D5C3FCE16DD4}&lt;/UID&gt;&lt;Title&gt;Subthalamic and Pallidal Stimulations in Patients with Parkinson&amp;apos;s Disease:  Common and Dissociable Connections&lt;/Title&gt;&lt;Template&gt;Journal Article&lt;/Template&gt;&lt;Star&gt;0&lt;/Star&gt;&lt;Tag&gt;0&lt;/Tag&gt;&lt;Author&gt;Zhang, C; Lai, Y; Li, J; He, N; Liu, Y; Li, Y; Li, H; Wei, H; Yan, F; Horn, A; Li, D; Sun, B&lt;/Author&gt;&lt;Year&gt;2021&lt;/Year&gt;&lt;Details&gt;&lt;_accession_num&gt;34390280&lt;/_accession_num&gt;&lt;_author_adr&gt;Department of Neurosurgery, Ruijin Hospital, Shanghai Jiao Tong University School  of Medicine, Shanghai, China.; Center for Functional Neurosurgery, Ruijin Hospital, Shanghai Jiao Tong  University School of Medicine, Shanghai, China.; Shanghai Research Center for Brain Science and Brain-Inspired Intelligence,  Shanghai, China.; Department of Anatomy and Physiology, Collaborative Innovation Centre for Brain  Science, Shanghai Jiao Tong University School of Medicine, Shanghai, China.; Department of Neurosurgery, Ruijin Hospital, Shanghai Jiao Tong University School  of Medicine, Shanghai, China.; Center for Functional Neurosurgery, Ruijin Hospital, Shanghai Jiao Tong  University School of Medicine, Shanghai, China.; Department of Neurosurgery, Ruijin Hospital, Shanghai Jiao Tong University School  of Medicine, Shanghai, China.; Center for Functional Neurosurgery, Ruijin Hospital, Shanghai Jiao Tong  University School of Medicine, Shanghai, China.; School of Information Science and Technology, Shanghai Tech University, Shanghai,  China.; Department of Radiology, Ruijin Hospital, Shanghai Jiao Tong University School of  Medicine, Shanghai, China.; Department of Radiology, Ruijin Hospital, Shanghai Jiao Tong University School of  Medicine, Shanghai, China.; Department of Radiology, Ruijin Hospital, Shanghai Jiao Tong University School of  Medicine, Shanghai, China.; Department of Neurosurgery, Ruijin Hospital, Shanghai Jiao Tong University School  of Medicine, Shanghai, China.; Center for Functional Neurosurgery, Ruijin Hospital, Shanghai Jiao Tong  University School of Medicine, Shanghai, China.; School of Biomedical Engineering, Shanghai Jiao Tong University, Shanghai, China.; Institute of Medical Robotics, Shanghai Jiao Tong University, Shanghai, China.; Department of Radiology, Ruijin Hospital, Shanghai Jiao Tong University School of  Medicine, Shanghai, China.; Department of Neurology, Movement Disorders and Neuromodulation Section, Charité  - University Medicine Berlin, Berlin, Germany.; Department of Neurosurgery, Ruijin Hospital, Shanghai Jiao Tong University School  of Medicine, Shanghai, China.; Center for Functional Neurosurgery, Ruijin Hospital, Shanghai Jiao Tong  University School of Medicine, Shanghai, China.; Department of Neurosurgery, Ruijin Hospital, Shanghai Jiao Tong University School  of Medicine, Shanghai, China.; Center for Functional Neurosurgery, Ruijin Hospital, Shanghai Jiao Tong  University School of Medicine, Shanghai, China.&lt;/_author_adr&gt;&lt;_date_display&gt;2021 Oct&lt;/_date_display&gt;&lt;_date&gt;2021-10-01&lt;/_date&gt;&lt;_doi&gt;10.1002/ana.26199&lt;/_doi&gt;&lt;_isbn&gt;1531-8249 (Electronic); 0364-5134 (Print); 0364-5134 (Linking)&lt;/_isbn&gt;&lt;_issue&gt;4&lt;/_issue&gt;&lt;_journal&gt;Ann Neurol&lt;/_journal&gt;&lt;_language&gt;eng&lt;/_language&gt;&lt;_ori_publication&gt;© 2021 The Authors. Annals of Neurology published by Wiley Periodicals LLC on _x000d__x000a_      behalf of American Neurological Association.&lt;/_ori_publication&gt;&lt;_pages&gt;670-682&lt;/_pages&gt;&lt;_subject_headings&gt;Aged; Cerebellum/physiopathology; *Deep Brain Stimulation/methods; Female; Globus Pallidus/*physiopathology/surgery; Humans; Magnetic Resonance Imaging/methods; Male; Middle Aged; Parkinson Disease/*physiopathology/*therapy; Subthalamic Nucleus/*physiopathology/surgery; Thalamus/physiopathology&lt;/_subject_headings&gt;&lt;_tertiary_title&gt;Annals of neurology&lt;/_tertiary_title&gt;&lt;_type_work&gt;Journal Article; Research Support, Non-U.S. Gov&amp;apos;t&lt;/_type_work&gt;&lt;_url&gt;http://www.ncbi.nlm.nih.gov/entrez/query.fcgi?cmd=Retrieve&amp;amp;db=pubmed&amp;amp;dopt=Abstract&amp;amp;list_uids=34390280&amp;amp;query_hl=1&lt;/_url&gt;&lt;_volume&gt;90&lt;/_volume&gt;&lt;_created&gt;64982303&lt;/_created&gt;&lt;_modified&gt;64982303&lt;/_modified&gt;&lt;_impact_factor&gt;  11.274&lt;/_impact_factor&gt;&lt;_social_category&gt;医学(1)&lt;/_social_category&gt;&lt;_collection_scope&gt;SCIE&lt;/_collection_scope&gt;&lt;/Details&gt;&lt;Extra&gt;&lt;DBUID&gt;{F96A950B-833F-4880-A151-76DA2D6A2879}&lt;/DBUID&gt;&lt;/Extra&gt;&lt;/Item&gt;&lt;/References&gt;&lt;/Group&gt;&lt;/Citation&gt;_x000a_"/>
    <w:docVar w:name="NE.Ref{4E3A426A-15B6-4E38-82BB-D80301079D69}" w:val=" ADDIN NE.Ref.{4E3A426A-15B6-4E38-82BB-D80301079D69}&lt;Citation&gt;&lt;Group&gt;&lt;References&gt;&lt;Item&gt;&lt;ID&gt;549&lt;/ID&gt;&lt;UID&gt;{564C46F2-9879-4733-926E-20970E61ED2D}&lt;/UID&gt;&lt;Title&gt;Subthalamic stimulation modulates motor network in Parkinson’s disease: recover, relieve and remodel&lt;/Title&gt;&lt;Template&gt;Journal Article&lt;/Template&gt;&lt;Star&gt;0&lt;/Star&gt;&lt;Tag&gt;0&lt;/Tag&gt;&lt;Author&gt;Chu, Chunguang; Liu, Shang; He, Naying; Zeng, Zhitong; Wang, Jiang; Zhang, Zhen; Zeljic, Kristina; van der Stelt, Odin; Sun, Bomin; Yan, Fuhua; Liu, Chen; Li, Dianyou; Zhang, Chencheng&lt;/Author&gt;&lt;Year&gt;2023&lt;/Year&gt;&lt;Details&gt;&lt;_alternate_title&gt;Brain&lt;/_alternate_title&gt;&lt;_date_display&gt;2023_x000d__x000a_2023/07/01&lt;/_date_display&gt;&lt;_date&gt;2023-07-01&lt;/_date&gt;&lt;_doi&gt;10.1093/brain/awad004&lt;/_doi&gt;&lt;_isbn&gt;0006-8950&lt;/_isbn&gt;&lt;_issue&gt;7&lt;/_issue&gt;&lt;_journal&gt;Brain&lt;/_journal&gt;&lt;_pages&gt;2780-2791&lt;/_pages&gt;&lt;_url&gt;https://doi.org/10.1093/brain/awad004&lt;/_url&gt;&lt;_volume&gt;146&lt;/_volume&gt;&lt;_created&gt;64982294&lt;/_created&gt;&lt;_modified&gt;64982294&lt;/_modified&gt;&lt;_impact_factor&gt;  15.255&lt;/_impact_factor&gt;&lt;_social_category&gt;医学(1)&lt;/_social_category&gt;&lt;_collection_scope&gt;SCIE&lt;/_collection_scope&gt;&lt;/Details&gt;&lt;Extra&gt;&lt;DBUID&gt;{F96A950B-833F-4880-A151-76DA2D6A2879}&lt;/DBUID&gt;&lt;/Extra&gt;&lt;/Item&gt;&lt;/References&gt;&lt;/Group&gt;&lt;/Citation&gt;_x000a_"/>
    <w:docVar w:name="NE.Ref{546848C7-5269-49CE-8BE0-F6F06243BD4E}" w:val=" ADDIN NE.Ref.{546848C7-5269-49CE-8BE0-F6F06243BD4E}&lt;Citation&gt;&lt;Group&gt;&lt;References&gt;&lt;Item&gt;&lt;ID&gt;539&lt;/ID&gt;&lt;UID&gt;{BECA1B3C-B840-4796-9D92-E9858CD5DB44}&lt;/UID&gt;&lt;Title&gt;Dynamic Dopamine Modulation in the Basal Ganglia: A Neurocomputational Account of Cognitive Deficits in Medicated and Nonmedicated Parkinsonism&lt;/Title&gt;&lt;Template&gt;Journal Article&lt;/Template&gt;&lt;Star&gt;0&lt;/Star&gt;&lt;Tag&gt;0&lt;/Tag&gt;&lt;Author&gt;Frank, Michael J&lt;/Author&gt;&lt;Year&gt;2005&lt;/Year&gt;&lt;Details&gt;&lt;_doi&gt;10.1162/0898929052880093&lt;/_doi&gt;&lt;_isbn&gt;0898-929X&lt;/_isbn&gt;&lt;_issue&gt;1&lt;/_issue&gt;&lt;_journal&gt;Journal of Cognitive Neuroscience&lt;/_journal&gt;&lt;_pages&gt;51-72&lt;/_pages&gt;&lt;_url&gt;https://doi.org/10.1162/0898929052880093&lt;/_url&gt;&lt;_volume&gt;17&lt;/_volume&gt;&lt;_created&gt;64981381&lt;/_created&gt;&lt;_modified&gt;64981381&lt;/_modified&gt;&lt;_impact_factor&gt;   3.420&lt;/_impact_factor&gt;&lt;_social_category&gt;心理学(3)&lt;/_social_category&gt;&lt;_collection_scope&gt;SCIE;SSCI;EI&lt;/_collection_scope&gt;&lt;/Details&gt;&lt;Extra&gt;&lt;DBUID&gt;{F96A950B-833F-4880-A151-76DA2D6A2879}&lt;/DBUID&gt;&lt;/Extra&gt;&lt;/Item&gt;&lt;/References&gt;&lt;/Group&gt;&lt;/Citation&gt;_x000a_"/>
    <w:docVar w:name="NE.Ref{5CFBB52C-CC76-4306-A655-6D4B58622770}" w:val=" ADDIN NE.Ref.{5CFBB52C-CC76-4306-A655-6D4B58622770}&lt;Citation&gt;&lt;Group&gt;&lt;References&gt;&lt;Item&gt;&lt;ID&gt;517&lt;/ID&gt;&lt;UID&gt;{E2363E82-6117-42D1-A7B6-E8C9E54A2AAE}&lt;/UID&gt;&lt;Title&gt;[1] Deep_brain_stimulation_modulates_the_dynamics_of_r&lt;/Title&gt;&lt;Template&gt;Journal Article&lt;/Template&gt;&lt;Star&gt;0&lt;/Star&gt;&lt;Tag&gt;0&lt;/Tag&gt;&lt;Author/&gt;&lt;Year&gt;0&lt;/Year&gt;&lt;Details&gt;&lt;_created&gt;64981342&lt;/_created&gt;&lt;_modified&gt;64981342&lt;/_modified&gt;&lt;/Details&gt;&lt;Extra&gt;&lt;DBUID&gt;{F96A950B-833F-4880-A151-76DA2D6A2879}&lt;/DBUID&gt;&lt;/Extra&gt;&lt;/Item&gt;&lt;/References&gt;&lt;/Group&gt;&lt;/Citation&gt;_x000a_"/>
    <w:docVar w:name="NE.Ref{6DDDB11F-F464-4E43-9CFF-A9DB53929479}" w:val=" ADDIN NE.Ref.{6DDDB11F-F464-4E43-9CFF-A9DB53929479}&lt;Citation&gt;&lt;Group&gt;&lt;References&gt;&lt;Item&gt;&lt;ID&gt;543&lt;/ID&gt;&lt;UID&gt;{5DE7EE7D-6A19-4A42-A0BB-1B141F6C52DC}&lt;/UID&gt;&lt;Title&gt;Analysis of a large fMRI cohort: Statistical and methodological issues for group  analyses&lt;/Title&gt;&lt;Template&gt;Journal Article&lt;/Template&gt;&lt;Star&gt;0&lt;/Star&gt;&lt;Tag&gt;0&lt;/Tag&gt;&lt;Author&gt;Thirion, B; Pinel, P; Mériaux, S; Roche, A; Dehaene, S; Poline, J B&lt;/Author&gt;&lt;Year&gt;2007&lt;/Year&gt;&lt;Details&gt;&lt;_accession_num&gt;17239619&lt;/_accession_num&gt;&lt;_author_adr&gt;INRIA Futurs, Service Hospitalier Frédéric Joliot, 4, Place du Général Leclerc,  91401 Orsay cedex, France. thirion@shfj.cea.fr &amp;lt;thirion@shfj.cea.fr&amp;gt;&lt;/_author_adr&gt;&lt;_date_display&gt;2007 Mar&lt;/_date_display&gt;&lt;_date&gt;2007-03-01&lt;/_date&gt;&lt;_doi&gt;10.1016/j.neuroimage.2006.11.054&lt;/_doi&gt;&lt;_isbn&gt;1053-8119 (Print); 1053-8119 (Linking)&lt;/_isbn&gt;&lt;_issue&gt;1&lt;/_issue&gt;&lt;_journal&gt;Neuroimage&lt;/_journal&gt;&lt;_language&gt;eng&lt;/_language&gt;&lt;_pages&gt;105-20&lt;/_pages&gt;&lt;_subject_headings&gt;Algorithms; Brain Mapping; Cluster Analysis; Cohort Studies; Databases, Factual; Humans; Image Processing, Computer-Assisted/*methods/*statistics &amp;amp; numerical data; Magnetic Resonance Imaging/*methods/*statistics &amp;amp; numerical data; Models, Neurological; Models, Statistical; Reproducibility of Results; Sample Size&lt;/_subject_headings&gt;&lt;_tertiary_title&gt;NeuroImage&lt;/_tertiary_title&gt;&lt;_type_work&gt;Journal Article&lt;/_type_work&gt;&lt;_url&gt;http://www.ncbi.nlm.nih.gov/entrez/query.fcgi?cmd=Retrieve&amp;amp;db=pubmed&amp;amp;dopt=Abstract&amp;amp;list_uids=17239619&amp;amp;query_hl=1&lt;/_url&gt;&lt;_volume&gt;35&lt;/_volume&gt;&lt;_created&gt;64981383&lt;/_created&gt;&lt;_modified&gt;64981383&lt;/_modified&gt;&lt;_impact_factor&gt;   7.400&lt;/_impact_factor&gt;&lt;_social_category&gt;医学(1)&lt;/_social_category&gt;&lt;_collection_scope&gt;SCIE&lt;/_collection_scope&gt;&lt;/Details&gt;&lt;Extra&gt;&lt;DBUID&gt;{F96A950B-833F-4880-A151-76DA2D6A2879}&lt;/DBUID&gt;&lt;/Extra&gt;&lt;/Item&gt;&lt;/References&gt;&lt;/Group&gt;&lt;/Citation&gt;_x000a_"/>
    <w:docVar w:name="NE.Ref{70B3BD61-C57B-4FCE-8D46-6E6FBE3B15F6}" w:val=" ADDIN NE.Ref.{70B3BD61-C57B-4FCE-8D46-6E6FBE3B15F6}&lt;Citation&gt;&lt;Group&gt;&lt;References&gt;&lt;Item&gt;&lt;ID&gt;568&lt;/ID&gt;&lt;UID&gt;{C193CCA2-DF87-40AE-8953-F5C42208939F}&lt;/UID&gt;&lt;Title&gt;Motor symptoms in Parkinson&amp;apos;s disease: A unified framework&lt;/Title&gt;&lt;Template&gt;Journal Article&lt;/Template&gt;&lt;Star&gt;0&lt;/Star&gt;&lt;Tag&gt;0&lt;/Tag&gt;&lt;Author&gt;Moustafa, Ahmed A; Chakravarthy, Srinivasa; Phillips, Joseph R; Gupta, Ankur; Keri, Szabolcs; Polner, Bertalan; Frank, Michael J; Jahanshahi, Marjan&lt;/Author&gt;&lt;Year&gt;2016&lt;/Year&gt;&lt;Details&gt;&lt;_created&gt;65063270&lt;/_created&gt;&lt;_modified&gt;65063270&lt;/_modified&gt;&lt;_url&gt;https://go.exlibris.link/VNKphQfX&lt;/_url&gt;&lt;_place_published&gt;United States&lt;/_place_published&gt;&lt;_journal&gt;Neuroscience and biobehavioral reviews&lt;/_journal&gt;&lt;_volume&gt;68&lt;/_volume&gt;&lt;_number&gt;1&lt;/_number&gt;&lt;_pages&gt;727-740&lt;/_pages&gt;&lt;_doi&gt;10.1016/j.neubiorev.2016.07.010&lt;/_doi&gt;&lt;_date_display&gt;2016&lt;/_date_display&gt;&lt;_date&gt;61009920&lt;/_date&gt;&lt;_isbn&gt;0149-7634&lt;/_isbn&gt;&lt;_ori_publication&gt;Elsevier B.V&lt;/_ori_publication&gt;&lt;_keywords&gt;Antiparkinsonian agents; Deep Brain Stimulation; Dopamine; Dopamine Agents; Gait; Humans; Motor Activity; Neurosciences; Parkinson Disease; Speech&lt;/_keywords&gt;&lt;_accessed&gt;65063270&lt;/_accessed&gt;&lt;_db_updated&gt;PKU Search&lt;/_db_updated&gt;&lt;_impact_factor&gt;   9.052&lt;/_impact_factor&gt;&lt;_social_category&gt;心理学(1)&lt;/_social_category&gt;&lt;_collection_scope&gt;SCIE&lt;/_collection_scope&gt;&lt;/Details&gt;&lt;Extra&gt;&lt;DBUID&gt;{F96A950B-833F-4880-A151-76DA2D6A2879}&lt;/DBUID&gt;&lt;/Extra&gt;&lt;/Item&gt;&lt;/References&gt;&lt;/Group&gt;&lt;/Citation&gt;_x000a_"/>
    <w:docVar w:name="NE.Ref{7662DAC5-4692-464A-A213-C1A5A9A06A4D}" w:val=" ADDIN NE.Ref.{7662DAC5-4692-464A-A213-C1A5A9A06A4D}&lt;Citation&gt;&lt;Group&gt;&lt;References&gt;&lt;Item&gt;&lt;ID&gt;519&lt;/ID&gt;&lt;UID&gt;{46A3899E-D86F-4762-9B97-7393E5C73DC8}&lt;/UID&gt;&lt;Title&gt;[1]&lt;/Title&gt;&lt;Template&gt;Journal Article&lt;/Template&gt;&lt;Star&gt;0&lt;/Star&gt;&lt;Tag&gt;0&lt;/Tag&gt;&lt;Author/&gt;&lt;Year&gt;0&lt;/Year&gt;&lt;Details&gt;&lt;_created&gt;64981355&lt;/_created&gt;&lt;_modified&gt;64981355&lt;/_modified&gt;&lt;/Details&gt;&lt;Extra&gt;&lt;DBUID&gt;{F96A950B-833F-4880-A151-76DA2D6A2879}&lt;/DBUID&gt;&lt;/Extra&gt;&lt;/Item&gt;&lt;/References&gt;&lt;/Group&gt;&lt;/Citation&gt;_x000a_"/>
    <w:docVar w:name="NE.Ref{788B73BE-A9CC-4961-9A8F-ADC25DA8FB6D}" w:val=" ADDIN NE.Ref.{788B73BE-A9CC-4961-9A8F-ADC25DA8FB6D}&lt;Citation&gt;&lt;Group&gt;&lt;References&gt;&lt;Item&gt;&lt;ID&gt;553&lt;/ID&gt;&lt;UID&gt;{25FD0F92-45D1-48F1-88A1-20BFA8421FEA}&lt;/UID&gt;&lt;Title&gt;Dynamic causal modelling&lt;/Title&gt;&lt;Template&gt;Journal Article&lt;/Template&gt;&lt;Star&gt;0&lt;/Star&gt;&lt;Tag&gt;0&lt;/Tag&gt;&lt;Author&gt;Friston, K J; Harrison, L; Penny, W&lt;/Author&gt;&lt;Year&gt;2003&lt;/Year&gt;&lt;Details&gt;&lt;_accession_num&gt;12948688&lt;/_accession_num&gt;&lt;_author_adr&gt;The Wellcome Department of Imaging Neuroscience, Institute of Neurology, Queen  Square, London WC1N 3BG, UK. k.friston@fil.ion.ucl.ac.uk&lt;/_author_adr&gt;&lt;_date_display&gt;2003 Aug&lt;/_date_display&gt;&lt;_date&gt;2003-08-01&lt;/_date&gt;&lt;_doi&gt;10.1016/s1053-8119(03)00202-7&lt;/_doi&gt;&lt;_isbn&gt;1053-8119 (Print); 1053-8119 (Linking)&lt;/_isbn&gt;&lt;_issue&gt;4&lt;/_issue&gt;&lt;_journal&gt;Neuroimage&lt;/_journal&gt;&lt;_language&gt;eng&lt;/_language&gt;&lt;_pages&gt;1273-302&lt;/_pages&gt;&lt;_subject_headings&gt;Arousal/*physiology; Attention/*physiology; Bayes Theorem; Brain/*physiology; Brain Mapping; Corpus Striatum/physiopathology; Evoked Potentials/physiology; Hemodynamics/physiology; Humans; Linear Models; Magnetic Resonance Imaging/*statistics &amp;amp; numerical data; *Models, Neurological; Motion Perception/physiology; *Neural Networks, Computer; *Nonlinear Dynamics; Parietal Lobe/physiology&lt;/_subject_headings&gt;&lt;_tertiary_title&gt;NeuroImage&lt;/_tertiary_title&gt;&lt;_type_work&gt;Journal Article; Research Support, Non-U.S. Gov&amp;apos;t&lt;/_type_work&gt;&lt;_url&gt;http://www.ncbi.nlm.nih.gov/entrez/query.fcgi?cmd=Retrieve&amp;amp;db=pubmed&amp;amp;dopt=Abstract&amp;amp;list_uids=12948688&amp;amp;query_hl=1&lt;/_url&gt;&lt;_volume&gt;19&lt;/_volume&gt;&lt;_created&gt;64982301&lt;/_created&gt;&lt;_modified&gt;64982301&lt;/_modified&gt;&lt;_impact_factor&gt;   7.400&lt;/_impact_factor&gt;&lt;_social_category&gt;医学(1)&lt;/_social_category&gt;&lt;_collection_scope&gt;SCIE&lt;/_collection_scope&gt;&lt;/Details&gt;&lt;Extra&gt;&lt;DBUID&gt;{F96A950B-833F-4880-A151-76DA2D6A2879}&lt;/DBUID&gt;&lt;/Extra&gt;&lt;/Item&gt;&lt;/References&gt;&lt;/Group&gt;&lt;/Citation&gt;_x000a_"/>
    <w:docVar w:name="NE.Ref{79151B14-D2E3-4842-B76E-CB8817C86FDB}" w:val=" ADDIN NE.Ref.{79151B14-D2E3-4842-B76E-CB8817C86FDB}&lt;Citation&gt;&lt;Group&gt;&lt;References&gt;&lt;Item&gt;&lt;ID&gt;558&lt;/ID&gt;&lt;UID&gt;{F29B6D45-3E8A-44E3-B607-551AB84F2C5F}&lt;/UID&gt;&lt;Title&gt;Practical Bayesian Optimization for Model Fitting with Bayesian Adaptive Direct Search&lt;/Title&gt;&lt;Template&gt;Patent&lt;/Template&gt;&lt;Star&gt;0&lt;/Star&gt;&lt;Tag&gt;0&lt;/Tag&gt;&lt;Author&gt;Acerbi, Luigi; Ma, Wei Ji&lt;/Author&gt;&lt;Year&gt;2017&lt;/Year&gt;&lt;Details&gt;&lt;_created&gt;64982320&lt;/_created&gt;&lt;_modified&gt;64982320&lt;/_modified&gt;&lt;/Details&gt;&lt;Extra&gt;&lt;DBUID&gt;{F96A950B-833F-4880-A151-76DA2D6A2879}&lt;/DBUID&gt;&lt;/Extra&gt;&lt;/Item&gt;&lt;/References&gt;&lt;/Group&gt;&lt;/Citation&gt;_x000a_"/>
    <w:docVar w:name="NE.Ref{7E6E5F68-4AE0-4CEA-9738-906A17C0631F}" w:val=" ADDIN NE.Ref.{7E6E5F68-4AE0-4CEA-9738-906A17C0631F}&lt;Citation&gt;&lt;Group&gt;&lt;References&gt;&lt;Item&gt;&lt;ID&gt;553&lt;/ID&gt;&lt;UID&gt;{25FD0F92-45D1-48F1-88A1-20BFA8421FEA}&lt;/UID&gt;&lt;Title&gt;Dynamic causal modelling&lt;/Title&gt;&lt;Template&gt;Journal Article&lt;/Template&gt;&lt;Star&gt;0&lt;/Star&gt;&lt;Tag&gt;0&lt;/Tag&gt;&lt;Author&gt;Friston, K J; Harrison, L; Penny, W&lt;/Author&gt;&lt;Year&gt;2003&lt;/Year&gt;&lt;Details&gt;&lt;_accession_num&gt;12948688&lt;/_accession_num&gt;&lt;_author_adr&gt;The Wellcome Department of Imaging Neuroscience, Institute of Neurology, Queen  Square, London WC1N 3BG, UK. k.friston@fil.ion.ucl.ac.uk&lt;/_author_adr&gt;&lt;_date_display&gt;2003 Aug&lt;/_date_display&gt;&lt;_date&gt;2003-08-01&lt;/_date&gt;&lt;_doi&gt;10.1016/s1053-8119(03)00202-7&lt;/_doi&gt;&lt;_isbn&gt;1053-8119 (Print); 1053-8119 (Linking)&lt;/_isbn&gt;&lt;_issue&gt;4&lt;/_issue&gt;&lt;_journal&gt;Neuroimage&lt;/_journal&gt;&lt;_language&gt;eng&lt;/_language&gt;&lt;_pages&gt;1273-302&lt;/_pages&gt;&lt;_subject_headings&gt;Arousal/*physiology; Attention/*physiology; Bayes Theorem; Brain/*physiology; Brain Mapping; Corpus Striatum/physiopathology; Evoked Potentials/physiology; Hemodynamics/physiology; Humans; Linear Models; Magnetic Resonance Imaging/*statistics &amp;amp; numerical data; *Models, Neurological; Motion Perception/physiology; *Neural Networks, Computer; *Nonlinear Dynamics; Parietal Lobe/physiology&lt;/_subject_headings&gt;&lt;_tertiary_title&gt;NeuroImage&lt;/_tertiary_title&gt;&lt;_type_work&gt;Journal Article; Research Support, Non-U.S. Gov&amp;apos;t&lt;/_type_work&gt;&lt;_url&gt;http://www.ncbi.nlm.nih.gov/entrez/query.fcgi?cmd=Retrieve&amp;amp;db=pubmed&amp;amp;dopt=Abstract&amp;amp;list_uids=12948688&amp;amp;query_hl=1&lt;/_url&gt;&lt;_volume&gt;19&lt;/_volume&gt;&lt;_created&gt;64982301&lt;/_created&gt;&lt;_modified&gt;64982301&lt;/_modified&gt;&lt;_impact_factor&gt;   7.400&lt;/_impact_factor&gt;&lt;_social_category&gt;医学(1)&lt;/_social_category&gt;&lt;_collection_scope&gt;SCIE&lt;/_collection_scope&gt;&lt;/Details&gt;&lt;Extra&gt;&lt;DBUID&gt;{F96A950B-833F-4880-A151-76DA2D6A2879}&lt;/DBUID&gt;&lt;/Extra&gt;&lt;/Item&gt;&lt;/References&gt;&lt;/Group&gt;&lt;/Citation&gt;_x000a_"/>
    <w:docVar w:name="NE.Ref{888D399F-5BEC-455A-9048-C68901F06CDD}" w:val=" ADDIN NE.Ref.{888D399F-5BEC-455A-9048-C68901F06CDD}&lt;Citation&gt;&lt;Group&gt;&lt;References&gt;&lt;Item&gt;&lt;ID&gt;517&lt;/ID&gt;&lt;UID&gt;{E2363E82-6117-42D1-A7B6-E8C9E54A2AAE}&lt;/UID&gt;&lt;Title&gt;[1] Deep_brain_stimulation_modulates_the_dynamics_of_r&lt;/Title&gt;&lt;Template&gt;Journal Article&lt;/Template&gt;&lt;Star&gt;0&lt;/Star&gt;&lt;Tag&gt;0&lt;/Tag&gt;&lt;Author/&gt;&lt;Year&gt;0&lt;/Year&gt;&lt;Details&gt;&lt;_created&gt;64981342&lt;/_created&gt;&lt;_modified&gt;64981342&lt;/_modified&gt;&lt;/Details&gt;&lt;Extra&gt;&lt;DBUID&gt;{F96A950B-833F-4880-A151-76DA2D6A2879}&lt;/DBUID&gt;&lt;/Extra&gt;&lt;/Item&gt;&lt;/References&gt;&lt;/Group&gt;&lt;Group&gt;&lt;References&gt;&lt;Item&gt;&lt;ID&gt;518&lt;/ID&gt;&lt;UID&gt;{A35EEAA4-F3FB-44E0-A8B7-FBBCF3B1E4F8}&lt;/UID&gt;&lt;Title&gt;[2]&lt;/Title&gt;&lt;Template&gt;Journal Article&lt;/Template&gt;&lt;Star&gt;0&lt;/Star&gt;&lt;Tag&gt;0&lt;/Tag&gt;&lt;Author/&gt;&lt;Year&gt;0&lt;/Year&gt;&lt;Details&gt;&lt;_created&gt;64981347&lt;/_created&gt;&lt;_modified&gt;64981347&lt;/_modified&gt;&lt;/Details&gt;&lt;Extra&gt;&lt;DBUID&gt;{F96A950B-833F-4880-A151-76DA2D6A2879}&lt;/DBUID&gt;&lt;/Extra&gt;&lt;/Item&gt;&lt;/References&gt;&lt;/Group&gt;&lt;/Citation&gt;_x000a_"/>
    <w:docVar w:name="NE.Ref{891BF6AE-6A62-4122-B691-46AFA5F5FDC4}" w:val=" ADDIN NE.Ref.{891BF6AE-6A62-4122-B691-46AFA5F5FDC4}&lt;Citation&gt;&lt;Group&gt;&lt;References&gt;&lt;Item&gt;&lt;ID&gt;550&lt;/ID&gt;&lt;UID&gt;{590875B4-D849-478C-B505-CE9380E9EC58}&lt;/UID&gt;&lt;Title&gt;Subthalamic and pallidal stimulation in Parkinson&amp;apos;s disease induce distinct brain  topological reconstruction&lt;/Title&gt;&lt;Template&gt;Journal Article&lt;/Template&gt;&lt;Star&gt;0&lt;/Star&gt;&lt;Tag&gt;0&lt;/Tag&gt;&lt;Author&gt;Chu, C; He, N; Zeljic, K; Zhang, Z; Wang, J; Li, J; Liu, Y; Zhang, Y; Sun, B; Li, D; Yan, F; Zhang, C; Liu, C&lt;/Author&gt;&lt;Year&gt;2022&lt;/Year&gt;&lt;Details&gt;&lt;_accession_num&gt;35413446&lt;/_accession_num&gt;&lt;_author_adr&gt;School of Electrical and Information Engineering, Tianjin University, Tianjin,  China.; Department of Radiology, Ruijin Hospital, Shanghai Jiao Tong University School of  Medicine, Shanghai, China.; School of Health Sciences, City, University of London, London, EC1V 0HB, UK.; School of Electrical and Information Engineering, Tianjin University, Tianjin,  China.; School of Electrical and Information Engineering, Tianjin University, Tianjin,  China.; School of Information Science and Technology, Shanghai Tech University, Shanghai,  China.; Department of Radiology, Ruijin Hospital, Shanghai Jiao Tong University School of  Medicine, Shanghai, China.; Department of Radiology, Ruijin Hospital, Shanghai Jiao Tong University School of  Medicine, Shanghai, China.; Department of Neurosurgery, Center for Functional Neurosurgery, Ruijin Hospital,  Shanghai Jiao Tong University School of Medicine, Shanghai, China; Clinical  Neuroscience Center, Ruijin Hospital LuWan Branch, Shanghai Jiao Tong University  School of Medicine, Shanghai, China.; Department of Neurosurgery, Center for Functional Neurosurgery, Ruijin Hospital,  Shanghai Jiao Tong University School of Medicine, Shanghai, China; Clinical  Neuroscience Center, Ruijin Hospital LuWan Branch, Shanghai Jiao Tong University  School of Medicine, Shanghai, China.; Department of Radiology, Ruijin Hospital, Shanghai Jiao Tong University School of  Medicine, Shanghai, China. Electronic address: yfh11655@rjh.com.cn.; Department of Neurosurgery, Center for Functional Neurosurgery, Ruijin Hospital,  Shanghai Jiao Tong University School of Medicine, Shanghai, China; Clinical  Neuroscience Center, Ruijin Hospital LuWan Branch, Shanghai Jiao Tong University  School of Medicine, Shanghai, China; Shanghai Research Center for Brain Science  and Brain-Inspired Technology, Shanghai, China. Electronic address:  i@cczhang.org.; School of Electrical and Information Engineering, Tianjin University, Tianjin,  China. Electronic address: liuchen715@tju.edu.cn.&lt;/_author_adr&gt;&lt;_date_display&gt;2022 Jul 15&lt;/_date_display&gt;&lt;_date&gt;2022-07-15&lt;/_date&gt;&lt;_doi&gt;10.1016/j.neuroimage.2022.119196&lt;/_doi&gt;&lt;_isbn&gt;1095-9572 (Electronic); 1053-8119 (Linking)&lt;/_isbn&gt;&lt;_journal&gt;Neuroimage&lt;/_journal&gt;&lt;_keywords&gt;Deep brain stimulation; Network topology; Parkinson&amp;apos;s disease; Resting-state functional mri&lt;/_keywords&gt;&lt;_language&gt;eng&lt;/_language&gt;&lt;_ori_publication&gt;Copyright © 2022. Published by Elsevier Inc.&lt;/_ori_publication&gt;&lt;_pages&gt;119196&lt;/_pages&gt;&lt;_subject_headings&gt;*Deep Brain Stimulation/methods; Globus Pallidus; Humans; Magnetic Resonance Imaging; *Parkinson Disease/diagnostic imaging/therapy; *Subthalamic Nucleus&lt;/_subject_headings&gt;&lt;_tertiary_title&gt;NeuroImage&lt;/_tertiary_title&gt;&lt;_type_work&gt;Journal Article; Research Support, Non-U.S. Gov&amp;apos;t&lt;/_type_work&gt;&lt;_url&gt;http://www.ncbi.nlm.nih.gov/entrez/query.fcgi?cmd=Retrieve&amp;amp;db=pubmed&amp;amp;dopt=Abstract&amp;amp;list_uids=35413446&amp;amp;query_hl=1&lt;/_url&gt;&lt;_volume&gt;255&lt;/_volume&gt;&lt;_created&gt;64982297&lt;/_created&gt;&lt;_modified&gt;64982297&lt;/_modified&gt;&lt;_impact_factor&gt;   7.400&lt;/_impact_factor&gt;&lt;_social_category&gt;医学(1)&lt;/_social_category&gt;&lt;_collection_scope&gt;SCIE&lt;/_collection_scope&gt;&lt;/Details&gt;&lt;Extra&gt;&lt;DBUID&gt;{F96A950B-833F-4880-A151-76DA2D6A2879}&lt;/DBUID&gt;&lt;/Extra&gt;&lt;/Item&gt;&lt;/References&gt;&lt;/Group&gt;&lt;/Citation&gt;_x000a_"/>
    <w:docVar w:name="NE.Ref{8D501BE0-3E57-479A-A5A2-76ACEF8C84B5}" w:val=" ADDIN NE.Ref.{8D501BE0-3E57-479A-A5A2-76ACEF8C84B5}&lt;Citation&gt;&lt;Group&gt;&lt;References&gt;&lt;Item&gt;&lt;ID&gt;530&lt;/ID&gt;&lt;UID&gt;{06122EC5-F0EC-4A5E-AE61-07A6E3B057F6}&lt;/UID&gt;&lt;Title&gt;Brain connectivity changes when comparing effects of subthalamic deep brain  stimulation with levodopa treatment in Parkinson&amp;apos;s disease&lt;/Title&gt;&lt;Template&gt;Journal Article&lt;/Template&gt;&lt;Star&gt;0&lt;/Star&gt;&lt;Tag&gt;0&lt;/Tag&gt;&lt;Author&gt;Mueller, K; Jech, R; Růžička, F; Holiga, Š; Ballarini, T; Bezdicek, O; Möller, H E; Vymazal, J; Růžička, E; Schroeter, M L; Urgošík, D&lt;/Author&gt;&lt;Year&gt;2018&lt;/Year&gt;&lt;Details&gt;&lt;_accession_num&gt;30035027&lt;/_accession_num&gt;&lt;_author_adr&gt;Max Planck Institute for Human Cognitive and Brain Sciences, Leipzig, Germany.; Department of Neurology and Center of Clinical Neuroscience, Charles University,  First Faculty of Medicine and General University Hospital in Prague, Prague,  Czech Republic; Department of Stereotactic and Radiation Neurosurgery, Na Homolce  Hospital, Prague, Czech Republic. Electronic address: jech@cesnet.cz.; Department of Neurology and Center of Clinical Neuroscience, Charles University,  First Faculty of Medicine and General University Hospital in Prague, Prague,  Czech Republic.; Max Planck Institute for Human Cognitive and Brain Sciences, Leipzig, Germany.; Max Planck Institute for Human Cognitive and Brain Sciences, Leipzig, Germany.; Department of Neurology and Center of Clinical Neuroscience, Charles University,  First Faculty of Medicine and General University Hospital in Prague, Prague,  Czech Republic.; Max Planck Institute for Human Cognitive and Brain Sciences, Leipzig, Germany.; Department of Stereotactic and Radiation Neurosurgery, Na Homolce Hospital,  Prague, Czech Republic.; Department of Neurology and Center of Clinical Neuroscience, Charles University,  First Faculty of Medicine and General University Hospital in Prague, Prague,  Czech Republic.; Max Planck Institute for Human Cognitive and Brain Sciences, Leipzig, Germany;  Clinic for Cognitive Neurology, University Hospital Leipzig, Germany.; Department of Stereotactic and Radiation Neurosurgery, Na Homolce Hospital,  Prague, Czech Republic.&lt;/_author_adr&gt;&lt;_date_display&gt;2018&lt;/_date_display&gt;&lt;_date&gt;2018-01-20&lt;/_date&gt;&lt;_doi&gt;10.1016/j.nicl.2018.05.006&lt;/_doi&gt;&lt;_isbn&gt;2213-1582 (Electronic); 2213-1582 (Linking)&lt;/_isbn&gt;&lt;_journal&gt;Neuroimage Clin&lt;/_journal&gt;&lt;_keywords&gt;Brain connectivity; Deep brain stimulation; Eigenvector centrality; Functional connectivity; Levodopa; Nexopathy; Parkinson&amp;apos;s disease; Resting state magnetic resonance imaging; STN; Subthalamic nucleus&lt;/_keywords&gt;&lt;_language&gt;eng&lt;/_language&gt;&lt;_pages&gt;1025-1035&lt;/_pages&gt;&lt;_subject_headings&gt;Antiparkinson Agents/*therapeutic use; *Deep Brain Stimulation; Female; Humans; Levodopa/*therapeutic use; Magnetic Resonance Imaging; Male; Middle Aged; Nerve Net/*physiopathology; Parkinson Disease/drug therapy/*physiopathology/therapy; Severity of Illness Index; Subthalamic Nucleus/*physiopathology&lt;/_subject_headings&gt;&lt;_tertiary_title&gt;NeuroImage. Clinical&lt;/_tertiary_title&gt;&lt;_type_work&gt;Comparative Study; Journal Article; Research Support, N.I.H., Intramural&lt;/_type_work&gt;&lt;_url&gt;http://www.ncbi.nlm.nih.gov/entrez/query.fcgi?cmd=Retrieve&amp;amp;db=pubmed&amp;amp;dopt=Abstract&amp;amp;list_uids=30035027&amp;amp;query_hl=1&lt;/_url&gt;&lt;_volume&gt;19&lt;/_volume&gt;&lt;_created&gt;64981373&lt;/_created&gt;&lt;_modified&gt;64981373&lt;/_modified&gt;&lt;_impact_factor&gt;   4.891&lt;/_impact_factor&gt;&lt;_social_category&gt;医学(2)&lt;/_social_category&gt;&lt;_collection_scope&gt;SCIE&lt;/_collection_scope&gt;&lt;/Details&gt;&lt;Extra&gt;&lt;DBUID&gt;{F96A950B-833F-4880-A151-76DA2D6A2879}&lt;/DBUID&gt;&lt;/Extra&gt;&lt;/Item&gt;&lt;/References&gt;&lt;/Group&gt;&lt;/Citation&gt;_x000a_"/>
    <w:docVar w:name="NE.Ref{9325B252-DB9E-4A39-A651-F966024DBCBC}" w:val=" ADDIN NE.Ref.{9325B252-DB9E-4A39-A651-F966024DBCBC}&lt;Citation&gt;&lt;Group&gt;&lt;References&gt;&lt;Item&gt;&lt;ID&gt;526&lt;/ID&gt;&lt;UID&gt;{91BDC2FE-99CF-4641-95D1-8AF40C635AE0}&lt;/UID&gt;&lt;Title&gt;Dynamic Dopamine Modulation in the Basal Ganglia: A Neurocomputational Account of Cognitive Deficits in Medicated and Nonmedicated Parkinsonism&lt;/Title&gt;&lt;Template&gt;Journal Article&lt;/Template&gt;&lt;Star&gt;0&lt;/Star&gt;&lt;Tag&gt;0&lt;/Tag&gt;&lt;Author&gt;Frank, Michael J&lt;/Author&gt;&lt;Year&gt;2005&lt;/Year&gt;&lt;Details&gt;&lt;_doi&gt;10.1162/0898929052880093&lt;/_doi&gt;&lt;_isbn&gt;0898-929X&lt;/_isbn&gt;&lt;_issue&gt;1&lt;/_issue&gt;&lt;_journal&gt;Journal of Cognitive Neuroscience&lt;/_journal&gt;&lt;_pages&gt;51-72&lt;/_pages&gt;&lt;_url&gt;https://doi.org/10.1162/0898929052880093&lt;/_url&gt;&lt;_volume&gt;17&lt;/_volume&gt;&lt;_created&gt;64981369&lt;/_created&gt;&lt;_modified&gt;64981369&lt;/_modified&gt;&lt;_impact_factor&gt;   3.420&lt;/_impact_factor&gt;&lt;_social_category&gt;心理学(3)&lt;/_social_category&gt;&lt;_collection_scope&gt;SCIE;SSCI;EI&lt;/_collection_scope&gt;&lt;/Details&gt;&lt;Extra&gt;&lt;DBUID&gt;{F96A950B-833F-4880-A151-76DA2D6A2879}&lt;/DBUID&gt;&lt;/Extra&gt;&lt;/Item&gt;&lt;/References&gt;&lt;/Group&gt;&lt;Group&gt;&lt;References&gt;&lt;Item&gt;&lt;ID&gt;537&lt;/ID&gt;&lt;UID&gt;{568A300F-4CF2-4A9E-BE93-D387EE4F4A0A}&lt;/UID&gt;&lt;Title&gt;Dynamic Dopamine Modulation in the Basal Ganglia: A Neurocomputational Account of Cognitive Deficits in Medicated and Nonmedicated Parkinsonism&lt;/Title&gt;&lt;Template&gt;Journal Article&lt;/Template&gt;&lt;Star&gt;0&lt;/Star&gt;&lt;Tag&gt;0&lt;/Tag&gt;&lt;Author&gt;Frank, Michael J&lt;/Author&gt;&lt;Year&gt;2005&lt;/Year&gt;&lt;Details&gt;&lt;_doi&gt;10.1162/0898929052880093&lt;/_doi&gt;&lt;_isbn&gt;0898-929X&lt;/_isbn&gt;&lt;_issue&gt;1&lt;/_issue&gt;&lt;_journal&gt;Journal of Cognitive Neuroscience&lt;/_journal&gt;&lt;_pages&gt;51-72&lt;/_pages&gt;&lt;_url&gt;https://doi.org/10.1162/0898929052880093&lt;/_url&gt;&lt;_volume&gt;17&lt;/_volume&gt;&lt;_created&gt;64981377&lt;/_created&gt;&lt;_modified&gt;64981377&lt;/_modified&gt;&lt;_impact_factor&gt;   3.420&lt;/_impact_factor&gt;&lt;_social_category&gt;心理学(3)&lt;/_social_category&gt;&lt;_collection_scope&gt;SCIE;SSCI;EI&lt;/_collection_scope&gt;&lt;/Details&gt;&lt;Extra&gt;&lt;DBUID&gt;{F96A950B-833F-4880-A151-76DA2D6A2879}&lt;/DBUID&gt;&lt;/Extra&gt;&lt;/Item&gt;&lt;/References&gt;&lt;/Group&gt;&lt;/Citation&gt;_x000a_"/>
    <w:docVar w:name="NE.Ref{99114BCB-1CAF-40F3-B387-77313309E42A}" w:val=" ADDIN NE.Ref.{99114BCB-1CAF-40F3-B387-77313309E42A}&lt;Citation&gt;&lt;Group&gt;&lt;References&gt;&lt;Item&gt;&lt;ID&gt;567&lt;/ID&gt;&lt;UID&gt;{7F47F735-B1F5-4139-A7F0-2BE8A91FE25A}&lt;/UID&gt;&lt;Title&gt;Functional connectivity between resting-state networks reflects decline in  executive function in Parkinson&amp;apos;s disease: A longitudinal fMRI study&lt;/Title&gt;&lt;Template&gt;Journal Article&lt;/Template&gt;&lt;Star&gt;0&lt;/Star&gt;&lt;Tag&gt;0&lt;/Tag&gt;&lt;Author&gt;Boon, L I; Hepp, D H; Douw, L; van Geenen, N; Broeders, TAA; Geurts, JJG; Berendse, H W; Schoonheim, M M&lt;/Author&gt;&lt;Year&gt;2020&lt;/Year&gt;&lt;Details&gt;&lt;_accession_num&gt;33383608&lt;/_accession_num&gt;&lt;_author_adr&gt;Amsterdam UMC, Vrije Universiteit Amsterdam, Department of Neurology, Amsterdam  Neuroscience, De Boelelaan 1117, Amsterdam, The Netherlands. Electronic address:  l.i.boon@amsterdamumc.nl.; Amsterdam UMC, Vrije Universiteit Amsterdam, Department of Neurology, Amsterdam  Neuroscience, De Boelelaan 1117, Amsterdam, The Netherlands.; Amsterdam UMC, Vrije Universiteit Amsterdam, Department of Anatomy and  Neurosciences, Amsterdam Neuroscience, De Boelelaan 1117, Amsterdam, The  Netherlands.; Amsterdam UMC, Vrije Universiteit Amsterdam, Department of Anatomy and  Neurosciences, Amsterdam Neuroscience, De Boelelaan 1117, Amsterdam, The  Netherlands.; Amsterdam UMC, Vrije Universiteit Amsterdam, Department of Anatomy and  Neurosciences, Amsterdam Neuroscience, De Boelelaan 1117, Amsterdam, The  Netherlands.; Amsterdam UMC, Vrije Universiteit Amsterdam, Department of Anatomy and  Neurosciences, Amsterdam Neuroscience, De Boelelaan 1117, Amsterdam, The  Netherlands.; Amsterdam UMC, Vrije Universiteit Amsterdam, Department of Neurology, Amsterdam  Neuroscience, De Boelelaan 1117, Amsterdam, The Netherlands.; Amsterdam UMC, Vrije Universiteit Amsterdam, Department of Anatomy and  Neurosciences, Amsterdam Neuroscience, De Boelelaan 1117, Amsterdam, The  Netherlands.&lt;/_author_adr&gt;&lt;_date_display&gt;2020&lt;/_date_display&gt;&lt;_date&gt;2020-01-20&lt;/_date&gt;&lt;_doi&gt;10.1016/j.nicl.2020.102468&lt;/_doi&gt;&lt;_isbn&gt;2213-1582 (Electronic); 2213-1582 (Linking)&lt;/_isbn&gt;&lt;_journal&gt;Neuroimage Clin&lt;/_journal&gt;&lt;_keywords&gt;(Dynamic) functional connectivity; Cognition; Functional MRI; Parkinson&amp;apos;s disease; Resting-state networks&lt;/_keywords&gt;&lt;_language&gt;eng&lt;/_language&gt;&lt;_ori_publication&gt;Copyright © 2020 The Author(s). Published by Elsevier Inc. All rights reserved.&lt;/_ori_publication&gt;&lt;_pages&gt;102468&lt;/_pages&gt;&lt;_subject_headings&gt;Aged; Brain/diagnostic imaging; Brain Mapping; Executive Function; Humans; *Magnetic Resonance Imaging; Neural Pathways/diagnostic imaging; Neuropsychological Tests; *Parkinson Disease/complications/diagnostic imaging&lt;/_subject_headings&gt;&lt;_tertiary_title&gt;NeuroImage. Clinical&lt;/_tertiary_title&gt;&lt;_type_work&gt;Journal Article; Research Support, Non-U.S. Gov&amp;apos;t&lt;/_type_work&gt;&lt;_url&gt;http://www.ncbi.nlm.nih.gov/entrez/query.fcgi?cmd=Retrieve&amp;amp;db=pubmed&amp;amp;dopt=Abstract&amp;amp;list_uids=33383608&amp;amp;query_hl=1&lt;/_url&gt;&lt;_volume&gt;28&lt;/_volume&gt;&lt;_created&gt;64982700&lt;/_created&gt;&lt;_modified&gt;64982700&lt;/_modified&gt;&lt;_impact_factor&gt;   4.891&lt;/_impact_factor&gt;&lt;_social_category&gt;医学(2)&lt;/_social_category&gt;&lt;_collection_scope&gt;SCIE&lt;/_collection_scope&gt;&lt;/Details&gt;&lt;Extra&gt;&lt;DBUID&gt;{F96A950B-833F-4880-A151-76DA2D6A2879}&lt;/DBUID&gt;&lt;/Extra&gt;&lt;/Item&gt;&lt;/References&gt;&lt;/Group&gt;&lt;/Citation&gt;_x000a_"/>
    <w:docVar w:name="NE.Ref{9FA80D19-7DE7-4970-B64A-B662D24D1F15}" w:val=" ADDIN NE.Ref.{9FA80D19-7DE7-4970-B64A-B662D24D1F15}&lt;Citation&gt;&lt;Group&gt;&lt;References&gt;&lt;Item&gt;&lt;ID&gt;548&lt;/ID&gt;&lt;UID&gt;{A5DA4519-4A72-4681-96F3-0C06B3DCEBAF}&lt;/UID&gt;&lt;Title&gt;Deep brain stimulation modulates the dynamics of resting-state networks in patients with Parkinson’s Disease&lt;/Title&gt;&lt;Template&gt;Journal Article&lt;/Template&gt;&lt;Star&gt;0&lt;/Star&gt;&lt;Tag&gt;0&lt;/Tag&gt;&lt;Author&gt;Maria, T Gomes; Henrique, M Fernandes; Joana, Cabral&lt;/Author&gt;&lt;Year&gt;2020&lt;/Year&gt;&lt;Details&gt;&lt;_date_display&gt;2020/01/01&lt;/_date_display&gt;&lt;_date&gt;2020-01-01&lt;/_date&gt;&lt;_doi&gt;10.1101/2020.11.04.368274&lt;/_doi&gt;&lt;_journal&gt;bioRxiv&lt;/_journal&gt;&lt;_pages&gt;2020.11.04.368274&lt;/_pages&gt;&lt;_url&gt;http://biorxiv.org/content/early/2020/12/07/2020.11.04.368274.abstract&lt;/_url&gt;&lt;_created&gt;64982294&lt;/_created&gt;&lt;_modified&gt;64982294&lt;/_modified&gt;&lt;/Details&gt;&lt;Extra&gt;&lt;DBUID&gt;{F96A950B-833F-4880-A151-76DA2D6A2879}&lt;/DBUID&gt;&lt;/Extra&gt;&lt;/Item&gt;&lt;/References&gt;&lt;/Group&gt;&lt;/Citation&gt;_x000a_"/>
    <w:docVar w:name="NE.Ref{A4CD14F2-8F0C-4896-8F6C-43C29F1DD8F6}" w:val=" ADDIN NE.Ref.{A4CD14F2-8F0C-4896-8F6C-43C29F1DD8F6}&lt;Citation&gt;&lt;Group&gt;&lt;References&gt;&lt;Item&gt;&lt;ID&gt;536&lt;/ID&gt;&lt;UID&gt;{0E1BA5E1-7A78-4B9C-B00B-8C6CDE5127A7}&lt;/UID&gt;&lt;Title&gt;Rhythm-specific modulation of the sensorimotor network in drug-naive patients  with Parkinson&amp;apos;s disease by levodopa&lt;/Title&gt;&lt;Template&gt;Journal Article&lt;/Template&gt;&lt;Star&gt;0&lt;/Star&gt;&lt;Tag&gt;0&lt;/Tag&gt;&lt;Author&gt;Esposito, F; Tessitore, A; Giordano, A; De Micco, R; Paccone, A; Conforti, R; Pignataro, G; Annunziato, L; Tedeschi, G&lt;/Author&gt;&lt;Year&gt;2013&lt;/Year&gt;&lt;Details&gt;&lt;_accession_num&gt;23423673&lt;/_accession_num&gt;&lt;_author_adr&gt;Department of Neuroscience, University of Naples &amp;apos;Federico II&amp;apos;, Via S. Pansini 5,  80131 Naples, Italy. fabrizio.esposito@unina.it&lt;/_author_adr&gt;&lt;_date_display&gt;2013 Mar&lt;/_date_display&gt;&lt;_date&gt;2013-03-01&lt;/_date&gt;&lt;_doi&gt;10.1093/brain/awt007&lt;/_doi&gt;&lt;_isbn&gt;1460-2156 (Electronic); 0006-8950 (Linking)&lt;/_isbn&gt;&lt;_issue&gt;Pt 3&lt;/_issue&gt;&lt;_journal&gt;Brain&lt;/_journal&gt;&lt;_language&gt;eng&lt;/_language&gt;&lt;_pages&gt;710-25&lt;/_pages&gt;&lt;_subject_headings&gt;Aged; Antiparkinson Agents/*therapeutic use; Brain/*drug effects; Double-Blind Method; Female; Humans; Levodopa/*therapeutic use; Magnetic Resonance Imaging; Male; Middle Aged; Neural Pathways/*drug effects; Parkinson Disease/*drug therapy; Rest&lt;/_subject_headings&gt;&lt;_tertiary_title&gt;Brain : a journal of neurology&lt;/_tertiary_title&gt;&lt;_type_work&gt;Journal Article; Randomized Controlled Trial; Research Support, Non-U.S. Gov&amp;apos;t&lt;/_type_work&gt;&lt;_url&gt;http://www.ncbi.nlm.nih.gov/entrez/query.fcgi?cmd=Retrieve&amp;amp;db=pubmed&amp;amp;dopt=Abstract&amp;amp;list_uids=23423673&amp;amp;query_hl=1&lt;/_url&gt;&lt;_volume&gt;136&lt;/_volume&gt;&lt;_created&gt;64981376&lt;/_created&gt;&lt;_modified&gt;64981376&lt;/_modified&gt;&lt;_impact_factor&gt;  15.255&lt;/_impact_factor&gt;&lt;_social_category&gt;医学(1)&lt;/_social_category&gt;&lt;_collection_scope&gt;SCIE&lt;/_collection_scope&gt;&lt;/Details&gt;&lt;Extra&gt;&lt;DBUID&gt;{F96A950B-833F-4880-A151-76DA2D6A2879}&lt;/DBUID&gt;&lt;/Extra&gt;&lt;/Item&gt;&lt;/References&gt;&lt;/Group&gt;&lt;/Citation&gt;_x000a_"/>
    <w:docVar w:name="NE.Ref{A83FF1DA-A53A-4A1D-8425-3BAEB805DF47}" w:val=" ADDIN NE.Ref.{A83FF1DA-A53A-4A1D-8425-3BAEB805DF47}&lt;Citation&gt;&lt;Group&gt;&lt;References&gt;&lt;Item&gt;&lt;ID&gt;522&lt;/ID&gt;&lt;UID&gt;{C0B5BC68-E15C-4DFB-9168-6B22C5F95E4C}&lt;/UID&gt;&lt;Title&gt;Deep brain stimulation modulates the dynamics of resting-state networks in patients with Parkinson’s Disease&lt;/Title&gt;&lt;Template&gt;Journal Article&lt;/Template&gt;&lt;Star&gt;0&lt;/Star&gt;&lt;Tag&gt;0&lt;/Tag&gt;&lt;Author&gt;Maria, T Gomes; Henrique, M Fernandes; Joana, Cabral&lt;/Author&gt;&lt;Year&gt;2020&lt;/Year&gt;&lt;Details&gt;&lt;_date_display&gt;2020/01/01&lt;/_date_display&gt;&lt;_date&gt;2020-01-01&lt;/_date&gt;&lt;_doi&gt;10.1101/2020.11.04.368274&lt;/_doi&gt;&lt;_journal&gt;bioRxiv&lt;/_journal&gt;&lt;_pages&gt;2020.11.04.368274&lt;/_pages&gt;&lt;_url&gt;http://biorxiv.org/content/early/2020/12/07/2020.11.04.368274.abstract&lt;/_url&gt;&lt;_created&gt;64981363&lt;/_created&gt;&lt;_modified&gt;64981363&lt;/_modified&gt;&lt;/Details&gt;&lt;Extra&gt;&lt;DBUID&gt;{F96A950B-833F-4880-A151-76DA2D6A2879}&lt;/DBUID&gt;&lt;/Extra&gt;&lt;/Item&gt;&lt;/References&gt;&lt;/Group&gt;&lt;Group&gt;&lt;References&gt;&lt;Item&gt;&lt;ID&gt;523&lt;/ID&gt;&lt;UID&gt;{A8949B06-D270-4763-B853-9FD1F4EBC10C}&lt;/UID&gt;&lt;Title&gt;Deep brain stimulation for Parkinson&amp;apos;s disease. A critical re-evaluation of STN  versus GPi DBS&lt;/Title&gt;&lt;Template&gt;Journal Article&lt;/Template&gt;&lt;Star&gt;0&lt;/Star&gt;&lt;Tag&gt;0&lt;/Tag&gt;&lt;Author&gt;Vitek, J L&lt;/Author&gt;&lt;Year&gt;2002&lt;/Year&gt;&lt;Details&gt;&lt;_accession_num&gt;12652037&lt;/_accession_num&gt;&lt;_author_adr&gt;Department of Neurology, Emory University School of Medicine, Atlanta, Ga 30322,  USA. jvitek@emory.edu&lt;/_author_adr&gt;&lt;_date_display&gt;2002&lt;/_date_display&gt;&lt;_date&gt;2002-01-20&lt;/_date&gt;&lt;_doi&gt;10.1159/000068959&lt;/_doi&gt;&lt;_isbn&gt;1011-6125 (Print); 1011-6125 (Linking)&lt;/_isbn&gt;&lt;_issue&gt;3-4&lt;/_issue&gt;&lt;_journal&gt;Stereotact Funct Neurosurg&lt;/_journal&gt;&lt;_language&gt;eng&lt;/_language&gt;&lt;_ori_publication&gt;Copyright 2002 S. Karger AG, Basel&lt;/_ori_publication&gt;&lt;_pages&gt;119-31&lt;/_pages&gt;&lt;_subject_headings&gt;Clinical Trials as Topic/statistics &amp;amp; numerical data; Electric Stimulation Therapy/*methods/statistics &amp;amp; numerical data; Globus Pallidus/*pathology; Humans; Parkinson Disease/pathology/*therapy; Subthalamic Nucleus/*pathology&lt;/_subject_headings&gt;&lt;_tertiary_title&gt;Stereotactic and functional neurosurgery&lt;/_tertiary_title&gt;&lt;_type_work&gt;Comparative Study; Evaluation Study; Journal Article; Review&lt;/_type_work&gt;&lt;_url&gt;http://www.ncbi.nlm.nih.gov/entrez/query.fcgi?cmd=Retrieve&amp;amp;db=pubmed&amp;amp;dopt=Abstract&amp;amp;list_uids=12652037&amp;amp;query_hl=1&lt;/_url&gt;&lt;_volume&gt;78&lt;/_volume&gt;&lt;_created&gt;64981364&lt;/_created&gt;&lt;_modified&gt;64981364&lt;/_modified&gt;&lt;_impact_factor&gt;   1.643&lt;/_impact_factor&gt;&lt;_social_category&gt;医学(4)&lt;/_social_category&gt;&lt;_collection_scope&gt;SCIE&lt;/_collection_scope&gt;&lt;/Details&gt;&lt;Extra&gt;&lt;DBUID&gt;{F96A950B-833F-4880-A151-76DA2D6A2879}&lt;/DBUID&gt;&lt;/Extra&gt;&lt;/Item&gt;&lt;/References&gt;&lt;/Group&gt;&lt;/Citation&gt;_x000a_"/>
    <w:docVar w:name="NE.Ref{ABE57FFD-54D6-451E-9ADF-E6B0E3DA843E}" w:val=" ADDIN NE.Ref.{ABE57FFD-54D6-451E-9ADF-E6B0E3DA843E}&lt;Citation&gt;&lt;Group&gt;&lt;References&gt;&lt;Item&gt;&lt;ID&gt;568&lt;/ID&gt;&lt;UID&gt;{C193CCA2-DF87-40AE-8953-F5C42208939F}&lt;/UID&gt;&lt;Title&gt;Motor symptoms in Parkinson&amp;apos;s disease: A unified framework&lt;/Title&gt;&lt;Template&gt;Journal Article&lt;/Template&gt;&lt;Star&gt;0&lt;/Star&gt;&lt;Tag&gt;0&lt;/Tag&gt;&lt;Author&gt;Moustafa, Ahmed A; Chakravarthy, Srinivasa; Phillips, Joseph R; Gupta, Ankur; Keri, Szabolcs; Polner, Bertalan; Frank, Michael J; Jahanshahi, Marjan&lt;/Author&gt;&lt;Year&gt;2016&lt;/Year&gt;&lt;Details&gt;&lt;_created&gt;65063270&lt;/_created&gt;&lt;_modified&gt;65063270&lt;/_modified&gt;&lt;_url&gt;https://go.exlibris.link/VNKphQfX&lt;/_url&gt;&lt;_place_published&gt;United States&lt;/_place_published&gt;&lt;_journal&gt;Neuroscience and biobehavioral reviews&lt;/_journal&gt;&lt;_volume&gt;68&lt;/_volume&gt;&lt;_number&gt;1&lt;/_number&gt;&lt;_pages&gt;727-740&lt;/_pages&gt;&lt;_doi&gt;10.1016/j.neubiorev.2016.07.010&lt;/_doi&gt;&lt;_date_display&gt;2016&lt;/_date_display&gt;&lt;_date&gt;61009920&lt;/_date&gt;&lt;_isbn&gt;0149-7634&lt;/_isbn&gt;&lt;_ori_publication&gt;Elsevier B.V&lt;/_ori_publication&gt;&lt;_keywords&gt;Antiparkinsonian agents; Deep Brain Stimulation; Dopamine; Dopamine Agents; Gait; Humans; Motor Activity; Neurosciences; Parkinson Disease; Speech&lt;/_keywords&gt;&lt;_accessed&gt;65063270&lt;/_accessed&gt;&lt;_db_updated&gt;PKU Search&lt;/_db_updated&gt;&lt;_impact_factor&gt;   9.052&lt;/_impact_factor&gt;&lt;_social_category&gt;心理学(1)&lt;/_social_category&gt;&lt;_collection_scope&gt;SCIE&lt;/_collection_scope&gt;&lt;/Details&gt;&lt;Extra&gt;&lt;DBUID&gt;{F96A950B-833F-4880-A151-76DA2D6A2879}&lt;/DBUID&gt;&lt;/Extra&gt;&lt;/Item&gt;&lt;/References&gt;&lt;/Group&gt;&lt;/Citation&gt;_x000a_"/>
    <w:docVar w:name="NE.Ref{AF46440F-82A9-4A0C-8AAE-8AFBDF1CA431}" w:val=" ADDIN NE.Ref.{AF46440F-82A9-4A0C-8AAE-8AFBDF1CA431}&lt;Citation&gt;&lt;Group&gt;&lt;References&gt;&lt;Item&gt;&lt;ID&gt;563&lt;/ID&gt;&lt;UID&gt;{18F072AC-E0B8-4C80-BE69-1CF1150A55B3}&lt;/UID&gt;&lt;Title&gt;Neuronal firing before and after burst discharges in the monkey basal ganglia is  predictably patterned in the normal state and altered in parkinsonism&lt;/Title&gt;&lt;Template&gt;Journal Article&lt;/Template&gt;&lt;Star&gt;0&lt;/Star&gt;&lt;Tag&gt;0&lt;/Tag&gt;&lt;Author&gt;Wichmann, T; Soares, J&lt;/Author&gt;&lt;Year&gt;2006&lt;/Year&gt;&lt;Details&gt;&lt;_accession_num&gt;16371459&lt;/_accession_num&gt;&lt;_author_adr&gt;Department of Neurology, Emory University, Atlanta, GA 30322, USA.  twichma@emory.edu&lt;/_author_adr&gt;&lt;_date_display&gt;2006 Apr&lt;/_date_display&gt;&lt;_date&gt;2006-04-01&lt;/_date&gt;&lt;_doi&gt;10.1152/jn.01013.2005&lt;/_doi&gt;&lt;_isbn&gt;0022-3077 (Print); 0022-3077 (Linking)&lt;/_isbn&gt;&lt;_issue&gt;4&lt;/_issue&gt;&lt;_journal&gt;J Neurophysiol&lt;/_journal&gt;&lt;_language&gt;eng&lt;/_language&gt;&lt;_pages&gt;2120-33&lt;/_pages&gt;&lt;_subject_headings&gt;1-Methyl-4-phenyl-1,2,3,6-tetrahydropyridine/pharmacology; Action Potentials/drug effects; Algorithms; Animals; Basal Ganglia/physiology/*physiopathology; Cerebral Cortex/physiology/physiopathology; Electrophysiology; Macaca mulatta; Neurons/drug effects/*physiology; Neurotoxins/pharmacology; Parkinsonian Disorders/*physiopathology; Subthalamic Nucleus/physiology/physiopathology; Synaptic Transmission/drug effects; Thalamus/physiology/physiopathology; Time Factors&lt;/_subject_headings&gt;&lt;_tertiary_title&gt;Journal of neurophysiology&lt;/_tertiary_title&gt;&lt;_type_work&gt;Comparative Study; Journal Article; Research Support, N.I.H., Extramural&lt;/_type_work&gt;&lt;_url&gt;http://www.ncbi.nlm.nih.gov/entrez/query.fcgi?cmd=Retrieve&amp;amp;db=pubmed&amp;amp;dopt=Abstract&amp;amp;list_uids=16371459&amp;amp;query_hl=1&lt;/_url&gt;&lt;_volume&gt;95&lt;/_volume&gt;&lt;_created&gt;64982336&lt;/_created&gt;&lt;_modified&gt;64982336&lt;/_modified&gt;&lt;_impact_factor&gt;   2.974&lt;/_impact_factor&gt;&lt;_social_category&gt;医学(3)&lt;/_social_category&gt;&lt;_collection_scope&gt;SCIE&lt;/_collection_scope&gt;&lt;/Details&gt;&lt;Extra&gt;&lt;DBUID&gt;{F96A950B-833F-4880-A151-76DA2D6A2879}&lt;/DBUID&gt;&lt;/Extra&gt;&lt;/Item&gt;&lt;/References&gt;&lt;/Group&gt;&lt;Group&gt;&lt;References&gt;&lt;Item&gt;&lt;ID&gt;564&lt;/ID&gt;&lt;UID&gt;{25190884-AA60-4A67-BF93-D6C90C537C03}&lt;/UID&gt;&lt;Title&gt;Effects of high-frequency stimulation of the internal pallidal segment on  neuronal activity in the thalamus in parkinsonian monkeys&lt;/Title&gt;&lt;Template&gt;Journal Article&lt;/Template&gt;&lt;Star&gt;0&lt;/Star&gt;&lt;Tag&gt;0&lt;/Tag&gt;&lt;Author&gt;Kammermeier, S; Pittard, D; Hamada, I; Wichmann, T&lt;/Author&gt;&lt;Year&gt;2016&lt;/Year&gt;&lt;Details&gt;&lt;_accession_num&gt;27683881&lt;/_accession_num&gt;&lt;_author_adr&gt;Yerkes National Primate Research Center, Emory University, Atlanta, Georgia.; Udall Center of Excellence in Parkinson&amp;apos;s Disease Research, Emory University,  Atlanta, Georgia.; Yerkes National Primate Research Center, Emory University, Atlanta, Georgia.; Udall Center of Excellence in Parkinson&amp;apos;s Disease Research, Emory University,  Atlanta, Georgia.; Yerkes National Primate Research Center, Emory University, Atlanta, Georgia.; Udall Center of Excellence in Parkinson&amp;apos;s Disease Research, Emory University,  Atlanta, Georgia.; Yerkes National Primate Research Center, Emory University, Atlanta, Georgia;  twichma@emory.edu.; School of Medicine, Department of Neurology, Emory University, Atlanta, Georgia;  and.; Udall Center of Excellence in Parkinson&amp;apos;s Disease Research, Emory University,  Atlanta, Georgia.&lt;/_author_adr&gt;&lt;_date_display&gt;2016 Dec 1&lt;/_date_display&gt;&lt;_date&gt;2016-12-01&lt;/_date&gt;&lt;_doi&gt;10.1152/jn.00104.2016&lt;/_doi&gt;&lt;_isbn&gt;1522-1598 (Electronic); 0022-3077 (Print); 0022-3077 (Linking)&lt;/_isbn&gt;&lt;_issue&gt;6&lt;/_issue&gt;&lt;_journal&gt;J Neurophysiol&lt;/_journal&gt;&lt;_keywords&gt;deep brain stimulation; monkey; parkinsonism&lt;/_keywords&gt;&lt;_language&gt;eng&lt;/_language&gt;&lt;_ori_publication&gt;Copyright © 2016 the American Physiological Society.&lt;/_ori_publication&gt;&lt;_pages&gt;2869-2881&lt;/_pages&gt;&lt;_subject_headings&gt;1-Methyl-4-phenyl-1,2,3,6-tetrahydropyridine/pharmacology; Action Potentials/drug effects/*physiology; Animals; Deep Brain Stimulation/*methods; Disease Models, Animal; Electroencephalography; Evoked Potentials/drug effects; Globus Pallidus/cytology/*physiology; Macaca mulatta; Male; Neurons/drug effects/*physiology; Neurotoxins/toxicity; Parkinsonian Disorders/chemically induced/pathology/physiopathology/*therapy; Thalamus/*pathology; Tyrosine 3-Monooxygenase/metabolism&lt;/_subject_headings&gt;&lt;_tertiary_title&gt;Journal of neurophysiology&lt;/_tertiary_title&gt;&lt;_type_work&gt;Journal Article; Research Support, N.I.H., Extramural; Research Support, Non-U.S. Gov&amp;apos;t&lt;/_type_work&gt;&lt;_url&gt;http://www.ncbi.nlm.nih.gov/entrez/query.fcgi?cmd=Retrieve&amp;amp;db=pubmed&amp;amp;dopt=Abstract&amp;amp;list_uids=27683881&amp;amp;query_hl=1&lt;/_url&gt;&lt;_volume&gt;116&lt;/_volume&gt;&lt;_created&gt;64982336&lt;/_created&gt;&lt;_modified&gt;64982336&lt;/_modified&gt;&lt;_impact_factor&gt;   2.974&lt;/_impact_factor&gt;&lt;_social_category&gt;医学(3)&lt;/_social_category&gt;&lt;_collection_scope&gt;SCIE&lt;/_collection_scope&gt;&lt;/Details&gt;&lt;Extra&gt;&lt;DBUID&gt;{F96A950B-833F-4880-A151-76DA2D6A2879}&lt;/DBUID&gt;&lt;/Extra&gt;&lt;/Item&gt;&lt;/References&gt;&lt;/Group&gt;&lt;/Citation&gt;_x000a_"/>
    <w:docVar w:name="NE.Ref{B443E6C5-399E-4FF2-9C4D-0633D8F49514}" w:val=" ADDIN NE.Ref.{B443E6C5-399E-4FF2-9C4D-0633D8F49514}&lt;Citation&gt;&lt;Group&gt;&lt;References&gt;&lt;Item&gt;&lt;ID&gt;532&lt;/ID&gt;&lt;UID&gt;{9A043C5C-5923-4635-99E5-348E86F0BAE8}&lt;/UID&gt;&lt;Title&gt;Deep brain stimulation has state-dependent effects on motor connectivity in  Parkinson&amp;apos;s disease&lt;/Title&gt;&lt;Template&gt;Journal Article&lt;/Template&gt;&lt;Star&gt;0&lt;/Star&gt;&lt;Tag&gt;0&lt;/Tag&gt;&lt;Author&gt;Kahan, J; Mancini, L; Flandin, G; White, M; Papadaki, A; Thornton, J; Yousry, T; Zrinzo, L; Hariz, M; Limousin, P; Friston, K; Foltynie, T&lt;/Author&gt;&lt;Year&gt;2019&lt;/Year&gt;&lt;Details&gt;&lt;_accession_num&gt;31219504&lt;/_accession_num&gt;&lt;_author_adr&gt;Department of Clinical and Movement Neurosciences, UCL Queen Square Institute of  Neurology, London, WC1N 3BG, UK.; Lysholm Department of Neuroradiology, National Hospital for Neurology and  Neurosurgery, UCLH NHS Foundation Trust, London, WC1N 3BG, UK.; Department of Brain Repair and Rehabilitation, UCL Queen Square Institute of  Neurology, London, WC1N 3BG, UK.; The Wellcome Centre for Human Neuroimaging, UCL, London, WC1N 3AR, UK.; Lysholm Department of Neuroradiology, National Hospital for Neurology and  Neurosurgery, UCLH NHS Foundation Trust, London, WC1N 3BG, UK.; Department of Brain Repair and Rehabilitation, UCL Queen Square Institute of  Neurology, London, WC1N 3BG, UK.; Lysholm Department of Neuroradiology, National Hospital for Neurology and  Neurosurgery, UCLH NHS Foundation Trust, London, WC1N 3BG, UK.; Department of Brain Repair and Rehabilitation, UCL Queen Square Institute of  Neurology, London, WC1N 3BG, UK.; Lysholm Department of Neuroradiology, National Hospital for Neurology and  Neurosurgery, UCLH NHS Foundation Trust, London, WC1N 3BG, UK.; Department of Brain Repair and Rehabilitation, UCL Queen Square Institute of  Neurology, London, WC1N 3BG, UK.; Lysholm Department of Neuroradiology, National Hospital for Neurology and  Neurosurgery, UCLH NHS Foundation Trust, London, WC1N 3BG, UK.; Department of Brain Repair and Rehabilitation, UCL Queen Square Institute of  Neurology, London, WC1N 3BG, UK.; Department of Clinical and Movement Neurosciences, UCL Queen Square Institute of  Neurology, London, WC1N 3BG, UK.; Department of Clinical and Movement Neurosciences, UCL Queen Square Institute of  Neurology, London, WC1N 3BG, UK.; Department of Clinical and Movement Neurosciences, UCL Queen Square Institute of  Neurology, London, WC1N 3BG, UK.; The Wellcome Centre for Human Neuroimaging, UCL, London, WC1N 3AR, UK.; Department of Clinical and Movement Neurosciences, UCL Queen Square Institute of  Neurology, London, WC1N 3BG, UK.&lt;/_author_adr&gt;&lt;_date_display&gt;2019 Aug 1&lt;/_date_display&gt;&lt;_date&gt;2019-08-01&lt;/_date&gt;&lt;_doi&gt;10.1093/brain/awz164&lt;/_doi&gt;&lt;_isbn&gt;1460-2156 (Electronic); 0006-8950 (Print); 0006-8950 (Linking)&lt;/_isbn&gt;&lt;_issue&gt;8&lt;/_issue&gt;&lt;_journal&gt;Brain&lt;/_journal&gt;&lt;_keywords&gt;Parkinson’s disease; basal ganglia; connectivity; deep brain stimulation; functional MRI&lt;/_keywords&gt;&lt;_language&gt;eng&lt;/_language&gt;&lt;_ori_publication&gt;© The Author(s) (2019). Published by Oxford University Press on behalf of the _x000d__x000a_      Guarantors of Brain. All rights reserved. For permissions, please email: _x000d__x000a_      journals.permissions@oup.com.&lt;/_ori_publication&gt;&lt;_pages&gt;2417-2431&lt;/_pages&gt;&lt;_subject_headings&gt;Aged; Brain/*physiopathology; Deep Brain Stimulation/*methods; Female; Humans; Magnetic Resonance Imaging; Male; Middle Aged; Neural Pathways/physiopathology; Parkinson Disease/*physiopathology/*therapy; Psychomotor Performance/*physiology; Subthalamic Nucleus/physiopathology&lt;/_subject_headings&gt;&lt;_tertiary_title&gt;Brain : a journal of neurology&lt;/_tertiary_title&gt;&lt;_type_work&gt;Journal Article; Research Support, Non-U.S. Gov&amp;apos;t&lt;/_type_work&gt;&lt;_url&gt;http://www.ncbi.nlm.nih.gov/entrez/query.fcgi?cmd=Retrieve&amp;amp;db=pubmed&amp;amp;dopt=Abstract&amp;amp;list_uids=31219504&amp;amp;query_hl=1&lt;/_url&gt;&lt;_volume&gt;142&lt;/_volume&gt;&lt;_created&gt;64981374&lt;/_created&gt;&lt;_modified&gt;64981374&lt;/_modified&gt;&lt;_impact_factor&gt;  15.255&lt;/_impact_factor&gt;&lt;_social_category&gt;医学(1)&lt;/_social_category&gt;&lt;_collection_scope&gt;SCIE&lt;/_collection_scope&gt;&lt;/Details&gt;&lt;Extra&gt;&lt;DBUID&gt;{F96A950B-833F-4880-A151-76DA2D6A2879}&lt;/DBUID&gt;&lt;/Extra&gt;&lt;/Item&gt;&lt;/References&gt;&lt;/Group&gt;&lt;/Citation&gt;_x000a_"/>
    <w:docVar w:name="NE.Ref{B591100E-946F-4D56-A0CB-F4E8D820E89F}" w:val=" ADDIN NE.Ref.{B591100E-946F-4D56-A0CB-F4E8D820E89F}&lt;Citation&gt;&lt;Group&gt;&lt;References&gt;&lt;Item&gt;&lt;ID&gt;552&lt;/ID&gt;&lt;UID&gt;{3312BD8B-B634-4A22-BE50-CF9DDC681364}&lt;/UID&gt;&lt;Title&gt;Closing the loop of DBS using the beta oscillations in cortex&lt;/Title&gt;&lt;Template&gt;Journal Article&lt;/Template&gt;&lt;Star&gt;0&lt;/Star&gt;&lt;Tag&gt;0&lt;/Tag&gt;&lt;Author&gt;Liu, Chen; Zhao, Ge; Meng, Zihan; Zhou, Changsong; Zhu, Xiaodong; Zhang, Wei; Wang, Jiang; Li, Huiyan; Wu, Hao; Fietkiewicz, Chris; Loparo, Kenneth A&lt;/Author&gt;&lt;Year&gt;2021&lt;/Year&gt;&lt;Details&gt;&lt;_alternate_title&gt;Cognitive Neurodynamics&lt;/_alternate_title&gt;&lt;_date_display&gt;2021&lt;/_date_display&gt;&lt;_date&gt;2021-01-01&lt;/_date&gt;&lt;_doi&gt;10.1007/s11571-021-09690-1&lt;/_doi&gt;&lt;_isbn&gt;1871-4099&lt;/_isbn&gt;&lt;_issue&gt;6&lt;/_issue&gt;&lt;_journal&gt;Cognitive Neurodynamics&lt;/_journal&gt;&lt;_number&gt;Liu2021&lt;/_number&gt;&lt;_pages&gt;1157-1167&lt;/_pages&gt;&lt;_url&gt;https://doi.org/10.1007/s11571-021-09690-1&lt;/_url&gt;&lt;_volume&gt;15&lt;/_volume&gt;&lt;_created&gt;64982300&lt;/_created&gt;&lt;_modified&gt;64982300&lt;/_modified&gt;&lt;_impact_factor&gt;   3.473&lt;/_impact_factor&gt;&lt;_social_category&gt;工程技术(2)&lt;/_social_category&gt;&lt;_collection_scope&gt;SCIE&lt;/_collection_scope&gt;&lt;/Details&gt;&lt;Extra&gt;&lt;DBUID&gt;{F96A950B-833F-4880-A151-76DA2D6A2879}&lt;/DBUID&gt;&lt;/Extra&gt;&lt;/Item&gt;&lt;/References&gt;&lt;/Group&gt;&lt;/Citation&gt;_x000a_"/>
    <w:docVar w:name="NE.Ref{BEEA2F8F-31B7-4E95-9E6C-DAA82ADA7C99}" w:val=" ADDIN NE.Ref.{BEEA2F8F-31B7-4E95-9E6C-DAA82ADA7C99}&lt;Citation&gt;&lt;Group&gt;&lt;References&gt;&lt;Item&gt;&lt;ID&gt;556&lt;/ID&gt;&lt;UID&gt;{578BD3D7-7F63-4373-9E33-520CB89994C7}&lt;/UID&gt;&lt;Title&gt;Neurophysiological investigation of the basis of the fMRI signal&lt;/Title&gt;&lt;Template&gt;Journal Article&lt;/Template&gt;&lt;Star&gt;0&lt;/Star&gt;&lt;Tag&gt;0&lt;/Tag&gt;&lt;Author&gt;Logothetis, N K; Pauls, J; Augath, M; Trinath, T; Oeltermann, A&lt;/Author&gt;&lt;Year&gt;2001&lt;/Year&gt;&lt;Details&gt;&lt;_accession_num&gt;11449264&lt;/_accession_num&gt;&lt;_author_adr&gt;Max Planck Institute for Biological Cybernetics, Tuebingen, Germany.  nikos.logothetis@tuebingen.mpg.de&lt;/_author_adr&gt;&lt;_date_display&gt;2001 Jul 12&lt;/_date_display&gt;&lt;_date&gt;2001-07-12&lt;/_date&gt;&lt;_doi&gt;10.1038/35084005&lt;/_doi&gt;&lt;_isbn&gt;0028-0836 (Print); 0028-0836 (Linking)&lt;/_isbn&gt;&lt;_issue&gt;6843&lt;/_issue&gt;&lt;_journal&gt;Nature&lt;/_journal&gt;&lt;_language&gt;eng&lt;/_language&gt;&lt;_pages&gt;150-7&lt;/_pages&gt;&lt;_subject_headings&gt;Action Potentials; Animals; Contrast Sensitivity; Electrodes; Electrophysiology; Hemodynamics; Macaca mulatta; *Magnetic Resonance Imaging; Neurons/*physiology; Oxygen/blood; Photic Stimulation; Signal Processing, Computer-Assisted; Synaptic Transmission; Visual Cortex/*physiology&lt;/_subject_headings&gt;&lt;_tertiary_title&gt;Nature&lt;/_tertiary_title&gt;&lt;_type_work&gt;Journal Article; Research Support, Non-U.S. Gov&amp;apos;t&lt;/_type_work&gt;&lt;_url&gt;http://www.ncbi.nlm.nih.gov/entrez/query.fcgi?cmd=Retrieve&amp;amp;db=pubmed&amp;amp;dopt=Abstract&amp;amp;list_uids=11449264&amp;amp;query_hl=1&lt;/_url&gt;&lt;_volume&gt;412&lt;/_volume&gt;&lt;_created&gt;64982310&lt;/_created&gt;&lt;_modified&gt;64982310&lt;/_modified&gt;&lt;_impact_factor&gt;  69.504&lt;/_impact_factor&gt;&lt;_social_category&gt;综合性期刊(1)&lt;/_social_category&gt;&lt;_collection_scope&gt;SCIE&lt;/_collection_scope&gt;&lt;/Details&gt;&lt;Extra&gt;&lt;DBUID&gt;{F96A950B-833F-4880-A151-76DA2D6A2879}&lt;/DBUID&gt;&lt;/Extra&gt;&lt;/Item&gt;&lt;/References&gt;&lt;/Group&gt;&lt;/Citation&gt;_x000a_"/>
    <w:docVar w:name="NE.Ref{C38AF0B6-89CE-4DD6-BD09-0B0D32F286CA}" w:val=" ADDIN NE.Ref.{C38AF0B6-89CE-4DD6-BD09-0B0D32F286CA}&lt;Citation&gt;&lt;Group&gt;&lt;References&gt;&lt;Item&gt;&lt;ID&gt;544&lt;/ID&gt;&lt;UID&gt;{F67D219A-0378-46FE-9C8E-03E6524D94D0}&lt;/UID&gt;&lt;Title&gt;Movement Disorder Society-sponsored revision of the Unified Parkinson&amp;apos;s Disease  Rating Scale (MDS-UPDRS): scale presentation and clinimetric testing results&lt;/Title&gt;&lt;Template&gt;Journal Article&lt;/Template&gt;&lt;Star&gt;0&lt;/Star&gt;&lt;Tag&gt;0&lt;/Tag&gt;&lt;Author&gt;Goetz, C G; Tilley, B C; Shaftman, S R; Stebbins, G T; Fahn, S; Martinez-Martin, P; Poewe, W; Sampaio, C; Stern, M B; Dodel, R; Dubois, B; Holloway, R; Jankovic, J; Kulisevsky, J; Lang, A E; Lees, A; Leurgans, S; LeWitt, P A; Nyenhuis, D; Olanow, C W; Rascol, O; Schrag, A; Teresi, J A; van Hilten, J J; LaPelle, N&lt;/Author&gt;&lt;Year&gt;2008&lt;/Year&gt;&lt;Details&gt;&lt;_accession_num&gt;19025984&lt;/_accession_num&gt;&lt;_author_adr&gt;Department of Neurological Sciences, Rush University Medical Center, Chicago,  Illinois 60612, USA. cgoetz@rush.edu&lt;/_author_adr&gt;&lt;_date_display&gt;2008 Nov 15&lt;/_date_display&gt;&lt;_date&gt;2008-11-15&lt;/_date&gt;&lt;_doi&gt;10.1002/mds.22340&lt;/_doi&gt;&lt;_isbn&gt;1531-8257 (Electronic); 0885-3185 (Linking)&lt;/_isbn&gt;&lt;_issue&gt;15&lt;/_issue&gt;&lt;_journal&gt;Mov Disord&lt;/_journal&gt;&lt;_language&gt;eng&lt;/_language&gt;&lt;_pages&gt;2129-70&lt;/_pages&gt;&lt;_subject_headings&gt;Adult; Aged; Aged, 80 and over; *Disability Evaluation; Factor Analysis, Statistical; Female; Humans; Male; Middle Aged; Movement Disorders; Neurologic Examination/methods; Parkinson Disease/*diagnosis/physiopathology; *Severity of Illness Index; Societies, Medical/standards&lt;/_subject_headings&gt;&lt;_tertiary_title&gt;Movement disorders : official journal of the Movement Disorder Society&lt;/_tertiary_title&gt;&lt;_type_work&gt;Journal Article; Research Support, N.I.H., Extramural; Research Support, Non-U.S. Gov&amp;apos;t&lt;/_type_work&gt;&lt;_url&gt;http://www.ncbi.nlm.nih.gov/entrez/query.fcgi?cmd=Retrieve&amp;amp;db=pubmed&amp;amp;dopt=Abstract&amp;amp;list_uids=19025984&amp;amp;query_hl=1&lt;/_url&gt;&lt;_volume&gt;23&lt;/_volume&gt;&lt;_created&gt;64981384&lt;/_created&gt;&lt;_modified&gt;64981384&lt;/_modified&gt;&lt;_impact_factor&gt;   9.698&lt;/_impact_factor&gt;&lt;_social_category&gt;医学(1)&lt;/_social_category&gt;&lt;_collection_scope&gt;SCIE&lt;/_collection_scope&gt;&lt;/Details&gt;&lt;Extra&gt;&lt;DBUID&gt;{F96A950B-833F-4880-A151-76DA2D6A2879}&lt;/DBUID&gt;&lt;/Extra&gt;&lt;/Item&gt;&lt;/References&gt;&lt;/Group&gt;&lt;/Citation&gt;_x000a_"/>
    <w:docVar w:name="NE.Ref{CBDE19FF-15FC-486A-8762-66B76217BA3F}" w:val=" ADDIN NE.Ref.{CBDE19FF-15FC-486A-8762-66B76217BA3F}&lt;Citation&gt;&lt;Group&gt;&lt;References&gt;&lt;Item&gt;&lt;ID&gt;527&lt;/ID&gt;&lt;UID&gt;{A4F48295-86DC-430A-9C2D-1821E2887667}&lt;/UID&gt;&lt;Title&gt;DPABI: Data Processing &amp;amp; Analysis for (Resting-State) Brain Imaging&lt;/Title&gt;&lt;Template&gt;Journal Article&lt;/Template&gt;&lt;Star&gt;0&lt;/Star&gt;&lt;Tag&gt;0&lt;/Tag&gt;&lt;Author&gt;Yan, Chao-Gan; Wang, Xin-Di; Zuo, Xi-Nian; Zang, Yu-Feng&lt;/Author&gt;&lt;Year&gt;2016&lt;/Year&gt;&lt;Details&gt;&lt;_alternate_title&gt;Neuroinformatics&lt;/_alternate_title&gt;&lt;_date_display&gt;2016&lt;/_date_display&gt;&lt;_date&gt;2016-01-01&lt;/_date&gt;&lt;_doi&gt;10.1007/s12021-016-9299-4&lt;/_doi&gt;&lt;_isbn&gt;1559-0089&lt;/_isbn&gt;&lt;_issue&gt;3&lt;/_issue&gt;&lt;_journal&gt;Neuroinformatics&lt;/_journal&gt;&lt;_number&gt;Yan2016&lt;/_number&gt;&lt;_pages&gt;339-351&lt;/_pages&gt;&lt;_url&gt;https://doi.org/10.1007/s12021-016-9299-4&lt;/_url&gt;&lt;_volume&gt;14&lt;/_volume&gt;&lt;_created&gt;64981370&lt;/_created&gt;&lt;_modified&gt;64981370&lt;/_modified&gt;&lt;_impact_factor&gt;   2.864&lt;/_impact_factor&gt;&lt;_social_category&gt;医学(4)&lt;/_social_category&gt;&lt;_collection_scope&gt;SCIE&lt;/_collection_scope&gt;&lt;/Details&gt;&lt;Extra&gt;&lt;DBUID&gt;{F96A950B-833F-4880-A151-76DA2D6A2879}&lt;/DBUID&gt;&lt;/Extra&gt;&lt;/Item&gt;&lt;/References&gt;&lt;/Group&gt;&lt;/Citation&gt;_x000a_"/>
    <w:docVar w:name="NE.Ref{CC598058-FC6C-48EB-AAEC-736F850AE664}" w:val=" ADDIN NE.Ref.{CC598058-FC6C-48EB-AAEC-736F850AE664}&lt;Citation&gt;&lt;Group&gt;&lt;References&gt;&lt;Item&gt;&lt;ID&gt;552&lt;/ID&gt;&lt;UID&gt;{3312BD8B-B634-4A22-BE50-CF9DDC681364}&lt;/UID&gt;&lt;Title&gt;Closing the loop of DBS using the beta oscillations in cortex&lt;/Title&gt;&lt;Template&gt;Journal Article&lt;/Template&gt;&lt;Star&gt;0&lt;/Star&gt;&lt;Tag&gt;0&lt;/Tag&gt;&lt;Author&gt;Liu, Chen; Zhao, Ge; Meng, Zihan; Zhou, Changsong; Zhu, Xiaodong; Zhang, Wei; Wang, Jiang; Li, Huiyan; Wu, Hao; Fietkiewicz, Chris; Loparo, Kenneth A&lt;/Author&gt;&lt;Year&gt;2021&lt;/Year&gt;&lt;Details&gt;&lt;_alternate_title&gt;Cognitive Neurodynamics&lt;/_alternate_title&gt;&lt;_date_display&gt;2021&lt;/_date_display&gt;&lt;_date&gt;2021-01-01&lt;/_date&gt;&lt;_doi&gt;10.1007/s11571-021-09690-1&lt;/_doi&gt;&lt;_isbn&gt;1871-4099&lt;/_isbn&gt;&lt;_issue&gt;6&lt;/_issue&gt;&lt;_journal&gt;Cognitive Neurodynamics&lt;/_journal&gt;&lt;_number&gt;Liu2021&lt;/_number&gt;&lt;_pages&gt;1157-1167&lt;/_pages&gt;&lt;_url&gt;https://doi.org/10.1007/s11571-021-09690-1&lt;/_url&gt;&lt;_volume&gt;15&lt;/_volume&gt;&lt;_created&gt;64982300&lt;/_created&gt;&lt;_modified&gt;64982300&lt;/_modified&gt;&lt;_impact_factor&gt;   3.473&lt;/_impact_factor&gt;&lt;_social_category&gt;工程技术(2)&lt;/_social_category&gt;&lt;_collection_scope&gt;SCIE&lt;/_collection_scope&gt;&lt;/Details&gt;&lt;Extra&gt;&lt;DBUID&gt;{F96A950B-833F-4880-A151-76DA2D6A2879}&lt;/DBUID&gt;&lt;/Extra&gt;&lt;/Item&gt;&lt;/References&gt;&lt;/Group&gt;&lt;/Citation&gt;_x000a_"/>
    <w:docVar w:name="NE.Ref{D57ADF31-9893-4A0A-B7AC-AB7F4536FAE2}" w:val=" ADDIN NE.Ref.{D57ADF31-9893-4A0A-B7AC-AB7F4536FAE2}&lt;Citation&gt;&lt;Group&gt;&lt;References&gt;&lt;Item&gt;&lt;ID&gt;563&lt;/ID&gt;&lt;UID&gt;{18F072AC-E0B8-4C80-BE69-1CF1150A55B3}&lt;/UID&gt;&lt;Title&gt;Neuronal firing before and after burst discharges in the monkey basal ganglia is  predictably patterned in the normal state and altered in parkinsonism&lt;/Title&gt;&lt;Template&gt;Journal Article&lt;/Template&gt;&lt;Star&gt;0&lt;/Star&gt;&lt;Tag&gt;0&lt;/Tag&gt;&lt;Author&gt;Wichmann, T; Soares, J&lt;/Author&gt;&lt;Year&gt;2006&lt;/Year&gt;&lt;Details&gt;&lt;_accession_num&gt;16371459&lt;/_accession_num&gt;&lt;_author_adr&gt;Department of Neurology, Emory University, Atlanta, GA 30322, USA.  twichma@emory.edu&lt;/_author_adr&gt;&lt;_date_display&gt;2006 Apr&lt;/_date_display&gt;&lt;_date&gt;2006-04-01&lt;/_date&gt;&lt;_doi&gt;10.1152/jn.01013.2005&lt;/_doi&gt;&lt;_isbn&gt;0022-3077 (Print); 0022-3077 (Linking)&lt;/_isbn&gt;&lt;_issue&gt;4&lt;/_issue&gt;&lt;_journal&gt;J Neurophysiol&lt;/_journal&gt;&lt;_language&gt;eng&lt;/_language&gt;&lt;_pages&gt;2120-33&lt;/_pages&gt;&lt;_subject_headings&gt;1-Methyl-4-phenyl-1,2,3,6-tetrahydropyridine/pharmacology; Action Potentials/drug effects; Algorithms; Animals; Basal Ganglia/physiology/*physiopathology; Cerebral Cortex/physiology/physiopathology; Electrophysiology; Macaca mulatta; Neurons/drug effects/*physiology; Neurotoxins/pharmacology; Parkinsonian Disorders/*physiopathology; Subthalamic Nucleus/physiology/physiopathology; Synaptic Transmission/drug effects; Thalamus/physiology/physiopathology; Time Factors&lt;/_subject_headings&gt;&lt;_tertiary_title&gt;Journal of neurophysiology&lt;/_tertiary_title&gt;&lt;_type_work&gt;Comparative Study; Journal Article; Research Support, N.I.H., Extramural&lt;/_type_work&gt;&lt;_url&gt;http://www.ncbi.nlm.nih.gov/entrez/query.fcgi?cmd=Retrieve&amp;amp;db=pubmed&amp;amp;dopt=Abstract&amp;amp;list_uids=16371459&amp;amp;query_hl=1&lt;/_url&gt;&lt;_volume&gt;95&lt;/_volume&gt;&lt;_created&gt;64982336&lt;/_created&gt;&lt;_modified&gt;64982336&lt;/_modified&gt;&lt;_impact_factor&gt;   2.974&lt;/_impact_factor&gt;&lt;_social_category&gt;医学(3)&lt;/_social_category&gt;&lt;_collection_scope&gt;SCIE&lt;/_collection_scope&gt;&lt;/Details&gt;&lt;Extra&gt;&lt;DBUID&gt;{F96A950B-833F-4880-A151-76DA2D6A2879}&lt;/DBUID&gt;&lt;/Extra&gt;&lt;/Item&gt;&lt;/References&gt;&lt;/Group&gt;&lt;/Citation&gt;_x000a_"/>
    <w:docVar w:name="NE.Ref{D6083301-60F6-4839-93A0-0E2C2C204C39}" w:val=" ADDIN NE.Ref.{D6083301-60F6-4839-93A0-0E2C2C204C39}&lt;Citation&gt;&lt;Group&gt;&lt;References&gt;&lt;Item&gt;&lt;ID&gt;564&lt;/ID&gt;&lt;UID&gt;{25190884-AA60-4A67-BF93-D6C90C537C03}&lt;/UID&gt;&lt;Title&gt;Effects of high-frequency stimulation of the internal pallidal segment on  neuronal activity in the thalamus in parkinsonian monkeys&lt;/Title&gt;&lt;Template&gt;Journal Article&lt;/Template&gt;&lt;Star&gt;0&lt;/Star&gt;&lt;Tag&gt;0&lt;/Tag&gt;&lt;Author&gt;Kammermeier, S; Pittard, D; Hamada, I; Wichmann, T&lt;/Author&gt;&lt;Year&gt;2016&lt;/Year&gt;&lt;Details&gt;&lt;_accession_num&gt;27683881&lt;/_accession_num&gt;&lt;_author_adr&gt;Yerkes National Primate Research Center, Emory University, Atlanta, Georgia.; Udall Center of Excellence in Parkinson&amp;apos;s Disease Research, Emory University,  Atlanta, Georgia.; Yerkes National Primate Research Center, Emory University, Atlanta, Georgia.; Udall Center of Excellence in Parkinson&amp;apos;s Disease Research, Emory University,  Atlanta, Georgia.; Yerkes National Primate Research Center, Emory University, Atlanta, Georgia.; Udall Center of Excellence in Parkinson&amp;apos;s Disease Research, Emory University,  Atlanta, Georgia.; Yerkes National Primate Research Center, Emory University, Atlanta, Georgia;  twichma@emory.edu.; School of Medicine, Department of Neurology, Emory University, Atlanta, Georgia;  and.; Udall Center of Excellence in Parkinson&amp;apos;s Disease Research, Emory University,  Atlanta, Georgia.&lt;/_author_adr&gt;&lt;_date_display&gt;2016 Dec 1&lt;/_date_display&gt;&lt;_date&gt;2016-12-01&lt;/_date&gt;&lt;_doi&gt;10.1152/jn.00104.2016&lt;/_doi&gt;&lt;_isbn&gt;1522-1598 (Electronic); 0022-3077 (Print); 0022-3077 (Linking)&lt;/_isbn&gt;&lt;_issue&gt;6&lt;/_issue&gt;&lt;_journal&gt;J Neurophysiol&lt;/_journal&gt;&lt;_keywords&gt;deep brain stimulation; monkey; parkinsonism&lt;/_keywords&gt;&lt;_language&gt;eng&lt;/_language&gt;&lt;_ori_publication&gt;Copyright © 2016 the American Physiological Society.&lt;/_ori_publication&gt;&lt;_pages&gt;2869-2881&lt;/_pages&gt;&lt;_subject_headings&gt;1-Methyl-4-phenyl-1,2,3,6-tetrahydropyridine/pharmacology; Action Potentials/drug effects/*physiology; Animals; Deep Brain Stimulation/*methods; Disease Models, Animal; Electroencephalography; Evoked Potentials/drug effects; Globus Pallidus/cytology/*physiology; Macaca mulatta; Male; Neurons/drug effects/*physiology; Neurotoxins/toxicity; Parkinsonian Disorders/chemically induced/pathology/physiopathology/*therapy; Thalamus/*pathology; Tyrosine 3-Monooxygenase/metabolism&lt;/_subject_headings&gt;&lt;_tertiary_title&gt;Journal of neurophysiology&lt;/_tertiary_title&gt;&lt;_type_work&gt;Journal Article; Research Support, N.I.H., Extramural; Research Support, Non-U.S. Gov&amp;apos;t&lt;/_type_work&gt;&lt;_url&gt;http://www.ncbi.nlm.nih.gov/entrez/query.fcgi?cmd=Retrieve&amp;amp;db=pubmed&amp;amp;dopt=Abstract&amp;amp;list_uids=27683881&amp;amp;query_hl=1&lt;/_url&gt;&lt;_volume&gt;116&lt;/_volume&gt;&lt;_created&gt;64982336&lt;/_created&gt;&lt;_modified&gt;64982336&lt;/_modified&gt;&lt;_impact_factor&gt;   2.974&lt;/_impact_factor&gt;&lt;_social_category&gt;医学(3)&lt;/_social_category&gt;&lt;_collection_scope&gt;SCIE&lt;/_collection_scope&gt;&lt;/Details&gt;&lt;Extra&gt;&lt;DBUID&gt;{F96A950B-833F-4880-A151-76DA2D6A2879}&lt;/DBUID&gt;&lt;/Extra&gt;&lt;/Item&gt;&lt;/References&gt;&lt;/Group&gt;&lt;/Citation&gt;_x000a_"/>
    <w:docVar w:name="NE.Ref{D892F1C6-D374-4DB3-9F3F-C233C9CD275E}" w:val=" ADDIN NE.Ref.{D892F1C6-D374-4DB3-9F3F-C233C9CD275E}&lt;Citation&gt;&lt;Group&gt;&lt;References&gt;&lt;Item&gt;&lt;ID&gt;547&lt;/ID&gt;&lt;UID&gt;{96BCA22C-264F-4757-9D3D-6DA24AAAA377}&lt;/UID&gt;&lt;Title&gt;A computational model-based analysis of basal ganglia pathway changes in  Parkinson&amp;apos;s disease inferred from resting-state fMRI&lt;/Title&gt;&lt;Template&gt;Journal Article&lt;/Template&gt;&lt;Star&gt;0&lt;/Star&gt;&lt;Tag&gt;0&lt;/Tag&gt;&lt;Author&gt;Maith, O; Villagrasa, Escudero F; Dinkelbach, H Ü; Baladron, J; Horn, A; Irmen, F; Kühn, A A; Hamker, F H&lt;/Author&gt;&lt;Year&gt;2021&lt;/Year&gt;&lt;Details&gt;&lt;_accession_num&gt;32558966&lt;/_accession_num&gt;&lt;_author_adr&gt;Department of Computer Science, Chemnitz University of Technology, Chemnitz,  Germany.; Department of Computer Science, Chemnitz University of Technology, Chemnitz,  Germany.; Department of Computer Science, Chemnitz University of Technology, Chemnitz,  Germany.; Department of Computer Science, Chemnitz University of Technology, Chemnitz,  Germany.; Movement Disorders and Neuromodulation Unit, Department for Neurology,  Charité-University Medicine Berlin, Berlin, Germany.; Movement Disorders and Neuromodulation Unit, Department for Neurology,  Charité-University Medicine Berlin, Berlin, Germany.; Movement Disorders and Neuromodulation Unit, Department for Neurology,  Charité-University Medicine Berlin, Berlin, Germany.; Department of Computer Science, Chemnitz University of Technology, Chemnitz,  Germany.&lt;/_author_adr&gt;&lt;_date_display&gt;2021 Apr&lt;/_date_display&gt;&lt;_date&gt;2021-04-01&lt;/_date&gt;&lt;_doi&gt;10.1111/ejn.14868&lt;/_doi&gt;&lt;_isbn&gt;1460-9568 (Electronic); 0953-816X (Linking)&lt;/_isbn&gt;&lt;_issue&gt;7&lt;/_issue&gt;&lt;_journal&gt;Eur J Neurosci&lt;/_journal&gt;&lt;_keywords&gt;BOLD correlations; data fitting; firing rate; spiking neuron model&lt;/_keywords&gt;&lt;_language&gt;eng&lt;/_language&gt;&lt;_ori_publication&gt;© 2020 The Authors. European Journal of Neuroscience published by Federation of _x000d__x000a_      European Neuroscience Societies and John Wiley &amp;amp; Sons Ltd.&lt;/_ori_publication&gt;&lt;_pages&gt;2278-2295&lt;/_pages&gt;&lt;_subject_headings&gt;Basal Ganglia; Computer Simulation; Dopamine; Humans; Magnetic Resonance Imaging; *Parkinson Disease&lt;/_subject_headings&gt;&lt;_tertiary_title&gt;The European journal of neuroscience&lt;/_tertiary_title&gt;&lt;_type_work&gt;Journal Article; Research Support, Non-U.S. Gov&amp;apos;t&lt;/_type_work&gt;&lt;_url&gt;http://www.ncbi.nlm.nih.gov/entrez/query.fcgi?cmd=Retrieve&amp;amp;db=pubmed&amp;amp;dopt=Abstract&amp;amp;list_uids=32558966&amp;amp;query_hl=1&lt;/_url&gt;&lt;_volume&gt;53&lt;/_volume&gt;&lt;_created&gt;64982291&lt;/_created&gt;&lt;_modified&gt;64982291&lt;/_modified&gt;&lt;_impact_factor&gt;   3.698&lt;/_impact_factor&gt;&lt;_social_category&gt;医学(3)&lt;/_social_category&gt;&lt;_collection_scope&gt;SCIE&lt;/_collection_scope&gt;&lt;/Details&gt;&lt;Extra&gt;&lt;DBUID&gt;{F96A950B-833F-4880-A151-76DA2D6A2879}&lt;/DBUID&gt;&lt;/Extra&gt;&lt;/Item&gt;&lt;/References&gt;&lt;/Group&gt;&lt;/Citation&gt;_x000a_"/>
    <w:docVar w:name="NE.Ref{EAFE9C07-350E-434F-9E56-6321D15E191A}" w:val=" ADDIN NE.Ref.{EAFE9C07-350E-434F-9E56-6321D15E191A}&lt;Citation&gt;&lt;Group&gt;&lt;References&gt;&lt;Item&gt;&lt;ID&gt;541&lt;/ID&gt;&lt;UID&gt;{B574D40B-6128-4448-A0B1-D517B8BDA6A0}&lt;/UID&gt;&lt;Title&gt;Simple model of spiking neurons&lt;/Title&gt;&lt;Template&gt;Journal Article&lt;/Template&gt;&lt;Star&gt;0&lt;/Star&gt;&lt;Tag&gt;0&lt;/Tag&gt;&lt;Author&gt;Izhikevich, E M&lt;/Author&gt;&lt;Year&gt;2003&lt;/Year&gt;&lt;Details&gt;&lt;_accession_num&gt;18244602&lt;/_accession_num&gt;&lt;_author_adr&gt;The Neurosciences Inst., San Diego, CA, USA.&lt;/_author_adr&gt;&lt;_date_display&gt;2003&lt;/_date_display&gt;&lt;_date&gt;2003-01-20&lt;/_date&gt;&lt;_doi&gt;10.1109/TNN.2003.820440&lt;/_doi&gt;&lt;_isbn&gt;1045-9227 (Print); 1045-9227 (Linking)&lt;/_isbn&gt;&lt;_issue&gt;6&lt;/_issue&gt;&lt;_journal&gt;IEEE Trans Neural Netw&lt;/_journal&gt;&lt;_language&gt;eng&lt;/_language&gt;&lt;_pages&gt;1569-72&lt;/_pages&gt;&lt;_tertiary_title&gt;IEEE transactions on neural networks&lt;/_tertiary_title&gt;&lt;_type_work&gt;Journal Article&lt;/_type_work&gt;&lt;_url&gt;http://www.ncbi.nlm.nih.gov/entrez/query.fcgi?cmd=Retrieve&amp;amp;db=pubmed&amp;amp;dopt=Abstract&amp;amp;list_uids=18244602&amp;amp;query_hl=1&lt;/_url&gt;&lt;_volume&gt;14&lt;/_volume&gt;&lt;_created&gt;64981382&lt;/_created&gt;&lt;_modified&gt;64981382&lt;/_modified&gt;&lt;/Details&gt;&lt;Extra&gt;&lt;DBUID&gt;{F96A950B-833F-4880-A151-76DA2D6A2879}&lt;/DBUID&gt;&lt;/Extra&gt;&lt;/Item&gt;&lt;/References&gt;&lt;/Group&gt;&lt;Group&gt;&lt;References&gt;&lt;Item&gt;&lt;ID&gt;542&lt;/ID&gt;&lt;UID&gt;{D9547405-9809-4B4A-AC5C-EBF614761005}&lt;/UID&gt;&lt;Title&gt;Using a hybrid neuron in physiologically inspired models of the basal ganglia&lt;/Title&gt;&lt;Template&gt;Journal Article&lt;/Template&gt;&lt;Star&gt;0&lt;/Star&gt;&lt;Tag&gt;0&lt;/Tag&gt;&lt;Author&gt;Thibeault, C M; Srinivasa, N&lt;/Author&gt;&lt;Year&gt;2013&lt;/Year&gt;&lt;Details&gt;&lt;_accession_num&gt;23847524&lt;/_accession_num&gt;&lt;_author_adr&gt;Center for Neural and Emergent Systems, Information and System Sciences  Laboratory, HRL Laboratories LLC. Malibu, CA, USA ; Department of Electrical and  Biomedical Engineering, The University of Nevada Reno, NV, USA ; Department of  Computer Science and Engineering, The University of Nevada Reno, NV, USA.&lt;/_author_adr&gt;&lt;_date_display&gt;2013&lt;/_date_display&gt;&lt;_date&gt;2013-01-20&lt;/_date&gt;&lt;_doi&gt;10.3389/fncom.2013.00088&lt;/_doi&gt;&lt;_isbn&gt;1662-5188 (Print); 1662-5188 (Electronic); 1662-5188 (Linking)&lt;/_isbn&gt;&lt;_journal&gt;Front Comput Neurosci&lt;/_journal&gt;&lt;_keywords&gt;Izhikevich neuron; Parkinson&amp;apos;s disease; action-selection; basal ganglia models; correlation analysis; deep brain stimulation&lt;/_keywords&gt;&lt;_language&gt;eng&lt;/_language&gt;&lt;_pages&gt;88&lt;/_pages&gt;&lt;_tertiary_title&gt;Frontiers in computational neuroscience&lt;/_tertiary_title&gt;&lt;_type_work&gt;Journal Article&lt;/_type_work&gt;&lt;_url&gt;http://www.ncbi.nlm.nih.gov/entrez/query.fcgi?cmd=Retrieve&amp;amp;db=pubmed&amp;amp;dopt=Abstract&amp;amp;list_uids=23847524&amp;amp;query_hl=1&lt;/_url&gt;&lt;_volume&gt;7&lt;/_volume&gt;&lt;_created&gt;64981382&lt;/_created&gt;&lt;_modified&gt;64981382&lt;/_modified&gt;&lt;_impact_factor&gt;   3.387&lt;/_impact_factor&gt;&lt;_social_category&gt;医学(4)&lt;/_social_category&gt;&lt;_collection_scope&gt;SCIE;EI&lt;/_collection_scope&gt;&lt;/Details&gt;&lt;Extra&gt;&lt;DBUID&gt;{F96A950B-833F-4880-A151-76DA2D6A2879}&lt;/DBUID&gt;&lt;/Extra&gt;&lt;/Item&gt;&lt;/References&gt;&lt;/Group&gt;&lt;/Citation&gt;_x000a_"/>
    <w:docVar w:name="NE.Ref{EDAD8EEB-8313-4030-88F1-08DA524D5A5A}" w:val=" ADDIN NE.Ref.{EDAD8EEB-8313-4030-88F1-08DA524D5A5A}&lt;Citation&gt;&lt;Group&gt;&lt;References&gt;&lt;Item&gt;&lt;ID&gt;535&lt;/ID&gt;&lt;UID&gt;{6182665C-82BC-4A2E-B18F-B44809081DF2}&lt;/UID&gt;&lt;Title&gt;Probing responses to deep brain stimulation with functional magnetic resonance  imaging&lt;/Title&gt;&lt;Template&gt;Journal Article&lt;/Template&gt;&lt;Star&gt;0&lt;/Star&gt;&lt;Tag&gt;0&lt;/Tag&gt;&lt;Author&gt;Loh, A; Gwun, D; Chow, C T; Boutet, A; Tasserie, J; Germann, J; Santyr, B; Elias, G; Yamamoto, K; Sarica, C; Vetkas, A; Zemmar, A; Madhavan, R; Fasano, A; Lozano, A M&lt;/Author&gt;&lt;Year&gt;2022&lt;/Year&gt;&lt;Details&gt;&lt;_accession_num&gt;35447378&lt;/_accession_num&gt;&lt;_author_adr&gt;Division of Neurosurgery, Toronto Western Hospital, University of Toronto,  Canada.; Division of Neurosurgery, Toronto Western Hospital, University of Toronto,  Canada.; Division of Neurosurgery, Toronto Western Hospital, University of Toronto,  Canada.; Division of Neurosurgery, Toronto Western Hospital, University of Toronto,  Canada; Joint Department of Medical Imaging, University of Toronto, Toronto,  Canada.; Division of Neurosurgery, Toronto Western Hospital, University of Toronto,  Canada.; Division of Neurosurgery, Toronto Western Hospital, University of Toronto,  Canada.; Division of Neurosurgery, Toronto Western Hospital, University of Toronto,  Canada.; Division of Neurosurgery, Toronto Western Hospital, University of Toronto,  Canada.; Division of Neurosurgery, Toronto Western Hospital, University of Toronto,  Canada.; Division of Neurosurgery, Toronto Western Hospital, University of Toronto,  Canada.; Division of Neurosurgery, Toronto Western Hospital, University of Toronto,  Canada; Department of Neurosurgery, Tartu University Hospital, University of  Tartu, Tartu, Estonia.; Department of Neurosurgery, Henan University School of Medicine, Zhengzhou,  China; Department of Neurosurgery, University of Louisville, Louisville, KY,  United States.; GE Global Research Center, Niskayuna, NY, United States.; Edmond J. Safra Program in Parkinson&amp;apos;s Disease and Morton and Gloria Shulman  Movement Disorders Clinic, Toronto Western Hospital and Division of Neurology,  UHN, Division of Neurology, University of Toronto, Toronto, Ontario, Canada;  Center for Advancing Neurotechnological Innovation to Application (CRANIA),  Toronto, Ontario, Canada.; Division of Neurosurgery, Toronto Western Hospital, University of Toronto,  Canada; Krembil Research Institute, Toronto, Ontario, Canada. Electronic address:  lozano@uhnresearch.ca.&lt;/_author_adr&gt;&lt;_date_display&gt;2022 May-Jun&lt;/_date_display&gt;&lt;_date&gt;2022-05-01&lt;/_date&gt;&lt;_doi&gt;10.1016/j.brs.2022.03.009&lt;/_doi&gt;&lt;_isbn&gt;1876-4754 (Electronic); 1876-4754 (Linking)&lt;/_isbn&gt;&lt;_issue&gt;3&lt;/_issue&gt;&lt;_journal&gt;Brain Stimul&lt;/_journal&gt;&lt;_keywords&gt;Deep brain stimulation; Functional imaging; Movement disorders; Neuromodulation; fMRI&lt;/_keywords&gt;&lt;_language&gt;eng&lt;/_language&gt;&lt;_ori_publication&gt;Copyright © 2022 The Authors. Published by Elsevier Inc. All rights reserved.&lt;/_ori_publication&gt;&lt;_pages&gt;683-694&lt;/_pages&gt;&lt;_subject_headings&gt;*Deep Brain Stimulation/methods; *Depressive Disorder, Major/therapy; Humans; Magnetic Resonance Imaging; *Parkinson Disease/therapy; *Subthalamic Nucleus&lt;/_subject_headings&gt;&lt;_tertiary_title&gt;Brain stimulation&lt;/_tertiary_title&gt;&lt;_type_work&gt;Journal Article; Review; Systematic Review&lt;/_type_work&gt;&lt;_url&gt;http://www.ncbi.nlm.nih.gov/entrez/query.fcgi?cmd=Retrieve&amp;amp;db=pubmed&amp;amp;dopt=Abstract&amp;amp;list_uids=35447378&amp;amp;query_hl=1&lt;/_url&gt;&lt;_volume&gt;15&lt;/_volume&gt;&lt;_created&gt;64981375&lt;/_created&gt;&lt;_modified&gt;64981375&lt;/_modified&gt;&lt;_impact_factor&gt;   9.184&lt;/_impact_factor&gt;&lt;_social_category&gt;医学(1)&lt;/_social_category&gt;&lt;_collection_scope&gt;SCIE&lt;/_collection_scope&gt;&lt;/Details&gt;&lt;Extra&gt;&lt;DBUID&gt;{F96A950B-833F-4880-A151-76DA2D6A2879}&lt;/DBUID&gt;&lt;/Extra&gt;&lt;/Item&gt;&lt;/References&gt;&lt;/Group&gt;&lt;/Citation&gt;_x000a_"/>
    <w:docVar w:name="NE.Ref{F401BD46-A522-4213-A321-D98094A30274}" w:val=" ADDIN NE.Ref.{F401BD46-A522-4213-A321-D98094A30274}&lt;Citation&gt;&lt;Group&gt;&lt;References&gt;&lt;Item&gt;&lt;ID&gt;552&lt;/ID&gt;&lt;UID&gt;{3312BD8B-B634-4A22-BE50-CF9DDC681364}&lt;/UID&gt;&lt;Title&gt;Closing the loop of DBS using the beta oscillations in cortex&lt;/Title&gt;&lt;Template&gt;Journal Article&lt;/Template&gt;&lt;Star&gt;0&lt;/Star&gt;&lt;Tag&gt;0&lt;/Tag&gt;&lt;Author&gt;Liu, Chen; Zhao, Ge; Meng, Zihan; Zhou, Changsong; Zhu, Xiaodong; Zhang, Wei; Wang, Jiang; Li, Huiyan; Wu, Hao; Fietkiewicz, Chris; Loparo, Kenneth A&lt;/Author&gt;&lt;Year&gt;2021&lt;/Year&gt;&lt;Details&gt;&lt;_alternate_title&gt;Cognitive Neurodynamics&lt;/_alternate_title&gt;&lt;_date_display&gt;2021&lt;/_date_display&gt;&lt;_date&gt;2021-01-01&lt;/_date&gt;&lt;_doi&gt;10.1007/s11571-021-09690-1&lt;/_doi&gt;&lt;_isbn&gt;1871-4099&lt;/_isbn&gt;&lt;_issue&gt;6&lt;/_issue&gt;&lt;_journal&gt;Cognitive Neurodynamics&lt;/_journal&gt;&lt;_number&gt;Liu2021&lt;/_number&gt;&lt;_pages&gt;1157-1167&lt;/_pages&gt;&lt;_url&gt;https://doi.org/10.1007/s11571-021-09690-1&lt;/_url&gt;&lt;_volume&gt;15&lt;/_volume&gt;&lt;_created&gt;64982300&lt;/_created&gt;&lt;_modified&gt;64982300&lt;/_modified&gt;&lt;_impact_factor&gt;   3.473&lt;/_impact_factor&gt;&lt;_social_category&gt;工程技术(2)&lt;/_social_category&gt;&lt;_collection_scope&gt;SCIE&lt;/_collection_scope&gt;&lt;/Details&gt;&lt;Extra&gt;&lt;DBUID&gt;{F96A950B-833F-4880-A151-76DA2D6A2879}&lt;/DBUID&gt;&lt;/Extra&gt;&lt;/Item&gt;&lt;/References&gt;&lt;/Group&gt;&lt;/Citation&gt;_x000a_"/>
    <w:docVar w:name="NE.Ref{F57B25A4-7254-4E65-8E1A-692F0CAEA484}" w:val=" ADDIN NE.Ref.{F57B25A4-7254-4E65-8E1A-692F0CAEA484}&lt;Citation&gt;&lt;Group&gt;&lt;References&gt;&lt;Item&gt;&lt;ID&gt;524&lt;/ID&gt;&lt;UID&gt;{3255734B-E7C3-406C-97BD-4896D37162D1}&lt;/UID&gt;&lt;Title&gt;Uncovering the underlying mechanisms and whole-brain dynamics of deep brain stimulation for Parkinson’s disease&lt;/Title&gt;&lt;Template&gt;Journal Article&lt;/Template&gt;&lt;Star&gt;0&lt;/Star&gt;&lt;Tag&gt;0&lt;/Tag&gt;&lt;Author&gt;Saenger, Victor M; Kahan, Joshua; Foltynie, Tom; Friston, Karl; Aziz, Tipu Z; Green, Alexander L; van Hartevelt, Tim J; Cabral, Joana; Stevner, Angus B A; Fernandes, Henrique M; Mancini, Laura; Thornton, John; Yousry, Tarek; Limousin, Patricia; Zrinzo, Ludvic; Hariz, Marwan; Marques, Paulo; Sousa, Nuno; Kringelbach, Morten L; Deco, Gustavo&lt;/Author&gt;&lt;Year&gt;2017&lt;/Year&gt;&lt;Details&gt;&lt;_alternate_title&gt;Scientific Reports&lt;/_alternate_title&gt;&lt;_date_display&gt;2017&lt;/_date_display&gt;&lt;_date&gt;2017-01-01&lt;/_date&gt;&lt;_doi&gt;10.1038/s41598-017-10003-y&lt;/_doi&gt;&lt;_isbn&gt;2045-2322&lt;/_isbn&gt;&lt;_issue&gt;1&lt;/_issue&gt;&lt;_journal&gt;Scientific Reports&lt;/_journal&gt;&lt;_number&gt;Saenger2017&lt;/_number&gt;&lt;_pages&gt;9882&lt;/_pages&gt;&lt;_url&gt;https://doi.org/10.1038/s41598-017-10003-y&lt;/_url&gt;&lt;_volume&gt;7&lt;/_volume&gt;&lt;_created&gt;64981366&lt;/_created&gt;&lt;_modified&gt;64981366&lt;/_modified&gt;&lt;_impact_factor&gt;   4.996&lt;/_impact_factor&gt;&lt;_social_category&gt;综合性期刊(3)&lt;/_social_category&gt;&lt;_collection_scope&gt;SCIE&lt;/_collection_scope&gt;&lt;/Details&gt;&lt;Extra&gt;&lt;DBUID&gt;{F96A950B-833F-4880-A151-76DA2D6A2879}&lt;/DBUID&gt;&lt;/Extra&gt;&lt;/Item&gt;&lt;/References&gt;&lt;/Group&gt;&lt;Group&gt;&lt;References&gt;&lt;Item&gt;&lt;ID&gt;525&lt;/ID&gt;&lt;UID&gt;{528CEA02-6DFD-4F66-BB8A-A744633629DF}&lt;/UID&gt;&lt;Title&gt;Translational principles of deep brain stimulation&lt;/Title&gt;&lt;Template&gt;Journal Article&lt;/Template&gt;&lt;Star&gt;0&lt;/Star&gt;&lt;Tag&gt;0&lt;/Tag&gt;&lt;Author&gt;Kringelbach, Morten L; Jenkinson, Ned; Owen, Sarah L F; Aziz, Tipu Z&lt;/Author&gt;&lt;Year&gt;2007&lt;/Year&gt;&lt;Details&gt;&lt;_alternate_title&gt;Nature Reviews Neuroscience&lt;/_alternate_title&gt;&lt;_date_display&gt;2007&lt;/_date_display&gt;&lt;_date&gt;2007-01-01&lt;/_date&gt;&lt;_doi&gt;10.1038/nrn2196&lt;/_doi&gt;&lt;_isbn&gt;1471-0048&lt;/_isbn&gt;&lt;_issue&gt;8&lt;/_issue&gt;&lt;_journal&gt;Nature Reviews Neuroscience&lt;/_journal&gt;&lt;_number&gt;Kringelbach2007&lt;/_number&gt;&lt;_pages&gt;623-635&lt;/_pages&gt;&lt;_url&gt;https://doi.org/10.1038/nrn2196&lt;/_url&gt;&lt;_volume&gt;8&lt;/_volume&gt;&lt;_created&gt;64981366&lt;/_created&gt;&lt;_modified&gt;64981366&lt;/_modified&gt;&lt;_impact_factor&gt;  38.755&lt;/_impact_factor&gt;&lt;_social_category&gt;医学(1)&lt;/_social_category&gt;&lt;_collection_scope&gt;SCIE&lt;/_collection_scope&gt;&lt;/Details&gt;&lt;Extra&gt;&lt;DBUID&gt;{F96A950B-833F-4880-A151-76DA2D6A2879}&lt;/DBUID&gt;&lt;/Extra&gt;&lt;/Item&gt;&lt;/References&gt;&lt;/Group&gt;&lt;/Citation&gt;_x000a_"/>
    <w:docVar w:name="NE.Ref{FB4BAB9E-2529-4AF1-97DE-59893A6ECBA5}" w:val=" ADDIN NE.Ref.{FB4BAB9E-2529-4AF1-97DE-59893A6ECBA5}&lt;Citation&gt;&lt;Group&gt;&lt;References&gt;&lt;Item&gt;&lt;ID&gt;533&lt;/ID&gt;&lt;UID&gt;{1BB6EC74-BCF8-4CC4-AF35-C7553FB6A1A6}&lt;/UID&gt;&lt;Title&gt;Functional connectivity in the motor cortex of resting human brain using  echo-planar MRI&lt;/Title&gt;&lt;Template&gt;Journal Article&lt;/Template&gt;&lt;Star&gt;0&lt;/Star&gt;&lt;Tag&gt;0&lt;/Tag&gt;&lt;Author&gt;Biswal, B; Yetkin, F Z; Haughton, V M; Hyde, J S&lt;/Author&gt;&lt;Year&gt;1995&lt;/Year&gt;&lt;Details&gt;&lt;_accession_num&gt;8524021&lt;/_accession_num&gt;&lt;_author_adr&gt;Biophysics Research Institute, Medical College of Wisconsin, Milwaukee  53226-0509, USA.&lt;/_author_adr&gt;&lt;_date_display&gt;1995 Oct&lt;/_date_display&gt;&lt;_date&gt;1995-10-01&lt;/_date&gt;&lt;_doi&gt;10.1002/mrm.1910340409&lt;/_doi&gt;&lt;_isbn&gt;0740-3194 (Print); 0740-3194 (Linking)&lt;/_isbn&gt;&lt;_issue&gt;4&lt;/_issue&gt;&lt;_journal&gt;Magn Reson Med&lt;/_journal&gt;&lt;_language&gt;eng&lt;/_language&gt;&lt;_pages&gt;537-41&lt;/_pages&gt;&lt;_subject_headings&gt;Acoustic Stimulation; Adult; Brain/metabolism/*physiology; Cerebrovascular Circulation; *Echo-Planar Imaging; Electroencephalography; Female; Fingers/physiology; Hand/physiology; Humans; *Magnetic Resonance Imaging/methods; Male; Motor Cortex/metabolism/*physiology; Motor Skills; Movement; Neurons/physiology; Oxygen/blood; Photic Stimulation; Psychomotor Performance; *Rest; Somatosensory Cortex/metabolism/physiology&lt;/_subject_headings&gt;&lt;_tertiary_title&gt;Magnetic resonance in medicine&lt;/_tertiary_title&gt;&lt;_type_work&gt;Journal Article; Research Support, U.S. Gov&amp;apos;t, P.H.S.&lt;/_type_work&gt;&lt;_url&gt;http://www.ncbi.nlm.nih.gov/entrez/query.fcgi?cmd=Retrieve&amp;amp;db=pubmed&amp;amp;dopt=Abstract&amp;amp;list_uids=8524021&amp;amp;query_hl=1&lt;/_url&gt;&lt;_volume&gt;34&lt;/_volume&gt;&lt;_created&gt;64981374&lt;/_created&gt;&lt;_modified&gt;64981374&lt;/_modified&gt;&lt;_impact_factor&gt;   3.737&lt;/_impact_factor&gt;&lt;_social_category&gt;医学(2)&lt;/_social_category&gt;&lt;_collection_scope&gt;SCIE;EI&lt;/_collection_scope&gt;&lt;/Details&gt;&lt;Extra&gt;&lt;DBUID&gt;{F96A950B-833F-4880-A151-76DA2D6A2879}&lt;/DBUID&gt;&lt;/Extra&gt;&lt;/Item&gt;&lt;/References&gt;&lt;/Group&gt;&lt;Group&gt;&lt;References&gt;&lt;Item&gt;&lt;ID&gt;534&lt;/ID&gt;&lt;UID&gt;{AC6A0EA0-6DE2-43CA-9921-BD0CF0AEB9BB}&lt;/UID&gt;&lt;Title&gt;Uncovering intrinsic modular organization of spontaneous brain activity in  humans&lt;/Title&gt;&lt;Template&gt;Journal Article&lt;/Template&gt;&lt;Star&gt;0&lt;/Star&gt;&lt;Tag&gt;0&lt;/Tag&gt;&lt;Author&gt;He, Y; Wang, J; Wang, L; Chen, Z J; Yan, C; Yang, H; Tang, H; Zhu, C; Gong, Q; Zang, Y; Evans, A C&lt;/Author&gt;&lt;Year&gt;2009&lt;/Year&gt;&lt;Details&gt;&lt;_accession_num&gt;19381298&lt;/_accession_num&gt;&lt;_author_adr&gt;State Key Laboratory of Cognitive Neuroscience, Beijing Normal University,  Beijing, China. yong.he@bnu.edu.cn&lt;/_author_adr&gt;&lt;_date_display&gt;2009&lt;/_date_display&gt;&lt;_date&gt;2009-01-20&lt;/_date&gt;&lt;_doi&gt;10.1371/journal.pone.0005226&lt;/_doi&gt;&lt;_isbn&gt;1932-6203 (Electronic); 1932-6203 (Linking)&lt;/_isbn&gt;&lt;_issue&gt;4&lt;/_issue&gt;&lt;_journal&gt;PLoS One&lt;/_journal&gt;&lt;_language&gt;eng&lt;/_language&gt;&lt;_pages&gt;e5226&lt;/_pages&gt;&lt;_subject_headings&gt;Brain/*physiology; Humans; Reproducibility of Results&lt;/_subject_headings&gt;&lt;_tertiary_title&gt;PloS one&lt;/_tertiary_title&gt;&lt;_type_work&gt;Journal Article; Research Support, Non-U.S. Gov&amp;apos;t&lt;/_type_work&gt;&lt;_url&gt;http://www.ncbi.nlm.nih.gov/entrez/query.fcgi?cmd=Retrieve&amp;amp;db=pubmed&amp;amp;dopt=Abstract&amp;amp;list_uids=19381298&amp;amp;query_hl=1&lt;/_url&gt;&lt;_volume&gt;4&lt;/_volume&gt;&lt;_created&gt;64981375&lt;/_created&gt;&lt;_modified&gt;64981375&lt;/_modified&gt;&lt;_impact_factor&gt;   3.752&lt;/_impact_factor&gt;&lt;_social_category&gt;综合性期刊(3)&lt;/_social_category&gt;&lt;_collection_scope&gt;SCIE&lt;/_collection_scope&gt;&lt;/Details&gt;&lt;Extra&gt;&lt;DBUID&gt;{F96A950B-833F-4880-A151-76DA2D6A2879}&lt;/DBUID&gt;&lt;/Extra&gt;&lt;/Item&gt;&lt;/References&gt;&lt;/Group&gt;&lt;/Citation&gt;_x000a_"/>
    <w:docVar w:name="ne_docsoft" w:val="MSWord"/>
    <w:docVar w:name="ne_docversion" w:val="NoteExpress 2.0"/>
    <w:docVar w:name="ne_stylename" w:val="Numbered(multilingual)"/>
  </w:docVars>
  <w:rsids>
    <w:rsidRoot w:val="00172A27"/>
    <w:rsid w:val="00002E94"/>
    <w:rsid w:val="000118A6"/>
    <w:rsid w:val="00023AFF"/>
    <w:rsid w:val="000963E0"/>
    <w:rsid w:val="000A7A70"/>
    <w:rsid w:val="000B0650"/>
    <w:rsid w:val="000B0D52"/>
    <w:rsid w:val="000B1400"/>
    <w:rsid w:val="00134D59"/>
    <w:rsid w:val="001512B8"/>
    <w:rsid w:val="00172A27"/>
    <w:rsid w:val="00193B21"/>
    <w:rsid w:val="001A5826"/>
    <w:rsid w:val="001C5C37"/>
    <w:rsid w:val="002615F1"/>
    <w:rsid w:val="00277BFC"/>
    <w:rsid w:val="002B3BD4"/>
    <w:rsid w:val="002C555C"/>
    <w:rsid w:val="00323966"/>
    <w:rsid w:val="003357BC"/>
    <w:rsid w:val="003B7F8F"/>
    <w:rsid w:val="003D3CF6"/>
    <w:rsid w:val="00450864"/>
    <w:rsid w:val="00495B0A"/>
    <w:rsid w:val="004C2F73"/>
    <w:rsid w:val="004E2938"/>
    <w:rsid w:val="00576F37"/>
    <w:rsid w:val="00595AAB"/>
    <w:rsid w:val="005C2756"/>
    <w:rsid w:val="005E3E63"/>
    <w:rsid w:val="006008DF"/>
    <w:rsid w:val="00612F63"/>
    <w:rsid w:val="00617296"/>
    <w:rsid w:val="00643E4C"/>
    <w:rsid w:val="00657428"/>
    <w:rsid w:val="006717F8"/>
    <w:rsid w:val="006831C5"/>
    <w:rsid w:val="006A60E3"/>
    <w:rsid w:val="006F5582"/>
    <w:rsid w:val="00724AB7"/>
    <w:rsid w:val="0072646A"/>
    <w:rsid w:val="0074288A"/>
    <w:rsid w:val="00782CD2"/>
    <w:rsid w:val="007E5DDB"/>
    <w:rsid w:val="00804EBA"/>
    <w:rsid w:val="00807B42"/>
    <w:rsid w:val="00822FD0"/>
    <w:rsid w:val="00831077"/>
    <w:rsid w:val="00872173"/>
    <w:rsid w:val="00874CB9"/>
    <w:rsid w:val="00885DB3"/>
    <w:rsid w:val="008C3168"/>
    <w:rsid w:val="00913254"/>
    <w:rsid w:val="00936B3D"/>
    <w:rsid w:val="0095110E"/>
    <w:rsid w:val="009607B5"/>
    <w:rsid w:val="009E1DAB"/>
    <w:rsid w:val="00A2739B"/>
    <w:rsid w:val="00AC03E2"/>
    <w:rsid w:val="00AC5E3D"/>
    <w:rsid w:val="00B6219F"/>
    <w:rsid w:val="00BC2B06"/>
    <w:rsid w:val="00C12DE3"/>
    <w:rsid w:val="00CA527E"/>
    <w:rsid w:val="00D1412F"/>
    <w:rsid w:val="00D47478"/>
    <w:rsid w:val="00D91334"/>
    <w:rsid w:val="00DA1B55"/>
    <w:rsid w:val="00DB6F7B"/>
    <w:rsid w:val="00E264B4"/>
    <w:rsid w:val="00E55127"/>
    <w:rsid w:val="00EA11EB"/>
    <w:rsid w:val="00EA148D"/>
    <w:rsid w:val="00EB0EC3"/>
    <w:rsid w:val="00EC35E8"/>
    <w:rsid w:val="00ED1221"/>
    <w:rsid w:val="00F05477"/>
    <w:rsid w:val="00F321D0"/>
    <w:rsid w:val="00F54FDA"/>
    <w:rsid w:val="00F6380F"/>
    <w:rsid w:val="00FC7B05"/>
    <w:rsid w:val="00FE0E9D"/>
    <w:rsid w:val="014A185D"/>
    <w:rsid w:val="017A6D56"/>
    <w:rsid w:val="017F790E"/>
    <w:rsid w:val="018E53BB"/>
    <w:rsid w:val="01A06087"/>
    <w:rsid w:val="01A41B01"/>
    <w:rsid w:val="01AA7D1B"/>
    <w:rsid w:val="01F02D3F"/>
    <w:rsid w:val="028642E4"/>
    <w:rsid w:val="028D17A1"/>
    <w:rsid w:val="02AC516A"/>
    <w:rsid w:val="02BC1AB4"/>
    <w:rsid w:val="02C10E79"/>
    <w:rsid w:val="02C1356F"/>
    <w:rsid w:val="02D212D8"/>
    <w:rsid w:val="03117A7F"/>
    <w:rsid w:val="03465C4C"/>
    <w:rsid w:val="039759F3"/>
    <w:rsid w:val="03A964DC"/>
    <w:rsid w:val="03AE1B2E"/>
    <w:rsid w:val="03AE265E"/>
    <w:rsid w:val="03C60FED"/>
    <w:rsid w:val="03CE3735"/>
    <w:rsid w:val="03D72B59"/>
    <w:rsid w:val="03D75B73"/>
    <w:rsid w:val="042437B5"/>
    <w:rsid w:val="04AB11EC"/>
    <w:rsid w:val="04E25B35"/>
    <w:rsid w:val="050339CA"/>
    <w:rsid w:val="050F101D"/>
    <w:rsid w:val="055A7363"/>
    <w:rsid w:val="056D7096"/>
    <w:rsid w:val="05776166"/>
    <w:rsid w:val="059B09CE"/>
    <w:rsid w:val="05AF384E"/>
    <w:rsid w:val="05CE27C0"/>
    <w:rsid w:val="05E36D4C"/>
    <w:rsid w:val="05E72036"/>
    <w:rsid w:val="05EB1C99"/>
    <w:rsid w:val="05FD2B10"/>
    <w:rsid w:val="060E54B7"/>
    <w:rsid w:val="062E0F1B"/>
    <w:rsid w:val="06440FDD"/>
    <w:rsid w:val="06B413E2"/>
    <w:rsid w:val="07100621"/>
    <w:rsid w:val="07382AF1"/>
    <w:rsid w:val="076F66E3"/>
    <w:rsid w:val="077D00DC"/>
    <w:rsid w:val="078A77F8"/>
    <w:rsid w:val="08007C85"/>
    <w:rsid w:val="08843343"/>
    <w:rsid w:val="08850B9A"/>
    <w:rsid w:val="08B30855"/>
    <w:rsid w:val="08B57EDA"/>
    <w:rsid w:val="08C276F9"/>
    <w:rsid w:val="09342965"/>
    <w:rsid w:val="09414145"/>
    <w:rsid w:val="095A195E"/>
    <w:rsid w:val="09664EDB"/>
    <w:rsid w:val="09A45050"/>
    <w:rsid w:val="09AF7805"/>
    <w:rsid w:val="09E638BB"/>
    <w:rsid w:val="09FC75BA"/>
    <w:rsid w:val="0A1B3564"/>
    <w:rsid w:val="0A2D3298"/>
    <w:rsid w:val="0A7519E1"/>
    <w:rsid w:val="0A952703"/>
    <w:rsid w:val="0AA277E2"/>
    <w:rsid w:val="0AA45867"/>
    <w:rsid w:val="0AAE43D8"/>
    <w:rsid w:val="0AB51CD2"/>
    <w:rsid w:val="0AEA2F37"/>
    <w:rsid w:val="0B0316D4"/>
    <w:rsid w:val="0B4F562A"/>
    <w:rsid w:val="0B6A18BD"/>
    <w:rsid w:val="0BA457DB"/>
    <w:rsid w:val="0C2B5940"/>
    <w:rsid w:val="0C475BC8"/>
    <w:rsid w:val="0C8B2449"/>
    <w:rsid w:val="0CA22EE5"/>
    <w:rsid w:val="0CA27F6D"/>
    <w:rsid w:val="0CB14C01"/>
    <w:rsid w:val="0CE52E0B"/>
    <w:rsid w:val="0D5F20DB"/>
    <w:rsid w:val="0D984710"/>
    <w:rsid w:val="0DC77C94"/>
    <w:rsid w:val="0DFF092F"/>
    <w:rsid w:val="0E032C8D"/>
    <w:rsid w:val="0E455760"/>
    <w:rsid w:val="0E73251E"/>
    <w:rsid w:val="0E8E2AD4"/>
    <w:rsid w:val="0EDE2DB2"/>
    <w:rsid w:val="0F3D49DB"/>
    <w:rsid w:val="0F483937"/>
    <w:rsid w:val="0F693ECA"/>
    <w:rsid w:val="0F700708"/>
    <w:rsid w:val="0F701530"/>
    <w:rsid w:val="0F837E14"/>
    <w:rsid w:val="0F9022FF"/>
    <w:rsid w:val="0F994410"/>
    <w:rsid w:val="0FD83CA6"/>
    <w:rsid w:val="101A58F5"/>
    <w:rsid w:val="1045758D"/>
    <w:rsid w:val="1085319F"/>
    <w:rsid w:val="10BD2B2D"/>
    <w:rsid w:val="10C5422A"/>
    <w:rsid w:val="10EB6BF0"/>
    <w:rsid w:val="10FE14EA"/>
    <w:rsid w:val="111E78FF"/>
    <w:rsid w:val="11314DE5"/>
    <w:rsid w:val="113849FC"/>
    <w:rsid w:val="11AD1067"/>
    <w:rsid w:val="11B66A8D"/>
    <w:rsid w:val="11EB7CC0"/>
    <w:rsid w:val="11FE2376"/>
    <w:rsid w:val="12131955"/>
    <w:rsid w:val="12194073"/>
    <w:rsid w:val="122B7232"/>
    <w:rsid w:val="124E076D"/>
    <w:rsid w:val="128334CA"/>
    <w:rsid w:val="12863E8D"/>
    <w:rsid w:val="12A346FC"/>
    <w:rsid w:val="12A93148"/>
    <w:rsid w:val="12BD39D3"/>
    <w:rsid w:val="12D97D84"/>
    <w:rsid w:val="13025066"/>
    <w:rsid w:val="13097D4C"/>
    <w:rsid w:val="1338109D"/>
    <w:rsid w:val="13385187"/>
    <w:rsid w:val="13532F67"/>
    <w:rsid w:val="13594830"/>
    <w:rsid w:val="1367395A"/>
    <w:rsid w:val="13785584"/>
    <w:rsid w:val="13954387"/>
    <w:rsid w:val="13A17AE2"/>
    <w:rsid w:val="13C20EF5"/>
    <w:rsid w:val="13DE2CFE"/>
    <w:rsid w:val="142D2812"/>
    <w:rsid w:val="14590E98"/>
    <w:rsid w:val="145E6E6F"/>
    <w:rsid w:val="14AB0073"/>
    <w:rsid w:val="14AF14D8"/>
    <w:rsid w:val="14CF4074"/>
    <w:rsid w:val="14E7669A"/>
    <w:rsid w:val="150F1F18"/>
    <w:rsid w:val="15602773"/>
    <w:rsid w:val="15740A65"/>
    <w:rsid w:val="157608BB"/>
    <w:rsid w:val="159A3ED7"/>
    <w:rsid w:val="15AF54A9"/>
    <w:rsid w:val="15B87CB7"/>
    <w:rsid w:val="15C31E85"/>
    <w:rsid w:val="15C95EAC"/>
    <w:rsid w:val="15DD3CC5"/>
    <w:rsid w:val="15E1165B"/>
    <w:rsid w:val="15F23FF9"/>
    <w:rsid w:val="15F31839"/>
    <w:rsid w:val="16042D9B"/>
    <w:rsid w:val="16077CD4"/>
    <w:rsid w:val="16390549"/>
    <w:rsid w:val="16431957"/>
    <w:rsid w:val="16726C02"/>
    <w:rsid w:val="16A57EE9"/>
    <w:rsid w:val="16BD5BDC"/>
    <w:rsid w:val="16CB6312"/>
    <w:rsid w:val="16D607F1"/>
    <w:rsid w:val="16DA3F80"/>
    <w:rsid w:val="18516919"/>
    <w:rsid w:val="18710C46"/>
    <w:rsid w:val="18A312F5"/>
    <w:rsid w:val="18B05FFA"/>
    <w:rsid w:val="18FB610D"/>
    <w:rsid w:val="191D3C60"/>
    <w:rsid w:val="19266C51"/>
    <w:rsid w:val="194165D2"/>
    <w:rsid w:val="197B2C2A"/>
    <w:rsid w:val="19AB22CF"/>
    <w:rsid w:val="19B4116D"/>
    <w:rsid w:val="19E562DB"/>
    <w:rsid w:val="19E909D7"/>
    <w:rsid w:val="19FA7E71"/>
    <w:rsid w:val="19FC0E21"/>
    <w:rsid w:val="1A3E0DC5"/>
    <w:rsid w:val="1A4E44C3"/>
    <w:rsid w:val="1A5C1106"/>
    <w:rsid w:val="1A82037F"/>
    <w:rsid w:val="1AB33345"/>
    <w:rsid w:val="1ABE1D5B"/>
    <w:rsid w:val="1ACD42EE"/>
    <w:rsid w:val="1AE21342"/>
    <w:rsid w:val="1B391A9C"/>
    <w:rsid w:val="1B4D5548"/>
    <w:rsid w:val="1B4F159B"/>
    <w:rsid w:val="1B612532"/>
    <w:rsid w:val="1B6D5BEA"/>
    <w:rsid w:val="1BE94C14"/>
    <w:rsid w:val="1C0E117B"/>
    <w:rsid w:val="1C475483"/>
    <w:rsid w:val="1C9378D2"/>
    <w:rsid w:val="1CD326F1"/>
    <w:rsid w:val="1D3A7D4E"/>
    <w:rsid w:val="1D484E43"/>
    <w:rsid w:val="1D796AC8"/>
    <w:rsid w:val="1DA13929"/>
    <w:rsid w:val="1DAB29F9"/>
    <w:rsid w:val="1DEA45D2"/>
    <w:rsid w:val="1DED6B6E"/>
    <w:rsid w:val="1E1E141D"/>
    <w:rsid w:val="1E220B10"/>
    <w:rsid w:val="1E580F85"/>
    <w:rsid w:val="1E722EB5"/>
    <w:rsid w:val="1E781F39"/>
    <w:rsid w:val="1EB45B8A"/>
    <w:rsid w:val="1EBA39AF"/>
    <w:rsid w:val="1EC9067D"/>
    <w:rsid w:val="1ECD7DF1"/>
    <w:rsid w:val="1ED65854"/>
    <w:rsid w:val="1EF33837"/>
    <w:rsid w:val="1F1E1BC6"/>
    <w:rsid w:val="1F5844BB"/>
    <w:rsid w:val="1F5B1957"/>
    <w:rsid w:val="1F867203"/>
    <w:rsid w:val="1FB3746A"/>
    <w:rsid w:val="1FB82D2D"/>
    <w:rsid w:val="20206A41"/>
    <w:rsid w:val="202C7E22"/>
    <w:rsid w:val="20574252"/>
    <w:rsid w:val="206C4FCA"/>
    <w:rsid w:val="20893A49"/>
    <w:rsid w:val="20DD111C"/>
    <w:rsid w:val="20DF51B8"/>
    <w:rsid w:val="21093CBF"/>
    <w:rsid w:val="21140360"/>
    <w:rsid w:val="211A5ECC"/>
    <w:rsid w:val="211B0CE2"/>
    <w:rsid w:val="2127429E"/>
    <w:rsid w:val="213C22E6"/>
    <w:rsid w:val="21602A31"/>
    <w:rsid w:val="21627873"/>
    <w:rsid w:val="2176408E"/>
    <w:rsid w:val="21C167D8"/>
    <w:rsid w:val="21CC2382"/>
    <w:rsid w:val="21E97519"/>
    <w:rsid w:val="22772F97"/>
    <w:rsid w:val="22794079"/>
    <w:rsid w:val="22CF1247"/>
    <w:rsid w:val="237644FD"/>
    <w:rsid w:val="23B05A23"/>
    <w:rsid w:val="23E469E7"/>
    <w:rsid w:val="241C63FF"/>
    <w:rsid w:val="244F33EA"/>
    <w:rsid w:val="24761861"/>
    <w:rsid w:val="24C00CEA"/>
    <w:rsid w:val="25010F47"/>
    <w:rsid w:val="250E3F84"/>
    <w:rsid w:val="25165919"/>
    <w:rsid w:val="252E5A87"/>
    <w:rsid w:val="253E4942"/>
    <w:rsid w:val="25D96990"/>
    <w:rsid w:val="25F211C5"/>
    <w:rsid w:val="26154E19"/>
    <w:rsid w:val="26630A0A"/>
    <w:rsid w:val="268A3AF4"/>
    <w:rsid w:val="26906D2C"/>
    <w:rsid w:val="26E726E0"/>
    <w:rsid w:val="2723369A"/>
    <w:rsid w:val="27400656"/>
    <w:rsid w:val="275A5D33"/>
    <w:rsid w:val="2775402A"/>
    <w:rsid w:val="279A1B15"/>
    <w:rsid w:val="27CA645B"/>
    <w:rsid w:val="27D4363E"/>
    <w:rsid w:val="281602AA"/>
    <w:rsid w:val="284E059A"/>
    <w:rsid w:val="285E0D94"/>
    <w:rsid w:val="288E4E63"/>
    <w:rsid w:val="28A01ACE"/>
    <w:rsid w:val="28E76D93"/>
    <w:rsid w:val="28FF2BB2"/>
    <w:rsid w:val="29057462"/>
    <w:rsid w:val="29064F88"/>
    <w:rsid w:val="29141A06"/>
    <w:rsid w:val="29146F2D"/>
    <w:rsid w:val="2933168C"/>
    <w:rsid w:val="297676B3"/>
    <w:rsid w:val="29911182"/>
    <w:rsid w:val="299771AB"/>
    <w:rsid w:val="29BE1E20"/>
    <w:rsid w:val="29C02683"/>
    <w:rsid w:val="2A001B39"/>
    <w:rsid w:val="2A6E1037"/>
    <w:rsid w:val="2A7C3754"/>
    <w:rsid w:val="2A802E4A"/>
    <w:rsid w:val="2A854663"/>
    <w:rsid w:val="2AB61468"/>
    <w:rsid w:val="2ACD6BEB"/>
    <w:rsid w:val="2AF40F34"/>
    <w:rsid w:val="2B0E0B90"/>
    <w:rsid w:val="2B151EAA"/>
    <w:rsid w:val="2B21634D"/>
    <w:rsid w:val="2B4C2240"/>
    <w:rsid w:val="2B4C3D36"/>
    <w:rsid w:val="2BB23E45"/>
    <w:rsid w:val="2C477D91"/>
    <w:rsid w:val="2C715A50"/>
    <w:rsid w:val="2C7805AC"/>
    <w:rsid w:val="2CA403BF"/>
    <w:rsid w:val="2CBC077F"/>
    <w:rsid w:val="2CE11F94"/>
    <w:rsid w:val="2CEB696E"/>
    <w:rsid w:val="2D0356F7"/>
    <w:rsid w:val="2D295244"/>
    <w:rsid w:val="2D4A18E7"/>
    <w:rsid w:val="2D560DCD"/>
    <w:rsid w:val="2D8F19F0"/>
    <w:rsid w:val="2DA576E1"/>
    <w:rsid w:val="2E0B376C"/>
    <w:rsid w:val="2E115F03"/>
    <w:rsid w:val="2E1F28F7"/>
    <w:rsid w:val="2E335FCA"/>
    <w:rsid w:val="2E4477AF"/>
    <w:rsid w:val="2E515FD9"/>
    <w:rsid w:val="2EF53AD4"/>
    <w:rsid w:val="2F2E2B8C"/>
    <w:rsid w:val="2F38784A"/>
    <w:rsid w:val="2F854E58"/>
    <w:rsid w:val="2FDE27BA"/>
    <w:rsid w:val="2FFE78A1"/>
    <w:rsid w:val="2FFF10AF"/>
    <w:rsid w:val="302C2204"/>
    <w:rsid w:val="3040252E"/>
    <w:rsid w:val="30466CDD"/>
    <w:rsid w:val="304732FA"/>
    <w:rsid w:val="304E16EE"/>
    <w:rsid w:val="3091782D"/>
    <w:rsid w:val="30A27C8C"/>
    <w:rsid w:val="30BA3228"/>
    <w:rsid w:val="30CA5EAA"/>
    <w:rsid w:val="30CE282F"/>
    <w:rsid w:val="30E53E56"/>
    <w:rsid w:val="30E7600C"/>
    <w:rsid w:val="318444C8"/>
    <w:rsid w:val="31AA2ADA"/>
    <w:rsid w:val="31B41A25"/>
    <w:rsid w:val="31C24E5E"/>
    <w:rsid w:val="31C559E0"/>
    <w:rsid w:val="31C9656F"/>
    <w:rsid w:val="31D63403"/>
    <w:rsid w:val="31EA2666"/>
    <w:rsid w:val="32007886"/>
    <w:rsid w:val="321823D1"/>
    <w:rsid w:val="323F19B2"/>
    <w:rsid w:val="32412A3B"/>
    <w:rsid w:val="32B75C71"/>
    <w:rsid w:val="32C07477"/>
    <w:rsid w:val="333055E0"/>
    <w:rsid w:val="33413367"/>
    <w:rsid w:val="33495C92"/>
    <w:rsid w:val="33641229"/>
    <w:rsid w:val="339D48A3"/>
    <w:rsid w:val="33C63C91"/>
    <w:rsid w:val="33D25A5E"/>
    <w:rsid w:val="33D77C4D"/>
    <w:rsid w:val="33E306B8"/>
    <w:rsid w:val="33E6711C"/>
    <w:rsid w:val="33EA7980"/>
    <w:rsid w:val="341D136B"/>
    <w:rsid w:val="34394D20"/>
    <w:rsid w:val="344B6409"/>
    <w:rsid w:val="3468783E"/>
    <w:rsid w:val="347F6F90"/>
    <w:rsid w:val="350E3B42"/>
    <w:rsid w:val="35396C17"/>
    <w:rsid w:val="35422781"/>
    <w:rsid w:val="354B08F2"/>
    <w:rsid w:val="35CD4430"/>
    <w:rsid w:val="360A3C9A"/>
    <w:rsid w:val="36121A6C"/>
    <w:rsid w:val="36482B47"/>
    <w:rsid w:val="3652180C"/>
    <w:rsid w:val="366210E8"/>
    <w:rsid w:val="36716C17"/>
    <w:rsid w:val="36966842"/>
    <w:rsid w:val="36CA03D1"/>
    <w:rsid w:val="36F74B45"/>
    <w:rsid w:val="37217B5C"/>
    <w:rsid w:val="372413FB"/>
    <w:rsid w:val="37284A47"/>
    <w:rsid w:val="37462197"/>
    <w:rsid w:val="37592EAA"/>
    <w:rsid w:val="37AE43D0"/>
    <w:rsid w:val="37BC1633"/>
    <w:rsid w:val="37D050DF"/>
    <w:rsid w:val="37E1109A"/>
    <w:rsid w:val="37E26EEE"/>
    <w:rsid w:val="37E6032C"/>
    <w:rsid w:val="38776E47"/>
    <w:rsid w:val="38887767"/>
    <w:rsid w:val="38A30073"/>
    <w:rsid w:val="38AB1940"/>
    <w:rsid w:val="38C7148D"/>
    <w:rsid w:val="38EC5F48"/>
    <w:rsid w:val="38FB37F4"/>
    <w:rsid w:val="390200C3"/>
    <w:rsid w:val="390E5EBF"/>
    <w:rsid w:val="3914082C"/>
    <w:rsid w:val="39616936"/>
    <w:rsid w:val="39722561"/>
    <w:rsid w:val="397D3044"/>
    <w:rsid w:val="39BE0B06"/>
    <w:rsid w:val="39F033AA"/>
    <w:rsid w:val="3A0E687F"/>
    <w:rsid w:val="3A2E4E5E"/>
    <w:rsid w:val="3A575643"/>
    <w:rsid w:val="3A597AE6"/>
    <w:rsid w:val="3A7F3D26"/>
    <w:rsid w:val="3A8921D8"/>
    <w:rsid w:val="3AA06FEA"/>
    <w:rsid w:val="3AD56194"/>
    <w:rsid w:val="3ADB44C6"/>
    <w:rsid w:val="3B3F2CA7"/>
    <w:rsid w:val="3B502453"/>
    <w:rsid w:val="3B8E318D"/>
    <w:rsid w:val="3B956C7A"/>
    <w:rsid w:val="3B975D44"/>
    <w:rsid w:val="3BE86E9B"/>
    <w:rsid w:val="3C2123AD"/>
    <w:rsid w:val="3C2F496E"/>
    <w:rsid w:val="3C87472E"/>
    <w:rsid w:val="3C9506A5"/>
    <w:rsid w:val="3CDE40C8"/>
    <w:rsid w:val="3D197528"/>
    <w:rsid w:val="3E203A78"/>
    <w:rsid w:val="3E285C74"/>
    <w:rsid w:val="3E476870"/>
    <w:rsid w:val="3E4A2A9D"/>
    <w:rsid w:val="3E530817"/>
    <w:rsid w:val="3E537306"/>
    <w:rsid w:val="3E9477FF"/>
    <w:rsid w:val="3EA847CB"/>
    <w:rsid w:val="3ECB0200"/>
    <w:rsid w:val="3EF10CFF"/>
    <w:rsid w:val="3F4A7E6C"/>
    <w:rsid w:val="3F4F65FA"/>
    <w:rsid w:val="3F5574CD"/>
    <w:rsid w:val="3F7D06F2"/>
    <w:rsid w:val="3FAC1824"/>
    <w:rsid w:val="3FCC32F4"/>
    <w:rsid w:val="3FD0406C"/>
    <w:rsid w:val="3FFF4431"/>
    <w:rsid w:val="4000244F"/>
    <w:rsid w:val="40160D6F"/>
    <w:rsid w:val="40197EA4"/>
    <w:rsid w:val="40206070"/>
    <w:rsid w:val="40D7104F"/>
    <w:rsid w:val="40D84EB8"/>
    <w:rsid w:val="41120516"/>
    <w:rsid w:val="413904E6"/>
    <w:rsid w:val="416A1788"/>
    <w:rsid w:val="41817223"/>
    <w:rsid w:val="41B3459B"/>
    <w:rsid w:val="41F9158F"/>
    <w:rsid w:val="41FB2B3E"/>
    <w:rsid w:val="422A401C"/>
    <w:rsid w:val="425529C5"/>
    <w:rsid w:val="4270666E"/>
    <w:rsid w:val="42937435"/>
    <w:rsid w:val="4298067C"/>
    <w:rsid w:val="42B871FE"/>
    <w:rsid w:val="42D02437"/>
    <w:rsid w:val="42F25624"/>
    <w:rsid w:val="42F60D9D"/>
    <w:rsid w:val="42FE05FD"/>
    <w:rsid w:val="431762B8"/>
    <w:rsid w:val="43334635"/>
    <w:rsid w:val="43357305"/>
    <w:rsid w:val="4337663D"/>
    <w:rsid w:val="4369263E"/>
    <w:rsid w:val="43710135"/>
    <w:rsid w:val="43713C1A"/>
    <w:rsid w:val="43866643"/>
    <w:rsid w:val="43A606BF"/>
    <w:rsid w:val="43B010C3"/>
    <w:rsid w:val="43EA1D0A"/>
    <w:rsid w:val="43EE7018"/>
    <w:rsid w:val="4404683C"/>
    <w:rsid w:val="4436276D"/>
    <w:rsid w:val="44C23ABB"/>
    <w:rsid w:val="44D74FCE"/>
    <w:rsid w:val="44ED5830"/>
    <w:rsid w:val="452B6826"/>
    <w:rsid w:val="45576302"/>
    <w:rsid w:val="45717F85"/>
    <w:rsid w:val="458B6AE9"/>
    <w:rsid w:val="459A7132"/>
    <w:rsid w:val="45A831F7"/>
    <w:rsid w:val="45DD5596"/>
    <w:rsid w:val="45E16047"/>
    <w:rsid w:val="463A0C3C"/>
    <w:rsid w:val="46AA2F9F"/>
    <w:rsid w:val="46BC55D1"/>
    <w:rsid w:val="46C40AA7"/>
    <w:rsid w:val="475572D9"/>
    <w:rsid w:val="47721D0E"/>
    <w:rsid w:val="477C1691"/>
    <w:rsid w:val="47AD2D46"/>
    <w:rsid w:val="47B9793D"/>
    <w:rsid w:val="48245963"/>
    <w:rsid w:val="483F27B5"/>
    <w:rsid w:val="48A05C4D"/>
    <w:rsid w:val="48BA00F3"/>
    <w:rsid w:val="48C16019"/>
    <w:rsid w:val="48E7118C"/>
    <w:rsid w:val="496658A3"/>
    <w:rsid w:val="499D2658"/>
    <w:rsid w:val="49C500EB"/>
    <w:rsid w:val="49CD493F"/>
    <w:rsid w:val="49D4280C"/>
    <w:rsid w:val="49DA2A89"/>
    <w:rsid w:val="49E669E4"/>
    <w:rsid w:val="49F66C27"/>
    <w:rsid w:val="4A454E53"/>
    <w:rsid w:val="4A5516BF"/>
    <w:rsid w:val="4AE90326"/>
    <w:rsid w:val="4AE91781"/>
    <w:rsid w:val="4AED385F"/>
    <w:rsid w:val="4B045373"/>
    <w:rsid w:val="4B0709C0"/>
    <w:rsid w:val="4B0A5CEC"/>
    <w:rsid w:val="4B1E43B8"/>
    <w:rsid w:val="4B3C4E66"/>
    <w:rsid w:val="4B6121A7"/>
    <w:rsid w:val="4BA51DA3"/>
    <w:rsid w:val="4BC73E29"/>
    <w:rsid w:val="4BEC3099"/>
    <w:rsid w:val="4C320736"/>
    <w:rsid w:val="4C435CB3"/>
    <w:rsid w:val="4C470543"/>
    <w:rsid w:val="4C683B50"/>
    <w:rsid w:val="4C8C1674"/>
    <w:rsid w:val="4CEA5CFA"/>
    <w:rsid w:val="4CF84A64"/>
    <w:rsid w:val="4D090A1F"/>
    <w:rsid w:val="4D0F1621"/>
    <w:rsid w:val="4D32056A"/>
    <w:rsid w:val="4D55182C"/>
    <w:rsid w:val="4D6C7200"/>
    <w:rsid w:val="4D8409ED"/>
    <w:rsid w:val="4E053F02"/>
    <w:rsid w:val="4E845D6F"/>
    <w:rsid w:val="4E9B7D9D"/>
    <w:rsid w:val="4EFB6A8D"/>
    <w:rsid w:val="4F1D6FD1"/>
    <w:rsid w:val="4F367AC5"/>
    <w:rsid w:val="4F3816CF"/>
    <w:rsid w:val="4F535F31"/>
    <w:rsid w:val="4FAB2261"/>
    <w:rsid w:val="4FE86F3F"/>
    <w:rsid w:val="4FF63AD9"/>
    <w:rsid w:val="4FF82FCD"/>
    <w:rsid w:val="50010F5D"/>
    <w:rsid w:val="5010498C"/>
    <w:rsid w:val="50277F2C"/>
    <w:rsid w:val="50373906"/>
    <w:rsid w:val="503F0BFC"/>
    <w:rsid w:val="503F30C7"/>
    <w:rsid w:val="50DD28EE"/>
    <w:rsid w:val="50FB01CA"/>
    <w:rsid w:val="51076331"/>
    <w:rsid w:val="511C57E0"/>
    <w:rsid w:val="512950A3"/>
    <w:rsid w:val="51367529"/>
    <w:rsid w:val="51494287"/>
    <w:rsid w:val="519136D9"/>
    <w:rsid w:val="51A37FD9"/>
    <w:rsid w:val="51FA127E"/>
    <w:rsid w:val="51FF6894"/>
    <w:rsid w:val="520600F5"/>
    <w:rsid w:val="52674247"/>
    <w:rsid w:val="5295500F"/>
    <w:rsid w:val="52D03C5E"/>
    <w:rsid w:val="52FE4D9E"/>
    <w:rsid w:val="53062066"/>
    <w:rsid w:val="53212BE3"/>
    <w:rsid w:val="53681BDF"/>
    <w:rsid w:val="53740BBC"/>
    <w:rsid w:val="539235AC"/>
    <w:rsid w:val="53B1003C"/>
    <w:rsid w:val="53FB3CD3"/>
    <w:rsid w:val="5415239F"/>
    <w:rsid w:val="54501629"/>
    <w:rsid w:val="54700879"/>
    <w:rsid w:val="547527AC"/>
    <w:rsid w:val="54864BDF"/>
    <w:rsid w:val="548B315E"/>
    <w:rsid w:val="54FC2D03"/>
    <w:rsid w:val="551C71AF"/>
    <w:rsid w:val="551C775D"/>
    <w:rsid w:val="556233C2"/>
    <w:rsid w:val="55A24706"/>
    <w:rsid w:val="560B3A5A"/>
    <w:rsid w:val="5630526E"/>
    <w:rsid w:val="563E45F0"/>
    <w:rsid w:val="567426CC"/>
    <w:rsid w:val="5686322F"/>
    <w:rsid w:val="569F2805"/>
    <w:rsid w:val="56A21AE3"/>
    <w:rsid w:val="56B539C6"/>
    <w:rsid w:val="56C74ADC"/>
    <w:rsid w:val="56E46059"/>
    <w:rsid w:val="56F8247F"/>
    <w:rsid w:val="571D4121"/>
    <w:rsid w:val="57462286"/>
    <w:rsid w:val="578C551B"/>
    <w:rsid w:val="578D11BC"/>
    <w:rsid w:val="57987AD2"/>
    <w:rsid w:val="57A44166"/>
    <w:rsid w:val="57C21310"/>
    <w:rsid w:val="57C2639A"/>
    <w:rsid w:val="57D367F9"/>
    <w:rsid w:val="57D52571"/>
    <w:rsid w:val="57FB50C2"/>
    <w:rsid w:val="58150BC0"/>
    <w:rsid w:val="5819036A"/>
    <w:rsid w:val="585406A3"/>
    <w:rsid w:val="585A4825"/>
    <w:rsid w:val="58BA52C3"/>
    <w:rsid w:val="58DF2F64"/>
    <w:rsid w:val="58FC1D80"/>
    <w:rsid w:val="59210F5A"/>
    <w:rsid w:val="5923796F"/>
    <w:rsid w:val="593B5229"/>
    <w:rsid w:val="5965003B"/>
    <w:rsid w:val="597C2C67"/>
    <w:rsid w:val="599E0271"/>
    <w:rsid w:val="59CC52AE"/>
    <w:rsid w:val="59DA7E35"/>
    <w:rsid w:val="5A2F7164"/>
    <w:rsid w:val="5A44368C"/>
    <w:rsid w:val="5A5B398F"/>
    <w:rsid w:val="5A5D05FC"/>
    <w:rsid w:val="5A7629B6"/>
    <w:rsid w:val="5A8738CB"/>
    <w:rsid w:val="5A99132F"/>
    <w:rsid w:val="5B014F67"/>
    <w:rsid w:val="5B1701AD"/>
    <w:rsid w:val="5B461090"/>
    <w:rsid w:val="5B750F29"/>
    <w:rsid w:val="5B8A5421"/>
    <w:rsid w:val="5B8F4C01"/>
    <w:rsid w:val="5B952511"/>
    <w:rsid w:val="5B9B25D0"/>
    <w:rsid w:val="5BAB16D9"/>
    <w:rsid w:val="5BC052E6"/>
    <w:rsid w:val="5BE43790"/>
    <w:rsid w:val="5BFC1B60"/>
    <w:rsid w:val="5C043425"/>
    <w:rsid w:val="5C421716"/>
    <w:rsid w:val="5C5872CD"/>
    <w:rsid w:val="5C6A7000"/>
    <w:rsid w:val="5C9B4543"/>
    <w:rsid w:val="5CA44937"/>
    <w:rsid w:val="5CB15CED"/>
    <w:rsid w:val="5CB25ADA"/>
    <w:rsid w:val="5CB80188"/>
    <w:rsid w:val="5CEB41C5"/>
    <w:rsid w:val="5CED5FBE"/>
    <w:rsid w:val="5D1256CE"/>
    <w:rsid w:val="5D817986"/>
    <w:rsid w:val="5D9E3405"/>
    <w:rsid w:val="5DB31A44"/>
    <w:rsid w:val="5DD043D8"/>
    <w:rsid w:val="5DD54515"/>
    <w:rsid w:val="5E2B5F70"/>
    <w:rsid w:val="5E575507"/>
    <w:rsid w:val="5E5B55FE"/>
    <w:rsid w:val="5E5F2D88"/>
    <w:rsid w:val="5E744A59"/>
    <w:rsid w:val="5E7E6895"/>
    <w:rsid w:val="5E895E64"/>
    <w:rsid w:val="5EB020A9"/>
    <w:rsid w:val="5ED6224C"/>
    <w:rsid w:val="5F342B25"/>
    <w:rsid w:val="5F546472"/>
    <w:rsid w:val="605B471B"/>
    <w:rsid w:val="607B7CC3"/>
    <w:rsid w:val="60802A2C"/>
    <w:rsid w:val="60B62814"/>
    <w:rsid w:val="60E750C3"/>
    <w:rsid w:val="61044515"/>
    <w:rsid w:val="610F6E20"/>
    <w:rsid w:val="61351C9A"/>
    <w:rsid w:val="613852B9"/>
    <w:rsid w:val="613B0F6B"/>
    <w:rsid w:val="614A1088"/>
    <w:rsid w:val="616A0F4C"/>
    <w:rsid w:val="61F0017E"/>
    <w:rsid w:val="620979BC"/>
    <w:rsid w:val="62143C96"/>
    <w:rsid w:val="6219077D"/>
    <w:rsid w:val="624C11E5"/>
    <w:rsid w:val="624C75D8"/>
    <w:rsid w:val="62960B4F"/>
    <w:rsid w:val="62D53BEB"/>
    <w:rsid w:val="62F1602A"/>
    <w:rsid w:val="63135D39"/>
    <w:rsid w:val="63154049"/>
    <w:rsid w:val="63381C06"/>
    <w:rsid w:val="634E142A"/>
    <w:rsid w:val="6373359C"/>
    <w:rsid w:val="63802568"/>
    <w:rsid w:val="63A6595A"/>
    <w:rsid w:val="63C827FE"/>
    <w:rsid w:val="63C8749A"/>
    <w:rsid w:val="64085A7D"/>
    <w:rsid w:val="641F2AA0"/>
    <w:rsid w:val="642D3B9D"/>
    <w:rsid w:val="648157B7"/>
    <w:rsid w:val="64914B66"/>
    <w:rsid w:val="64F04B85"/>
    <w:rsid w:val="653730C9"/>
    <w:rsid w:val="655F7CFB"/>
    <w:rsid w:val="65711E5C"/>
    <w:rsid w:val="658052B3"/>
    <w:rsid w:val="65887E1E"/>
    <w:rsid w:val="65B36E22"/>
    <w:rsid w:val="65C55C6C"/>
    <w:rsid w:val="65E0168E"/>
    <w:rsid w:val="661D0D89"/>
    <w:rsid w:val="66280D11"/>
    <w:rsid w:val="6666392A"/>
    <w:rsid w:val="673D2B67"/>
    <w:rsid w:val="674A1F08"/>
    <w:rsid w:val="674D0E50"/>
    <w:rsid w:val="674F1629"/>
    <w:rsid w:val="675664BE"/>
    <w:rsid w:val="67851C28"/>
    <w:rsid w:val="67AB497E"/>
    <w:rsid w:val="67B9303E"/>
    <w:rsid w:val="67BD26DA"/>
    <w:rsid w:val="683E7CBF"/>
    <w:rsid w:val="686543A5"/>
    <w:rsid w:val="68781291"/>
    <w:rsid w:val="689773CF"/>
    <w:rsid w:val="68A8338A"/>
    <w:rsid w:val="68C24D66"/>
    <w:rsid w:val="68C65CEE"/>
    <w:rsid w:val="68C857DA"/>
    <w:rsid w:val="6910117D"/>
    <w:rsid w:val="695E1C9B"/>
    <w:rsid w:val="699C3EBF"/>
    <w:rsid w:val="69A10374"/>
    <w:rsid w:val="69AB4EDB"/>
    <w:rsid w:val="69BB2943"/>
    <w:rsid w:val="69BD0D36"/>
    <w:rsid w:val="69FD3262"/>
    <w:rsid w:val="6A3A69E3"/>
    <w:rsid w:val="6A576E16"/>
    <w:rsid w:val="6A6D73D5"/>
    <w:rsid w:val="6A956BD7"/>
    <w:rsid w:val="6AD466B8"/>
    <w:rsid w:val="6AD53D12"/>
    <w:rsid w:val="6ADF407F"/>
    <w:rsid w:val="6AF63587"/>
    <w:rsid w:val="6B00750E"/>
    <w:rsid w:val="6B656205"/>
    <w:rsid w:val="6BC26511"/>
    <w:rsid w:val="6BD91AAD"/>
    <w:rsid w:val="6C695308"/>
    <w:rsid w:val="6C6E253E"/>
    <w:rsid w:val="6C77379F"/>
    <w:rsid w:val="6C9758A8"/>
    <w:rsid w:val="6CA825EF"/>
    <w:rsid w:val="6CF44D67"/>
    <w:rsid w:val="6D903901"/>
    <w:rsid w:val="6D9276AF"/>
    <w:rsid w:val="6DB52237"/>
    <w:rsid w:val="6DB602F7"/>
    <w:rsid w:val="6DBF0B71"/>
    <w:rsid w:val="6E423939"/>
    <w:rsid w:val="6E7004A6"/>
    <w:rsid w:val="6E8714EA"/>
    <w:rsid w:val="6E8A5020"/>
    <w:rsid w:val="6EE3336E"/>
    <w:rsid w:val="6EF47329"/>
    <w:rsid w:val="6EF72976"/>
    <w:rsid w:val="6F3724E1"/>
    <w:rsid w:val="6F6A75EB"/>
    <w:rsid w:val="6F6C4CD7"/>
    <w:rsid w:val="6F8F0AD7"/>
    <w:rsid w:val="6FC36CFC"/>
    <w:rsid w:val="6FF210A8"/>
    <w:rsid w:val="6FF3138F"/>
    <w:rsid w:val="706C1141"/>
    <w:rsid w:val="70963357"/>
    <w:rsid w:val="70A12A23"/>
    <w:rsid w:val="70B44E6C"/>
    <w:rsid w:val="70C77C29"/>
    <w:rsid w:val="70D00730"/>
    <w:rsid w:val="71012A5A"/>
    <w:rsid w:val="711250B1"/>
    <w:rsid w:val="714B0D57"/>
    <w:rsid w:val="71794FAD"/>
    <w:rsid w:val="7182426A"/>
    <w:rsid w:val="719646C8"/>
    <w:rsid w:val="72203F91"/>
    <w:rsid w:val="722257AC"/>
    <w:rsid w:val="722A11E8"/>
    <w:rsid w:val="723F1143"/>
    <w:rsid w:val="727472CC"/>
    <w:rsid w:val="7282075E"/>
    <w:rsid w:val="72E53101"/>
    <w:rsid w:val="737336DC"/>
    <w:rsid w:val="739D7F39"/>
    <w:rsid w:val="739F506C"/>
    <w:rsid w:val="73AA26AC"/>
    <w:rsid w:val="73D03795"/>
    <w:rsid w:val="73D66708"/>
    <w:rsid w:val="73E42355"/>
    <w:rsid w:val="73EC0D4F"/>
    <w:rsid w:val="73FB2F08"/>
    <w:rsid w:val="743D7A2E"/>
    <w:rsid w:val="74A964C0"/>
    <w:rsid w:val="75303175"/>
    <w:rsid w:val="75C84C8B"/>
    <w:rsid w:val="75CB74A3"/>
    <w:rsid w:val="75DC35CB"/>
    <w:rsid w:val="76106183"/>
    <w:rsid w:val="763B3A90"/>
    <w:rsid w:val="764423C2"/>
    <w:rsid w:val="764F753B"/>
    <w:rsid w:val="76C0123F"/>
    <w:rsid w:val="76E40D9D"/>
    <w:rsid w:val="770E47E5"/>
    <w:rsid w:val="7731279D"/>
    <w:rsid w:val="776C7C79"/>
    <w:rsid w:val="777A05E8"/>
    <w:rsid w:val="77C41863"/>
    <w:rsid w:val="77F37D3B"/>
    <w:rsid w:val="78024FA7"/>
    <w:rsid w:val="780B7492"/>
    <w:rsid w:val="78155EAE"/>
    <w:rsid w:val="7824693A"/>
    <w:rsid w:val="784E1380"/>
    <w:rsid w:val="78813E13"/>
    <w:rsid w:val="788252A6"/>
    <w:rsid w:val="78B13B95"/>
    <w:rsid w:val="78D13143"/>
    <w:rsid w:val="78D930EC"/>
    <w:rsid w:val="78DA2251"/>
    <w:rsid w:val="79160D8A"/>
    <w:rsid w:val="791E2F1A"/>
    <w:rsid w:val="79674B9C"/>
    <w:rsid w:val="79D20FEE"/>
    <w:rsid w:val="79F2613C"/>
    <w:rsid w:val="7A4B626B"/>
    <w:rsid w:val="7A5412E6"/>
    <w:rsid w:val="7A616335"/>
    <w:rsid w:val="7ACD0A2E"/>
    <w:rsid w:val="7AEF309B"/>
    <w:rsid w:val="7B0F725E"/>
    <w:rsid w:val="7B162434"/>
    <w:rsid w:val="7B4E6013"/>
    <w:rsid w:val="7B75534E"/>
    <w:rsid w:val="7BBB4313"/>
    <w:rsid w:val="7C1B1BE5"/>
    <w:rsid w:val="7C454F76"/>
    <w:rsid w:val="7C7970C0"/>
    <w:rsid w:val="7C857A2E"/>
    <w:rsid w:val="7CA939E2"/>
    <w:rsid w:val="7CBD562D"/>
    <w:rsid w:val="7D051F63"/>
    <w:rsid w:val="7D07647A"/>
    <w:rsid w:val="7D54602D"/>
    <w:rsid w:val="7D667848"/>
    <w:rsid w:val="7DBF4391"/>
    <w:rsid w:val="7DC35C61"/>
    <w:rsid w:val="7DD62D37"/>
    <w:rsid w:val="7DEB181E"/>
    <w:rsid w:val="7E07426F"/>
    <w:rsid w:val="7E1A137C"/>
    <w:rsid w:val="7E461A0C"/>
    <w:rsid w:val="7E5913CF"/>
    <w:rsid w:val="7E8C3BC4"/>
    <w:rsid w:val="7F005876"/>
    <w:rsid w:val="7F231565"/>
    <w:rsid w:val="7F3E179A"/>
    <w:rsid w:val="7F9304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eastAsia="宋体" w:asciiTheme="minorHAnsi" w:hAnsiTheme="minorHAnsi" w:cstheme="minorBidi"/>
      <w:sz w:val="22"/>
      <w:szCs w:val="22"/>
      <w:lang w:val="en-US" w:eastAsia="en-US" w:bidi="ar-SA"/>
    </w:rPr>
  </w:style>
  <w:style w:type="paragraph" w:styleId="2">
    <w:name w:val="heading 1"/>
    <w:basedOn w:val="1"/>
    <w:next w:val="1"/>
    <w:qFormat/>
    <w:uiPriority w:val="0"/>
    <w:pPr>
      <w:spacing w:beforeAutospacing="1" w:after="0" w:afterAutospacing="1"/>
      <w:outlineLvl w:val="0"/>
    </w:pPr>
    <w:rPr>
      <w:rFonts w:hint="eastAsia" w:ascii="宋体" w:hAnsi="宋体" w:cs="Times New Roman"/>
      <w:b/>
      <w:bCs/>
      <w:kern w:val="44"/>
      <w:sz w:val="48"/>
      <w:szCs w:val="48"/>
      <w:lang w:eastAsia="zh-CN"/>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7"/>
    <w:qFormat/>
    <w:uiPriority w:val="0"/>
  </w:style>
  <w:style w:type="paragraph" w:styleId="4">
    <w:name w:val="footer"/>
    <w:basedOn w:val="1"/>
    <w:qFormat/>
    <w:uiPriority w:val="0"/>
    <w:pPr>
      <w:tabs>
        <w:tab w:val="center" w:pos="4153"/>
        <w:tab w:val="right" w:pos="8306"/>
      </w:tabs>
      <w:snapToGrid w:val="0"/>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pPr>
    <w:rPr>
      <w:sz w:val="18"/>
    </w:rPr>
  </w:style>
  <w:style w:type="paragraph" w:styleId="6">
    <w:name w:val="annotation subject"/>
    <w:basedOn w:val="3"/>
    <w:next w:val="3"/>
    <w:link w:val="18"/>
    <w:qFormat/>
    <w:uiPriority w:val="0"/>
    <w:rPr>
      <w:b/>
      <w:bCs/>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Hyperlink"/>
    <w:basedOn w:val="9"/>
    <w:qFormat/>
    <w:uiPriority w:val="0"/>
    <w:rPr>
      <w:color w:val="0000FF"/>
      <w:u w:val="single"/>
    </w:rPr>
  </w:style>
  <w:style w:type="character" w:styleId="12">
    <w:name w:val="annotation reference"/>
    <w:basedOn w:val="9"/>
    <w:qFormat/>
    <w:uiPriority w:val="0"/>
    <w:rPr>
      <w:sz w:val="21"/>
      <w:szCs w:val="21"/>
    </w:rPr>
  </w:style>
  <w:style w:type="character" w:customStyle="1" w:styleId="13">
    <w:name w:val="font21"/>
    <w:basedOn w:val="9"/>
    <w:qFormat/>
    <w:uiPriority w:val="0"/>
    <w:rPr>
      <w:rFonts w:hint="default" w:ascii="Times New Roman" w:hAnsi="Times New Roman" w:cs="Times New Roman"/>
      <w:color w:val="000000"/>
      <w:sz w:val="21"/>
      <w:szCs w:val="21"/>
      <w:u w:val="none"/>
      <w:vertAlign w:val="subscript"/>
    </w:rPr>
  </w:style>
  <w:style w:type="paragraph" w:styleId="14">
    <w:name w:val="List Paragraph"/>
    <w:basedOn w:val="1"/>
    <w:qFormat/>
    <w:uiPriority w:val="99"/>
    <w:pPr>
      <w:ind w:firstLine="420" w:firstLineChars="200"/>
    </w:pPr>
  </w:style>
  <w:style w:type="paragraph" w:customStyle="1" w:styleId="15">
    <w:name w:val="Heading3"/>
    <w:basedOn w:val="1"/>
    <w:qFormat/>
    <w:uiPriority w:val="0"/>
    <w:rPr>
      <w:rFonts w:ascii="Times New Roman" w:hAnsi="Times New Roman" w:cs="Times New Roman"/>
      <w:sz w:val="28"/>
      <w:szCs w:val="28"/>
    </w:rPr>
  </w:style>
  <w:style w:type="paragraph" w:customStyle="1" w:styleId="16">
    <w:name w:val="修订1"/>
    <w:hidden/>
    <w:unhideWhenUsed/>
    <w:qFormat/>
    <w:uiPriority w:val="99"/>
    <w:rPr>
      <w:rFonts w:eastAsia="宋体" w:asciiTheme="minorHAnsi" w:hAnsiTheme="minorHAnsi" w:cstheme="minorBidi"/>
      <w:sz w:val="22"/>
      <w:szCs w:val="22"/>
      <w:lang w:val="en-US" w:eastAsia="en-US" w:bidi="ar-SA"/>
    </w:rPr>
  </w:style>
  <w:style w:type="character" w:customStyle="1" w:styleId="17">
    <w:name w:val="批注文字 字符"/>
    <w:basedOn w:val="9"/>
    <w:link w:val="3"/>
    <w:qFormat/>
    <w:uiPriority w:val="0"/>
    <w:rPr>
      <w:rFonts w:asciiTheme="minorHAnsi" w:hAnsiTheme="minorHAnsi" w:cstheme="minorBidi"/>
      <w:sz w:val="22"/>
      <w:szCs w:val="22"/>
      <w:lang w:eastAsia="en-US"/>
    </w:rPr>
  </w:style>
  <w:style w:type="character" w:customStyle="1" w:styleId="18">
    <w:name w:val="批注主题 字符"/>
    <w:basedOn w:val="17"/>
    <w:link w:val="6"/>
    <w:qFormat/>
    <w:uiPriority w:val="0"/>
    <w:rPr>
      <w:rFonts w:asciiTheme="minorHAnsi" w:hAnsiTheme="minorHAnsi" w:cstheme="minorBidi"/>
      <w:b/>
      <w:bCs/>
      <w:sz w:val="22"/>
      <w:szCs w:val="22"/>
      <w:lang w:eastAsia="en-US"/>
    </w:rPr>
  </w:style>
  <w:style w:type="paragraph" w:customStyle="1" w:styleId="19">
    <w:name w:val="Revision"/>
    <w:hidden/>
    <w:unhideWhenUsed/>
    <w:qFormat/>
    <w:uiPriority w:val="99"/>
    <w:rPr>
      <w:rFonts w:eastAsia="宋体" w:asciiTheme="minorHAnsi" w:hAnsiTheme="minorHAnsi" w:cstheme="minorBidi"/>
      <w:sz w:val="22"/>
      <w:szCs w:val="2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5" Type="http://schemas.openxmlformats.org/officeDocument/2006/relationships/fontTable" Target="fontTable.xml"/><Relationship Id="rId54" Type="http://schemas.openxmlformats.org/officeDocument/2006/relationships/numbering" Target="numbering.xml"/><Relationship Id="rId53" Type="http://schemas.openxmlformats.org/officeDocument/2006/relationships/image" Target="media/image48.jpeg"/><Relationship Id="rId52" Type="http://schemas.openxmlformats.org/officeDocument/2006/relationships/image" Target="media/image47.jpeg"/><Relationship Id="rId51" Type="http://schemas.openxmlformats.org/officeDocument/2006/relationships/image" Target="media/image46.jpeg"/><Relationship Id="rId50" Type="http://schemas.openxmlformats.org/officeDocument/2006/relationships/image" Target="media/image45.jpeg"/><Relationship Id="rId5" Type="http://schemas.openxmlformats.org/officeDocument/2006/relationships/theme" Target="theme/theme1.xml"/><Relationship Id="rId49" Type="http://schemas.openxmlformats.org/officeDocument/2006/relationships/image" Target="media/image44.jpeg"/><Relationship Id="rId48" Type="http://schemas.openxmlformats.org/officeDocument/2006/relationships/image" Target="media/image43.jpeg"/><Relationship Id="rId47" Type="http://schemas.openxmlformats.org/officeDocument/2006/relationships/image" Target="media/image42.png"/><Relationship Id="rId46" Type="http://schemas.openxmlformats.org/officeDocument/2006/relationships/image" Target="media/image41.png"/><Relationship Id="rId45" Type="http://schemas.openxmlformats.org/officeDocument/2006/relationships/image" Target="media/image40.png"/><Relationship Id="rId44" Type="http://schemas.openxmlformats.org/officeDocument/2006/relationships/image" Target="media/image39.png"/><Relationship Id="rId43" Type="http://schemas.openxmlformats.org/officeDocument/2006/relationships/image" Target="media/image38.png"/><Relationship Id="rId42" Type="http://schemas.openxmlformats.org/officeDocument/2006/relationships/image" Target="media/image37.png"/><Relationship Id="rId41" Type="http://schemas.openxmlformats.org/officeDocument/2006/relationships/image" Target="media/image36.png"/><Relationship Id="rId40" Type="http://schemas.openxmlformats.org/officeDocument/2006/relationships/image" Target="media/image35.png"/><Relationship Id="rId4" Type="http://schemas.openxmlformats.org/officeDocument/2006/relationships/endnotes" Target="endnotes.xml"/><Relationship Id="rId39" Type="http://schemas.openxmlformats.org/officeDocument/2006/relationships/image" Target="media/image34.png"/><Relationship Id="rId38" Type="http://schemas.openxmlformats.org/officeDocument/2006/relationships/image" Target="media/image33.png"/><Relationship Id="rId37" Type="http://schemas.openxmlformats.org/officeDocument/2006/relationships/image" Target="media/image32.png"/><Relationship Id="rId36" Type="http://schemas.openxmlformats.org/officeDocument/2006/relationships/image" Target="media/image31.png"/><Relationship Id="rId35" Type="http://schemas.openxmlformats.org/officeDocument/2006/relationships/image" Target="media/image30.png"/><Relationship Id="rId34" Type="http://schemas.openxmlformats.org/officeDocument/2006/relationships/image" Target="media/image29.png"/><Relationship Id="rId33" Type="http://schemas.openxmlformats.org/officeDocument/2006/relationships/image" Target="media/image28.png"/><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footnotes" Target="footnotes.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26</Pages>
  <Words>1795</Words>
  <Characters>9665</Characters>
  <Lines>80</Lines>
  <Paragraphs>22</Paragraphs>
  <TotalTime>4</TotalTime>
  <ScaleCrop>false</ScaleCrop>
  <LinksUpToDate>false</LinksUpToDate>
  <CharactersWithSpaces>10980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2023-10-26T01:17:00Z</dcterms:created>
  <dc:creator>w y x</dc:creator>
  <cp:lastModifiedBy>SVCu</cp:lastModifiedBy>
  <dcterms:modified xsi:type="dcterms:W3CDTF">2024-03-30T09:45:17Z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AE72ACEE27A44311AB33ECF480F0EF6C</vt:lpwstr>
  </property>
</Properties>
</file>