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1F68EC" w14:textId="77777777" w:rsidR="00453843" w:rsidRDefault="00000000" w:rsidP="00453843">
      <w:pPr>
        <w:pStyle w:val="SOMHead"/>
        <w:spacing w:before="0" w:line="360" w:lineRule="auto"/>
        <w:contextualSpacing/>
        <w:jc w:val="center"/>
        <w:rPr>
          <w:b w:val="0"/>
          <w:sz w:val="28"/>
          <w:szCs w:val="28"/>
        </w:rPr>
      </w:pPr>
      <w:r w:rsidRPr="004116D7">
        <w:rPr>
          <w:b w:val="0"/>
          <w:sz w:val="28"/>
          <w:szCs w:val="28"/>
        </w:rPr>
        <w:t>Supplementary Information for</w:t>
      </w:r>
    </w:p>
    <w:p w14:paraId="73090FFB" w14:textId="77777777" w:rsidR="00453843" w:rsidRDefault="00453843" w:rsidP="00453843">
      <w:pPr>
        <w:pStyle w:val="SOMHead"/>
        <w:spacing w:before="0" w:line="360" w:lineRule="auto"/>
        <w:contextualSpacing/>
        <w:jc w:val="center"/>
        <w:rPr>
          <w:b w:val="0"/>
          <w:sz w:val="28"/>
          <w:szCs w:val="28"/>
        </w:rPr>
      </w:pPr>
    </w:p>
    <w:p w14:paraId="43F5E28E" w14:textId="77777777" w:rsidR="00E56189" w:rsidRDefault="00000000" w:rsidP="00E56189">
      <w:pPr>
        <w:spacing w:after="0" w:line="360" w:lineRule="auto"/>
        <w:jc w:val="center"/>
        <w:rPr>
          <w:b/>
          <w:sz w:val="28"/>
          <w:szCs w:val="28"/>
        </w:rPr>
      </w:pPr>
      <w:r>
        <w:rPr>
          <w:b/>
          <w:sz w:val="28"/>
          <w:szCs w:val="28"/>
        </w:rPr>
        <w:t xml:space="preserve">Deciphering Earth’s deep mantle </w:t>
      </w:r>
      <w:bookmarkStart w:id="0" w:name="_Hlk155688582"/>
      <w:r>
        <w:rPr>
          <w:b/>
          <w:sz w:val="28"/>
          <w:szCs w:val="28"/>
        </w:rPr>
        <w:t>hemispheric geochemical dichotomy</w:t>
      </w:r>
      <w:bookmarkEnd w:id="0"/>
      <w:r>
        <w:rPr>
          <w:b/>
          <w:sz w:val="28"/>
          <w:szCs w:val="28"/>
        </w:rPr>
        <w:t xml:space="preserve"> with machine learning</w:t>
      </w:r>
    </w:p>
    <w:p w14:paraId="3084142A" w14:textId="77777777" w:rsidR="00A41C80" w:rsidRPr="00E56189" w:rsidRDefault="00A41C80" w:rsidP="005D5A77">
      <w:pPr>
        <w:adjustRightInd w:val="0"/>
        <w:spacing w:line="360" w:lineRule="auto"/>
        <w:contextualSpacing/>
        <w:jc w:val="center"/>
        <w:rPr>
          <w:b/>
          <w:sz w:val="28"/>
          <w:szCs w:val="28"/>
        </w:rPr>
      </w:pPr>
    </w:p>
    <w:p w14:paraId="56066187" w14:textId="1EE355B8" w:rsidR="004C7738" w:rsidRPr="00107A4C" w:rsidRDefault="00107A4C" w:rsidP="00107A4C">
      <w:pPr>
        <w:spacing w:line="360" w:lineRule="auto"/>
        <w:jc w:val="center"/>
      </w:pPr>
      <w:r>
        <w:rPr>
          <w:b/>
        </w:rPr>
        <w:t>Shang Ma</w:t>
      </w:r>
      <w:r>
        <w:rPr>
          <w:b/>
          <w:vertAlign w:val="superscript"/>
        </w:rPr>
        <w:t>1</w:t>
      </w:r>
      <w:r>
        <w:rPr>
          <w:b/>
        </w:rPr>
        <w:t>, Zefeng Li</w:t>
      </w:r>
      <w:r>
        <w:rPr>
          <w:b/>
          <w:vertAlign w:val="superscript"/>
        </w:rPr>
        <w:t>1,2*</w:t>
      </w:r>
      <w:r>
        <w:rPr>
          <w:b/>
        </w:rPr>
        <w:t>, Ling Chen</w:t>
      </w:r>
      <w:r>
        <w:rPr>
          <w:b/>
          <w:vertAlign w:val="superscript"/>
        </w:rPr>
        <w:t>3*</w:t>
      </w:r>
      <w:r>
        <w:rPr>
          <w:b/>
        </w:rPr>
        <w:t>, Ji Shen</w:t>
      </w:r>
      <w:r>
        <w:rPr>
          <w:b/>
          <w:vertAlign w:val="superscript"/>
        </w:rPr>
        <w:t>1</w:t>
      </w:r>
      <w:r>
        <w:rPr>
          <w:b/>
        </w:rPr>
        <w:t>, Yunguo Li</w:t>
      </w:r>
      <w:r>
        <w:rPr>
          <w:b/>
          <w:vertAlign w:val="superscript"/>
        </w:rPr>
        <w:t>1</w:t>
      </w:r>
      <w:r>
        <w:rPr>
          <w:b/>
        </w:rPr>
        <w:t>, Wenzhong Wang</w:t>
      </w:r>
      <w:r>
        <w:rPr>
          <w:b/>
          <w:vertAlign w:val="superscript"/>
        </w:rPr>
        <w:t>1</w:t>
      </w:r>
      <w:r>
        <w:rPr>
          <w:b/>
        </w:rPr>
        <w:t xml:space="preserve"> and Wei Leng</w:t>
      </w:r>
      <w:r>
        <w:rPr>
          <w:b/>
          <w:vertAlign w:val="superscript"/>
        </w:rPr>
        <w:t>1</w:t>
      </w:r>
    </w:p>
    <w:p w14:paraId="4DD862D1" w14:textId="77777777" w:rsidR="00A41C80" w:rsidRPr="00A41C80" w:rsidRDefault="00A41C80" w:rsidP="00C6537B">
      <w:pPr>
        <w:adjustRightInd w:val="0"/>
        <w:spacing w:line="360" w:lineRule="auto"/>
        <w:jc w:val="center"/>
        <w:rPr>
          <w:bCs/>
        </w:rPr>
      </w:pPr>
    </w:p>
    <w:p w14:paraId="0153BF8D" w14:textId="77777777" w:rsidR="008324FC" w:rsidRPr="0096284F" w:rsidRDefault="00000000" w:rsidP="008324FC">
      <w:pPr>
        <w:pStyle w:val="a7"/>
        <w:numPr>
          <w:ilvl w:val="0"/>
          <w:numId w:val="1"/>
        </w:numPr>
        <w:spacing w:after="0" w:line="360" w:lineRule="auto"/>
        <w:jc w:val="center"/>
        <w:rPr>
          <w:rFonts w:cs="Times New Roman"/>
          <w:i/>
          <w:w w:val="110"/>
        </w:rPr>
      </w:pPr>
      <w:r w:rsidRPr="0096284F">
        <w:rPr>
          <w:rFonts w:cs="Times New Roman"/>
          <w:i/>
          <w:iCs/>
        </w:rPr>
        <w:t xml:space="preserve">School of Earth and Space Sciences, University of Science and Technology of China, </w:t>
      </w:r>
      <w:r w:rsidRPr="0096284F">
        <w:rPr>
          <w:rFonts w:cs="Times New Roman"/>
          <w:i/>
          <w:w w:val="110"/>
        </w:rPr>
        <w:t>Hefei, China</w:t>
      </w:r>
    </w:p>
    <w:p w14:paraId="04E82C9D" w14:textId="77777777" w:rsidR="008324FC" w:rsidRPr="00C87D0D" w:rsidRDefault="00000000" w:rsidP="008324FC">
      <w:pPr>
        <w:pStyle w:val="a7"/>
        <w:numPr>
          <w:ilvl w:val="0"/>
          <w:numId w:val="1"/>
        </w:numPr>
        <w:spacing w:after="0" w:line="360" w:lineRule="auto"/>
        <w:jc w:val="center"/>
        <w:rPr>
          <w:rFonts w:cs="Times New Roman"/>
          <w:i/>
          <w:w w:val="110"/>
        </w:rPr>
      </w:pPr>
      <w:r w:rsidRPr="0096284F">
        <w:rPr>
          <w:rFonts w:cs="Times New Roman"/>
          <w:i/>
        </w:rPr>
        <w:t>Mengcheng National Geophysical Observatory, University of Science and Technology of China, Mengcheng, China</w:t>
      </w:r>
    </w:p>
    <w:p w14:paraId="5A0432D7" w14:textId="77777777" w:rsidR="00C87D0D" w:rsidRDefault="00000000" w:rsidP="00C40F07">
      <w:pPr>
        <w:pStyle w:val="a7"/>
        <w:numPr>
          <w:ilvl w:val="0"/>
          <w:numId w:val="1"/>
        </w:numPr>
        <w:spacing w:after="0" w:line="360" w:lineRule="auto"/>
        <w:jc w:val="center"/>
        <w:rPr>
          <w:rFonts w:cs="Times New Roman"/>
          <w:i/>
          <w:w w:val="110"/>
        </w:rPr>
      </w:pPr>
      <w:r w:rsidRPr="0096284F">
        <w:rPr>
          <w:rFonts w:cs="Times New Roman"/>
          <w:i/>
          <w:w w:val="110"/>
        </w:rPr>
        <w:t>State Key Laboratory of Lithospheric Evolution, Institute of Geology and Geophysics, Chinese Academy of Sciences, Beijing, China</w:t>
      </w:r>
    </w:p>
    <w:p w14:paraId="6E1F4318" w14:textId="77777777" w:rsidR="00A30E97" w:rsidRPr="00C40F07" w:rsidRDefault="00A30E97" w:rsidP="009F7F84">
      <w:pPr>
        <w:pStyle w:val="a7"/>
        <w:spacing w:after="0" w:line="360" w:lineRule="auto"/>
        <w:ind w:left="600"/>
        <w:rPr>
          <w:rFonts w:cs="Times New Roman"/>
          <w:i/>
          <w:w w:val="110"/>
        </w:rPr>
      </w:pPr>
    </w:p>
    <w:p w14:paraId="405DDA44" w14:textId="77777777" w:rsidR="00246CBC" w:rsidRDefault="00000000" w:rsidP="00BC16E3">
      <w:pPr>
        <w:pStyle w:val="Affiliation"/>
        <w:adjustRightInd w:val="0"/>
        <w:spacing w:before="0" w:line="360" w:lineRule="auto"/>
        <w:contextualSpacing/>
        <w:jc w:val="center"/>
      </w:pPr>
      <w:r w:rsidRPr="0096284F">
        <w:t>*Corresponding authors: Zefeng Li (</w:t>
      </w:r>
      <w:hyperlink r:id="rId7" w:history="1">
        <w:r w:rsidR="00460104" w:rsidRPr="00A311C9">
          <w:rPr>
            <w:rStyle w:val="a8"/>
            <w:color w:val="000000" w:themeColor="text1"/>
          </w:rPr>
          <w:t>zefengli@ustc.edu.cn</w:t>
        </w:r>
      </w:hyperlink>
      <w:r w:rsidR="00460104" w:rsidRPr="000A425E">
        <w:t>),</w:t>
      </w:r>
    </w:p>
    <w:p w14:paraId="6B8B47EE" w14:textId="77777777" w:rsidR="008324FC" w:rsidRDefault="00000000" w:rsidP="00BC16E3">
      <w:pPr>
        <w:pStyle w:val="Affiliation"/>
        <w:adjustRightInd w:val="0"/>
        <w:spacing w:before="0" w:line="360" w:lineRule="auto"/>
        <w:contextualSpacing/>
        <w:jc w:val="center"/>
      </w:pPr>
      <w:r w:rsidRPr="000A425E">
        <w:t>Ling Chen (</w:t>
      </w:r>
      <w:hyperlink r:id="rId8" w:history="1">
        <w:r w:rsidRPr="00A311C9">
          <w:rPr>
            <w:rStyle w:val="a8"/>
            <w:color w:val="000000" w:themeColor="text1"/>
          </w:rPr>
          <w:t>lchen@mail.iggcas.ac.cn</w:t>
        </w:r>
      </w:hyperlink>
      <w:r w:rsidRPr="000A425E">
        <w:t>)</w:t>
      </w:r>
    </w:p>
    <w:p w14:paraId="59535E82" w14:textId="77777777" w:rsidR="00246CBC" w:rsidRPr="0096284F" w:rsidRDefault="00246CBC" w:rsidP="00BC16E3">
      <w:pPr>
        <w:pStyle w:val="Affiliation"/>
        <w:adjustRightInd w:val="0"/>
        <w:spacing w:before="0" w:line="360" w:lineRule="auto"/>
        <w:contextualSpacing/>
        <w:jc w:val="center"/>
      </w:pPr>
    </w:p>
    <w:p w14:paraId="6E5D948A" w14:textId="697CF66F" w:rsidR="008324FC" w:rsidRPr="00E250FA" w:rsidRDefault="00000000" w:rsidP="008324FC">
      <w:pPr>
        <w:adjustRightInd w:val="0"/>
        <w:spacing w:line="360" w:lineRule="auto"/>
        <w:contextualSpacing/>
        <w:jc w:val="center"/>
        <w:rPr>
          <w:rFonts w:eastAsiaTheme="minorEastAsia"/>
          <w:i/>
        </w:rPr>
      </w:pPr>
      <w:r w:rsidRPr="0096284F">
        <w:rPr>
          <w:rFonts w:eastAsia="Times New Roman"/>
          <w:i/>
        </w:rPr>
        <w:t xml:space="preserve">Manuscript submitted to </w:t>
      </w:r>
      <w:r w:rsidR="00E250FA" w:rsidRPr="00E250FA">
        <w:rPr>
          <w:rFonts w:eastAsia="Times New Roman"/>
          <w:i/>
        </w:rPr>
        <w:t xml:space="preserve">Nature </w:t>
      </w:r>
      <w:r w:rsidR="00E819AC" w:rsidRPr="00E819AC">
        <w:rPr>
          <w:rFonts w:eastAsia="Times New Roman"/>
          <w:i/>
        </w:rPr>
        <w:t>Communications</w:t>
      </w:r>
    </w:p>
    <w:p w14:paraId="171860E1" w14:textId="3A4E9884" w:rsidR="009F538E" w:rsidRPr="00E1569E" w:rsidRDefault="00CB026F" w:rsidP="00E1569E">
      <w:pPr>
        <w:pStyle w:val="Affiliation"/>
        <w:adjustRightInd w:val="0"/>
        <w:spacing w:before="0" w:line="360" w:lineRule="auto"/>
        <w:contextualSpacing/>
        <w:jc w:val="center"/>
        <w:rPr>
          <w:i/>
          <w:iCs/>
        </w:rPr>
      </w:pPr>
      <w:r>
        <w:rPr>
          <w:rFonts w:eastAsiaTheme="minorEastAsia" w:hint="eastAsia"/>
          <w:i/>
          <w:lang w:eastAsia="zh-CN"/>
        </w:rPr>
        <w:t>May</w:t>
      </w:r>
      <w:r w:rsidR="0083656C" w:rsidRPr="00897F49">
        <w:rPr>
          <w:i/>
        </w:rPr>
        <w:t xml:space="preserve"> </w:t>
      </w:r>
      <w:r>
        <w:rPr>
          <w:rFonts w:eastAsiaTheme="minorEastAsia" w:hint="eastAsia"/>
          <w:i/>
          <w:lang w:eastAsia="zh-CN"/>
        </w:rPr>
        <w:t>4</w:t>
      </w:r>
      <w:r w:rsidR="0083656C" w:rsidRPr="00897F49">
        <w:rPr>
          <w:i/>
        </w:rPr>
        <w:t>, 2024</w:t>
      </w:r>
    </w:p>
    <w:p w14:paraId="1D495D33" w14:textId="048D5E28" w:rsidR="00CB5780" w:rsidRDefault="00FF0384" w:rsidP="00D505C9">
      <w:pPr>
        <w:spacing w:line="360" w:lineRule="auto"/>
        <w:jc w:val="center"/>
      </w:pPr>
      <w:r w:rsidRPr="00431657">
        <w:rPr>
          <w:noProof/>
        </w:rPr>
        <w:lastRenderedPageBreak/>
        <w:drawing>
          <wp:inline distT="0" distB="0" distL="0" distR="0" wp14:anchorId="3E61CB32" wp14:editId="48BD0C83">
            <wp:extent cx="4234346" cy="6681761"/>
            <wp:effectExtent l="0" t="0" r="0" b="5080"/>
            <wp:docPr id="160849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4904" name=""/>
                    <pic:cNvPicPr/>
                  </pic:nvPicPr>
                  <pic:blipFill>
                    <a:blip r:embed="rId9"/>
                    <a:stretch>
                      <a:fillRect/>
                    </a:stretch>
                  </pic:blipFill>
                  <pic:spPr>
                    <a:xfrm>
                      <a:off x="0" y="0"/>
                      <a:ext cx="4236494" cy="6685151"/>
                    </a:xfrm>
                    <a:prstGeom prst="rect">
                      <a:avLst/>
                    </a:prstGeom>
                  </pic:spPr>
                </pic:pic>
              </a:graphicData>
            </a:graphic>
          </wp:inline>
        </w:drawing>
      </w:r>
    </w:p>
    <w:p w14:paraId="22892F9E" w14:textId="77777777" w:rsidR="002B05BF" w:rsidRPr="00385D47" w:rsidRDefault="00000000" w:rsidP="002B05BF">
      <w:pPr>
        <w:spacing w:line="360" w:lineRule="auto"/>
        <w:jc w:val="both"/>
        <w:rPr>
          <w:noProof/>
        </w:rPr>
      </w:pPr>
      <w:r w:rsidRPr="00CD3FFC">
        <w:rPr>
          <w:rFonts w:hint="eastAsia"/>
          <w:b/>
        </w:rPr>
        <w:t>F</w:t>
      </w:r>
      <w:r>
        <w:rPr>
          <w:b/>
        </w:rPr>
        <w:t xml:space="preserve">igure S1. Isotopic signatures of the DC20 dataset divided by African and Pacific LLSVPs. </w:t>
      </w:r>
      <w:r w:rsidRPr="005919A6">
        <w:rPr>
          <w:bCs/>
        </w:rPr>
        <w:t>A total of 625 samples from the African LLSVP region and 1,184 samples from the Pacific LLSVP region are represented by blue and yellow dots, respectively.</w:t>
      </w:r>
      <w:r>
        <w:rPr>
          <w:b/>
        </w:rPr>
        <w:t xml:space="preserve"> </w:t>
      </w:r>
      <w:r>
        <w:rPr>
          <w:bCs/>
        </w:rPr>
        <w:t xml:space="preserve">(a), (d) </w:t>
      </w:r>
      <w:r>
        <w:rPr>
          <w:bCs/>
          <w:vertAlign w:val="superscript"/>
        </w:rPr>
        <w:t>208</w:t>
      </w:r>
      <w:r w:rsidRPr="002967B3">
        <w:rPr>
          <w:bCs/>
        </w:rPr>
        <w:t>Pb/</w:t>
      </w:r>
      <w:r>
        <w:rPr>
          <w:bCs/>
          <w:vertAlign w:val="superscript"/>
        </w:rPr>
        <w:t>204</w:t>
      </w:r>
      <w:r w:rsidRPr="002967B3">
        <w:rPr>
          <w:bCs/>
        </w:rPr>
        <w:t>Pb</w:t>
      </w:r>
      <w:r>
        <w:rPr>
          <w:bCs/>
          <w:vertAlign w:val="superscript"/>
        </w:rPr>
        <w:t xml:space="preserve"> </w:t>
      </w:r>
      <w:r>
        <w:rPr>
          <w:bCs/>
        </w:rPr>
        <w:t>versus</w:t>
      </w:r>
      <w:r>
        <w:rPr>
          <w:bCs/>
          <w:vertAlign w:val="superscript"/>
        </w:rPr>
        <w:t xml:space="preserve"> 206</w:t>
      </w:r>
      <w:r w:rsidRPr="002967B3">
        <w:rPr>
          <w:bCs/>
        </w:rPr>
        <w:t>Pb/</w:t>
      </w:r>
      <w:r>
        <w:rPr>
          <w:bCs/>
          <w:vertAlign w:val="superscript"/>
        </w:rPr>
        <w:t>204</w:t>
      </w:r>
      <w:r>
        <w:rPr>
          <w:bCs/>
        </w:rPr>
        <w:t xml:space="preserve">Pb. (b), (d) </w:t>
      </w:r>
      <w:r>
        <w:rPr>
          <w:bCs/>
          <w:vertAlign w:val="superscript"/>
        </w:rPr>
        <w:t>207</w:t>
      </w:r>
      <w:r w:rsidRPr="002967B3">
        <w:rPr>
          <w:bCs/>
        </w:rPr>
        <w:t>Pb/</w:t>
      </w:r>
      <w:r>
        <w:rPr>
          <w:bCs/>
          <w:vertAlign w:val="superscript"/>
        </w:rPr>
        <w:t>204</w:t>
      </w:r>
      <w:r w:rsidRPr="002967B3">
        <w:rPr>
          <w:bCs/>
        </w:rPr>
        <w:t>Pb</w:t>
      </w:r>
      <w:r>
        <w:rPr>
          <w:bCs/>
          <w:vertAlign w:val="superscript"/>
        </w:rPr>
        <w:t xml:space="preserve"> </w:t>
      </w:r>
      <w:r>
        <w:rPr>
          <w:bCs/>
        </w:rPr>
        <w:t>versus</w:t>
      </w:r>
      <w:r>
        <w:rPr>
          <w:bCs/>
          <w:vertAlign w:val="superscript"/>
        </w:rPr>
        <w:t xml:space="preserve"> 206</w:t>
      </w:r>
      <w:r w:rsidRPr="002967B3">
        <w:rPr>
          <w:bCs/>
        </w:rPr>
        <w:t>Pb/</w:t>
      </w:r>
      <w:r>
        <w:rPr>
          <w:bCs/>
          <w:vertAlign w:val="superscript"/>
        </w:rPr>
        <w:t>204</w:t>
      </w:r>
      <w:r>
        <w:rPr>
          <w:bCs/>
        </w:rPr>
        <w:t xml:space="preserve">Pb. (c), (f) </w:t>
      </w:r>
      <w:r w:rsidR="00764561">
        <w:rPr>
          <w:bCs/>
          <w:vertAlign w:val="superscript"/>
        </w:rPr>
        <w:t>87</w:t>
      </w:r>
      <w:r w:rsidR="00764561" w:rsidRPr="002967B3">
        <w:rPr>
          <w:bCs/>
        </w:rPr>
        <w:t>Sr/</w:t>
      </w:r>
      <w:r w:rsidR="00764561">
        <w:rPr>
          <w:bCs/>
          <w:vertAlign w:val="superscript"/>
        </w:rPr>
        <w:t>86</w:t>
      </w:r>
      <w:r w:rsidR="00764561">
        <w:rPr>
          <w:bCs/>
        </w:rPr>
        <w:t xml:space="preserve">Sr versus </w:t>
      </w:r>
      <w:r w:rsidR="00764561">
        <w:rPr>
          <w:bCs/>
          <w:vertAlign w:val="superscript"/>
        </w:rPr>
        <w:t>206</w:t>
      </w:r>
      <w:r w:rsidR="00764561" w:rsidRPr="002967B3">
        <w:rPr>
          <w:bCs/>
        </w:rPr>
        <w:t>Pb/</w:t>
      </w:r>
      <w:r w:rsidR="00764561">
        <w:rPr>
          <w:bCs/>
          <w:vertAlign w:val="superscript"/>
        </w:rPr>
        <w:t>204</w:t>
      </w:r>
      <w:r>
        <w:rPr>
          <w:bCs/>
        </w:rPr>
        <w:t>Pb.</w:t>
      </w:r>
      <w:r w:rsidR="00D6498D">
        <w:rPr>
          <w:noProof/>
        </w:rPr>
        <w:t xml:space="preserve"> The black lines show the North Hemispherical Reference Line (NHRL)</w:t>
      </w:r>
      <w:r w:rsidR="009F4D32">
        <w:rPr>
          <w:noProof/>
        </w:rPr>
        <w:fldChar w:fldCharType="begin"/>
      </w:r>
      <w:r w:rsidR="009F4D32">
        <w:rPr>
          <w:noProof/>
        </w:rPr>
        <w:instrText xml:space="preserve"> ADDIN ZOTERO_ITEM CSL_CITATION {"citationID":"eguJG4c3","properties":{"formattedCitation":"\\super 1\\nosupersub{}","plainCitation":"1","noteIndex":0},"citationItems":[{"id":718,"uris":["http://zotero.org/users/8071430/items/7UMHUCNQ"],"itemData":{"id":718,"type":"article-journal","container-title":"Nature","DOI":"10.1038/309753a0","ISSN":"0028-0836, 1476-4687","issue":"5971","journalAbbreviation":"Nature","language":"en","page":"753-757","source":"DOI.org (Crossref)","title":"A large-scale isotope anomaly in the Southern Hemisphere mantle","volume":"309","author":[{"family":"Hart","given":"Stanley R."}],"issued":{"date-parts":[["1984",6]]}}}],"schema":"https://github.com/citation-style-language/schema/raw/master/csl-citation.json"} </w:instrText>
      </w:r>
      <w:r w:rsidR="009F4D32">
        <w:rPr>
          <w:noProof/>
        </w:rPr>
        <w:fldChar w:fldCharType="separate"/>
      </w:r>
      <w:r w:rsidR="009F4D32" w:rsidRPr="009F4D32">
        <w:rPr>
          <w:vertAlign w:val="superscript"/>
        </w:rPr>
        <w:t>1</w:t>
      </w:r>
      <w:r w:rsidR="009F4D32">
        <w:rPr>
          <w:noProof/>
        </w:rPr>
        <w:fldChar w:fldCharType="end"/>
      </w:r>
      <w:r w:rsidR="00365780">
        <w:rPr>
          <w:noProof/>
        </w:rPr>
        <w:t>.</w:t>
      </w:r>
    </w:p>
    <w:p w14:paraId="03F47BD2" w14:textId="487ABA27" w:rsidR="002C57F7" w:rsidRDefault="000223C4" w:rsidP="002C57F7">
      <w:pPr>
        <w:spacing w:line="360" w:lineRule="auto"/>
        <w:jc w:val="center"/>
      </w:pPr>
      <w:r w:rsidRPr="00463B82">
        <w:rPr>
          <w:noProof/>
        </w:rPr>
        <w:lastRenderedPageBreak/>
        <w:drawing>
          <wp:inline distT="0" distB="0" distL="0" distR="0" wp14:anchorId="27443BEB" wp14:editId="7FBB605D">
            <wp:extent cx="4457733" cy="7010451"/>
            <wp:effectExtent l="0" t="0" r="0" b="0"/>
            <wp:docPr id="1627471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471006" name=""/>
                    <pic:cNvPicPr/>
                  </pic:nvPicPr>
                  <pic:blipFill>
                    <a:blip r:embed="rId10"/>
                    <a:stretch>
                      <a:fillRect/>
                    </a:stretch>
                  </pic:blipFill>
                  <pic:spPr>
                    <a:xfrm>
                      <a:off x="0" y="0"/>
                      <a:ext cx="4457733" cy="7010451"/>
                    </a:xfrm>
                    <a:prstGeom prst="rect">
                      <a:avLst/>
                    </a:prstGeom>
                  </pic:spPr>
                </pic:pic>
              </a:graphicData>
            </a:graphic>
          </wp:inline>
        </w:drawing>
      </w:r>
    </w:p>
    <w:p w14:paraId="553EDC56" w14:textId="7CDFE5C3" w:rsidR="002C57F7" w:rsidRPr="002C57F7" w:rsidRDefault="00000000" w:rsidP="002B05BF">
      <w:pPr>
        <w:spacing w:line="360" w:lineRule="auto"/>
        <w:contextualSpacing/>
        <w:jc w:val="both"/>
      </w:pPr>
      <w:r w:rsidRPr="00CD3FFC">
        <w:rPr>
          <w:rFonts w:hint="eastAsia"/>
          <w:b/>
        </w:rPr>
        <w:t>F</w:t>
      </w:r>
      <w:r w:rsidR="00246CBC">
        <w:rPr>
          <w:b/>
        </w:rPr>
        <w:t>igure S2. Isotopic signatures of the expanded dataset divided by African and Pacific LLSVPs.</w:t>
      </w:r>
      <w:r w:rsidR="00194EA9">
        <w:rPr>
          <w:noProof/>
        </w:rPr>
        <w:t xml:space="preserve"> A total of 1,522 samples were obtained from</w:t>
      </w:r>
      <w:r w:rsidR="00362497">
        <w:rPr>
          <w:noProof/>
        </w:rPr>
        <w:t xml:space="preserve"> the</w:t>
      </w:r>
      <w:r w:rsidR="00194EA9">
        <w:rPr>
          <w:noProof/>
        </w:rPr>
        <w:t xml:space="preserve"> African </w:t>
      </w:r>
      <w:r>
        <w:rPr>
          <w:noProof/>
        </w:rPr>
        <w:t>LLSVP</w:t>
      </w:r>
      <w:r w:rsidR="00194EA9">
        <w:rPr>
          <w:noProof/>
        </w:rPr>
        <w:t xml:space="preserve">, and 1,942 samples were obtained from </w:t>
      </w:r>
      <w:r w:rsidR="00362497">
        <w:rPr>
          <w:noProof/>
        </w:rPr>
        <w:t xml:space="preserve">the </w:t>
      </w:r>
      <w:r w:rsidR="00194EA9">
        <w:rPr>
          <w:noProof/>
        </w:rPr>
        <w:t xml:space="preserve">Pacific </w:t>
      </w:r>
      <w:r>
        <w:rPr>
          <w:noProof/>
        </w:rPr>
        <w:t>LLSVP</w:t>
      </w:r>
      <w:r w:rsidR="00194EA9">
        <w:rPr>
          <w:noProof/>
        </w:rPr>
        <w:t>.</w:t>
      </w:r>
    </w:p>
    <w:p w14:paraId="6797C028" w14:textId="5B184C4C" w:rsidR="007B0F32" w:rsidRDefault="00527E3D" w:rsidP="001A64C9">
      <w:pPr>
        <w:spacing w:line="360" w:lineRule="auto"/>
        <w:jc w:val="center"/>
      </w:pPr>
      <w:r w:rsidRPr="00241A43">
        <w:rPr>
          <w:noProof/>
        </w:rPr>
        <w:lastRenderedPageBreak/>
        <w:drawing>
          <wp:inline distT="0" distB="0" distL="0" distR="0" wp14:anchorId="4E33E2D0" wp14:editId="37913249">
            <wp:extent cx="4331906" cy="6765146"/>
            <wp:effectExtent l="0" t="0" r="0" b="0"/>
            <wp:docPr id="10895363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536379" name=""/>
                    <pic:cNvPicPr/>
                  </pic:nvPicPr>
                  <pic:blipFill>
                    <a:blip r:embed="rId11"/>
                    <a:stretch>
                      <a:fillRect/>
                    </a:stretch>
                  </pic:blipFill>
                  <pic:spPr>
                    <a:xfrm>
                      <a:off x="0" y="0"/>
                      <a:ext cx="4344925" cy="6785477"/>
                    </a:xfrm>
                    <a:prstGeom prst="rect">
                      <a:avLst/>
                    </a:prstGeom>
                  </pic:spPr>
                </pic:pic>
              </a:graphicData>
            </a:graphic>
          </wp:inline>
        </w:drawing>
      </w:r>
    </w:p>
    <w:p w14:paraId="43B3B478" w14:textId="155E23DA" w:rsidR="00F834A2" w:rsidRDefault="00000000" w:rsidP="007E14D1">
      <w:pPr>
        <w:spacing w:line="360" w:lineRule="auto"/>
        <w:jc w:val="both"/>
        <w:rPr>
          <w:noProof/>
        </w:rPr>
      </w:pPr>
      <w:r w:rsidRPr="00CD3FFC">
        <w:rPr>
          <w:rFonts w:hint="eastAsia"/>
          <w:b/>
        </w:rPr>
        <w:t>F</w:t>
      </w:r>
      <w:r>
        <w:rPr>
          <w:b/>
        </w:rPr>
        <w:t xml:space="preserve">igure S3. Isotopic signatures of the DC20 dataset divided by the DUPAL and non-DUPAL domains. </w:t>
      </w:r>
      <w:r w:rsidR="002F33C1" w:rsidRPr="005919A6">
        <w:rPr>
          <w:bCs/>
        </w:rPr>
        <w:t>A total of 1,150 samples from the DUPAL domain and 659 samples from the non-DUPAL domain are represented by green and pink dots, respectively.</w:t>
      </w:r>
      <w:r>
        <w:rPr>
          <w:b/>
        </w:rPr>
        <w:t xml:space="preserve"> </w:t>
      </w:r>
      <w:r>
        <w:rPr>
          <w:bCs/>
        </w:rPr>
        <w:t xml:space="preserve">(a), (d) </w:t>
      </w:r>
      <w:r>
        <w:rPr>
          <w:bCs/>
          <w:vertAlign w:val="superscript"/>
        </w:rPr>
        <w:t>208</w:t>
      </w:r>
      <w:r w:rsidRPr="002967B3">
        <w:rPr>
          <w:bCs/>
        </w:rPr>
        <w:t>Pb/</w:t>
      </w:r>
      <w:r>
        <w:rPr>
          <w:bCs/>
          <w:vertAlign w:val="superscript"/>
        </w:rPr>
        <w:t>204</w:t>
      </w:r>
      <w:r w:rsidRPr="002967B3">
        <w:rPr>
          <w:bCs/>
        </w:rPr>
        <w:t>Pb</w:t>
      </w:r>
      <w:r>
        <w:rPr>
          <w:bCs/>
          <w:vertAlign w:val="superscript"/>
        </w:rPr>
        <w:t xml:space="preserve"> </w:t>
      </w:r>
      <w:r>
        <w:rPr>
          <w:bCs/>
        </w:rPr>
        <w:t>versus</w:t>
      </w:r>
      <w:r>
        <w:rPr>
          <w:bCs/>
          <w:vertAlign w:val="superscript"/>
        </w:rPr>
        <w:t xml:space="preserve"> 206</w:t>
      </w:r>
      <w:r w:rsidRPr="002967B3">
        <w:rPr>
          <w:bCs/>
        </w:rPr>
        <w:t>Pb/</w:t>
      </w:r>
      <w:r>
        <w:rPr>
          <w:bCs/>
          <w:vertAlign w:val="superscript"/>
        </w:rPr>
        <w:t>204</w:t>
      </w:r>
      <w:r>
        <w:rPr>
          <w:bCs/>
        </w:rPr>
        <w:t xml:space="preserve">Pb. (b), (e) </w:t>
      </w:r>
      <w:r>
        <w:rPr>
          <w:bCs/>
          <w:vertAlign w:val="superscript"/>
        </w:rPr>
        <w:t>207</w:t>
      </w:r>
      <w:r w:rsidRPr="002967B3">
        <w:rPr>
          <w:bCs/>
        </w:rPr>
        <w:t>Pb/</w:t>
      </w:r>
      <w:r>
        <w:rPr>
          <w:bCs/>
          <w:vertAlign w:val="superscript"/>
        </w:rPr>
        <w:t>204</w:t>
      </w:r>
      <w:r w:rsidRPr="002967B3">
        <w:rPr>
          <w:bCs/>
        </w:rPr>
        <w:t>Pb</w:t>
      </w:r>
      <w:r>
        <w:rPr>
          <w:bCs/>
          <w:vertAlign w:val="superscript"/>
        </w:rPr>
        <w:t xml:space="preserve"> </w:t>
      </w:r>
      <w:r>
        <w:rPr>
          <w:bCs/>
        </w:rPr>
        <w:t>versus</w:t>
      </w:r>
      <w:r>
        <w:rPr>
          <w:bCs/>
          <w:vertAlign w:val="superscript"/>
        </w:rPr>
        <w:t xml:space="preserve"> 206</w:t>
      </w:r>
      <w:r w:rsidRPr="002967B3">
        <w:rPr>
          <w:bCs/>
        </w:rPr>
        <w:t>Pb/</w:t>
      </w:r>
      <w:r>
        <w:rPr>
          <w:bCs/>
          <w:vertAlign w:val="superscript"/>
        </w:rPr>
        <w:t>204</w:t>
      </w:r>
      <w:r>
        <w:rPr>
          <w:bCs/>
        </w:rPr>
        <w:t xml:space="preserve">Pb. (c), (f) </w:t>
      </w:r>
      <w:r w:rsidR="00846C61">
        <w:rPr>
          <w:bCs/>
          <w:vertAlign w:val="superscript"/>
        </w:rPr>
        <w:t>87</w:t>
      </w:r>
      <w:r w:rsidR="00846C61" w:rsidRPr="002967B3">
        <w:rPr>
          <w:bCs/>
        </w:rPr>
        <w:t>Sr/</w:t>
      </w:r>
      <w:r w:rsidR="00846C61">
        <w:rPr>
          <w:bCs/>
          <w:vertAlign w:val="superscript"/>
        </w:rPr>
        <w:t>86</w:t>
      </w:r>
      <w:r w:rsidR="00846C61">
        <w:rPr>
          <w:bCs/>
        </w:rPr>
        <w:t xml:space="preserve">Sr versus </w:t>
      </w:r>
      <w:r w:rsidR="00846C61">
        <w:rPr>
          <w:bCs/>
          <w:vertAlign w:val="superscript"/>
        </w:rPr>
        <w:t>206</w:t>
      </w:r>
      <w:r w:rsidR="00846C61" w:rsidRPr="002967B3">
        <w:rPr>
          <w:bCs/>
        </w:rPr>
        <w:t>Pb/</w:t>
      </w:r>
      <w:r w:rsidR="00846C61">
        <w:rPr>
          <w:bCs/>
          <w:vertAlign w:val="superscript"/>
        </w:rPr>
        <w:t>204</w:t>
      </w:r>
      <w:r>
        <w:rPr>
          <w:bCs/>
        </w:rPr>
        <w:t>Pb.</w:t>
      </w:r>
    </w:p>
    <w:p w14:paraId="601F35AF" w14:textId="4ECFA976" w:rsidR="00633D2F" w:rsidRDefault="00C36B67" w:rsidP="007532D3">
      <w:pPr>
        <w:spacing w:line="360" w:lineRule="auto"/>
        <w:jc w:val="center"/>
        <w:rPr>
          <w:noProof/>
        </w:rPr>
      </w:pPr>
      <w:r w:rsidRPr="00EF47A5">
        <w:rPr>
          <w:noProof/>
        </w:rPr>
        <w:lastRenderedPageBreak/>
        <w:drawing>
          <wp:inline distT="0" distB="0" distL="0" distR="0" wp14:anchorId="0FA505E9" wp14:editId="48E080A7">
            <wp:extent cx="4438682" cy="7019976"/>
            <wp:effectExtent l="0" t="0" r="0" b="9525"/>
            <wp:docPr id="59193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93791" name=""/>
                    <pic:cNvPicPr/>
                  </pic:nvPicPr>
                  <pic:blipFill>
                    <a:blip r:embed="rId12"/>
                    <a:stretch>
                      <a:fillRect/>
                    </a:stretch>
                  </pic:blipFill>
                  <pic:spPr>
                    <a:xfrm>
                      <a:off x="0" y="0"/>
                      <a:ext cx="4438682" cy="7019976"/>
                    </a:xfrm>
                    <a:prstGeom prst="rect">
                      <a:avLst/>
                    </a:prstGeom>
                  </pic:spPr>
                </pic:pic>
              </a:graphicData>
            </a:graphic>
          </wp:inline>
        </w:drawing>
      </w:r>
    </w:p>
    <w:p w14:paraId="285B6F77" w14:textId="7EDA737F" w:rsidR="00F5142F" w:rsidRDefault="00000000" w:rsidP="00F5142F">
      <w:pPr>
        <w:spacing w:line="360" w:lineRule="auto"/>
        <w:contextualSpacing/>
        <w:jc w:val="both"/>
        <w:rPr>
          <w:noProof/>
        </w:rPr>
      </w:pPr>
      <w:r w:rsidRPr="00CD3FFC">
        <w:rPr>
          <w:rFonts w:hint="eastAsia"/>
          <w:b/>
        </w:rPr>
        <w:t>F</w:t>
      </w:r>
      <w:r>
        <w:rPr>
          <w:b/>
        </w:rPr>
        <w:t xml:space="preserve">igure S4. Isotopic signatures of the expanded dataset divided by the DUPAL and non-DUPAL domains. </w:t>
      </w:r>
      <w:r w:rsidR="0083484F" w:rsidRPr="0083484F">
        <w:rPr>
          <w:bCs/>
        </w:rPr>
        <w:t xml:space="preserve">A total of </w:t>
      </w:r>
      <w:r w:rsidRPr="0083484F">
        <w:rPr>
          <w:bCs/>
          <w:noProof/>
        </w:rPr>
        <w:t xml:space="preserve">1,571 samples were from the </w:t>
      </w:r>
      <w:r w:rsidRPr="0083484F">
        <w:rPr>
          <w:bCs/>
        </w:rPr>
        <w:t>DUPAL domain,</w:t>
      </w:r>
      <w:r w:rsidRPr="0083484F">
        <w:rPr>
          <w:bCs/>
          <w:noProof/>
        </w:rPr>
        <w:t xml:space="preserve"> and 1,893 samples were from the </w:t>
      </w:r>
      <w:r w:rsidRPr="0083484F">
        <w:rPr>
          <w:bCs/>
        </w:rPr>
        <w:t>non-DUPAL domain</w:t>
      </w:r>
      <w:r w:rsidR="00347886">
        <w:rPr>
          <w:noProof/>
        </w:rPr>
        <w:t>.</w:t>
      </w:r>
    </w:p>
    <w:p w14:paraId="56CFE97E" w14:textId="6471BFD4" w:rsidR="00F5142F" w:rsidRDefault="00000000" w:rsidP="003049D0">
      <w:pPr>
        <w:spacing w:line="360" w:lineRule="auto"/>
        <w:jc w:val="center"/>
        <w:rPr>
          <w:noProof/>
        </w:rPr>
      </w:pPr>
      <w:r w:rsidRPr="000473E3">
        <w:rPr>
          <w:noProof/>
        </w:rPr>
        <w:lastRenderedPageBreak/>
        <w:drawing>
          <wp:inline distT="0" distB="0" distL="0" distR="0" wp14:anchorId="30359818" wp14:editId="1318AAEF">
            <wp:extent cx="5943600" cy="4489450"/>
            <wp:effectExtent l="0" t="0" r="0" b="6350"/>
            <wp:docPr id="12942747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274780" name=""/>
                    <pic:cNvPicPr/>
                  </pic:nvPicPr>
                  <pic:blipFill>
                    <a:blip r:embed="rId13"/>
                    <a:stretch>
                      <a:fillRect/>
                    </a:stretch>
                  </pic:blipFill>
                  <pic:spPr>
                    <a:xfrm>
                      <a:off x="0" y="0"/>
                      <a:ext cx="5943600" cy="4489450"/>
                    </a:xfrm>
                    <a:prstGeom prst="rect">
                      <a:avLst/>
                    </a:prstGeom>
                  </pic:spPr>
                </pic:pic>
              </a:graphicData>
            </a:graphic>
          </wp:inline>
        </w:drawing>
      </w:r>
    </w:p>
    <w:p w14:paraId="013D68A2" w14:textId="11CF088E" w:rsidR="006401E9" w:rsidRDefault="00000000" w:rsidP="006401E9">
      <w:pPr>
        <w:spacing w:line="360" w:lineRule="auto"/>
        <w:rPr>
          <w:noProof/>
        </w:rPr>
      </w:pPr>
      <w:r w:rsidRPr="006401E9">
        <w:rPr>
          <w:rFonts w:hint="eastAsia"/>
          <w:b/>
          <w:bCs/>
          <w:noProof/>
        </w:rPr>
        <w:t>F</w:t>
      </w:r>
      <w:r w:rsidR="00F41541">
        <w:rPr>
          <w:b/>
          <w:bCs/>
          <w:noProof/>
        </w:rPr>
        <w:t xml:space="preserve">igure S5. Isotopic distributions and </w:t>
      </w:r>
      <w:r w:rsidR="00502006">
        <w:rPr>
          <w:rFonts w:hint="eastAsia"/>
          <w:b/>
          <w:bCs/>
          <w:noProof/>
        </w:rPr>
        <w:t>de</w:t>
      </w:r>
      <w:r w:rsidR="00502006">
        <w:rPr>
          <w:b/>
          <w:bCs/>
          <w:noProof/>
        </w:rPr>
        <w:t>c</w:t>
      </w:r>
      <w:r w:rsidR="00502006">
        <w:rPr>
          <w:rFonts w:hint="eastAsia"/>
          <w:b/>
          <w:bCs/>
          <w:noProof/>
        </w:rPr>
        <w:t>i</w:t>
      </w:r>
      <w:r w:rsidR="00502006">
        <w:rPr>
          <w:b/>
          <w:bCs/>
          <w:noProof/>
        </w:rPr>
        <w:t>si</w:t>
      </w:r>
      <w:r w:rsidR="00502006">
        <w:rPr>
          <w:rFonts w:hint="eastAsia"/>
          <w:b/>
          <w:bCs/>
          <w:noProof/>
        </w:rPr>
        <w:t>on</w:t>
      </w:r>
      <w:r w:rsidR="00372C38">
        <w:rPr>
          <w:b/>
          <w:bCs/>
          <w:noProof/>
        </w:rPr>
        <w:t xml:space="preserve"> boundaries for the LLSVP (a, b) and DUPAL (c, d) dichotomies using the </w:t>
      </w:r>
      <w:r w:rsidR="005965A6">
        <w:rPr>
          <w:b/>
        </w:rPr>
        <w:t xml:space="preserve">DC20 and expanded datasets. </w:t>
      </w:r>
      <w:r w:rsidR="005965A6">
        <w:rPr>
          <w:bCs/>
        </w:rPr>
        <w:t xml:space="preserve">(a) </w:t>
      </w:r>
      <w:r w:rsidR="00C41517">
        <w:rPr>
          <w:noProof/>
        </w:rPr>
        <w:t>D</w:t>
      </w:r>
      <w:r w:rsidR="00C41517" w:rsidRPr="00C41517">
        <w:rPr>
          <w:rFonts w:hint="eastAsia"/>
          <w:noProof/>
        </w:rPr>
        <w:t>e</w:t>
      </w:r>
      <w:r w:rsidR="00C41517" w:rsidRPr="00C41517">
        <w:rPr>
          <w:noProof/>
        </w:rPr>
        <w:t>c</w:t>
      </w:r>
      <w:r w:rsidR="00C41517" w:rsidRPr="00C41517">
        <w:rPr>
          <w:rFonts w:hint="eastAsia"/>
          <w:noProof/>
        </w:rPr>
        <w:t>i</w:t>
      </w:r>
      <w:r w:rsidR="00C41517" w:rsidRPr="00C41517">
        <w:rPr>
          <w:noProof/>
        </w:rPr>
        <w:t>si</w:t>
      </w:r>
      <w:r w:rsidR="00C41517" w:rsidRPr="00C41517">
        <w:rPr>
          <w:rFonts w:hint="eastAsia"/>
          <w:noProof/>
        </w:rPr>
        <w:t>on</w:t>
      </w:r>
      <w:r w:rsidR="00C41517" w:rsidRPr="00C41517">
        <w:rPr>
          <w:noProof/>
        </w:rPr>
        <w:t xml:space="preserve"> boundary</w:t>
      </w:r>
      <w:r w:rsidR="00805146">
        <w:rPr>
          <w:bCs/>
        </w:rPr>
        <w:t xml:space="preserve"> of random forest</w:t>
      </w:r>
      <w:r w:rsidR="006B7EC2" w:rsidRPr="0096284F">
        <w:rPr>
          <w:noProof/>
        </w:rPr>
        <w:t xml:space="preserve"> classifications</w:t>
      </w:r>
      <w:r w:rsidR="00CE6AF6">
        <w:rPr>
          <w:bCs/>
        </w:rPr>
        <w:t xml:space="preserve"> from </w:t>
      </w:r>
      <w:r w:rsidR="00721FEC">
        <w:rPr>
          <w:noProof/>
        </w:rPr>
        <w:t xml:space="preserve">1000 sampling runs in the </w:t>
      </w:r>
      <w:r w:rsidR="00721FEC" w:rsidRPr="00721FEC">
        <w:rPr>
          <w:noProof/>
          <w:vertAlign w:val="superscript"/>
        </w:rPr>
        <w:t>87</w:t>
      </w:r>
      <w:r w:rsidR="00721FEC">
        <w:rPr>
          <w:noProof/>
        </w:rPr>
        <w:t>Sr/</w:t>
      </w:r>
      <w:r w:rsidR="00721FEC" w:rsidRPr="00721FEC">
        <w:rPr>
          <w:noProof/>
          <w:vertAlign w:val="superscript"/>
        </w:rPr>
        <w:t>86</w:t>
      </w:r>
      <w:r w:rsidR="00721FEC">
        <w:rPr>
          <w:noProof/>
        </w:rPr>
        <w:t>S</w:t>
      </w:r>
      <w:r w:rsidR="00362497">
        <w:rPr>
          <w:noProof/>
        </w:rPr>
        <w:t xml:space="preserve"> versus </w:t>
      </w:r>
      <w:r w:rsidR="00721FEC" w:rsidRPr="00721FEC">
        <w:rPr>
          <w:noProof/>
          <w:vertAlign w:val="superscript"/>
        </w:rPr>
        <w:t>208</w:t>
      </w:r>
      <w:r w:rsidR="00721FEC">
        <w:rPr>
          <w:noProof/>
        </w:rPr>
        <w:t>Pb*/</w:t>
      </w:r>
      <w:r w:rsidR="00721FEC" w:rsidRPr="00721FEC">
        <w:rPr>
          <w:noProof/>
          <w:vertAlign w:val="superscript"/>
        </w:rPr>
        <w:t>206</w:t>
      </w:r>
      <w:r w:rsidR="000447B3" w:rsidRPr="0096284F">
        <w:rPr>
          <w:noProof/>
        </w:rPr>
        <w:t xml:space="preserve">Pb* </w:t>
      </w:r>
      <w:r w:rsidR="006B6C75">
        <w:rPr>
          <w:rFonts w:hint="eastAsia"/>
          <w:noProof/>
        </w:rPr>
        <w:t>isotopic</w:t>
      </w:r>
      <w:r>
        <w:rPr>
          <w:noProof/>
        </w:rPr>
        <w:t xml:space="preserve"> space </w:t>
      </w:r>
      <w:r w:rsidR="000447B3" w:rsidRPr="0096284F">
        <w:rPr>
          <w:noProof/>
        </w:rPr>
        <w:t xml:space="preserve">for the LLSVP dichotomy using the DC20 dataset. The blue and yellow dots are from African and Pacific LLSVPs, respectively. (b) Similar to (a) but for the LLSVP dichotomy using the </w:t>
      </w:r>
      <w:r w:rsidR="000447B3">
        <w:rPr>
          <w:bCs/>
        </w:rPr>
        <w:t>expanded</w:t>
      </w:r>
      <w:r w:rsidR="0078526B">
        <w:rPr>
          <w:noProof/>
        </w:rPr>
        <w:t xml:space="preserve"> dataset. (c) Similar to (a) but in the </w:t>
      </w:r>
      <w:r w:rsidR="006366B5">
        <w:rPr>
          <w:rFonts w:hint="eastAsia"/>
          <w:noProof/>
        </w:rPr>
        <w:t>isotopic</w:t>
      </w:r>
      <w:r w:rsidR="0078526B">
        <w:rPr>
          <w:noProof/>
        </w:rPr>
        <w:t xml:space="preserve"> space of </w:t>
      </w:r>
      <w:r w:rsidR="0078526B" w:rsidRPr="00721FEC">
        <w:rPr>
          <w:noProof/>
          <w:vertAlign w:val="superscript"/>
        </w:rPr>
        <w:t>87</w:t>
      </w:r>
      <w:r w:rsidR="0078526B">
        <w:rPr>
          <w:noProof/>
        </w:rPr>
        <w:t>Sr/</w:t>
      </w:r>
      <w:r w:rsidR="0078526B" w:rsidRPr="00721FEC">
        <w:rPr>
          <w:noProof/>
          <w:vertAlign w:val="superscript"/>
        </w:rPr>
        <w:t>86</w:t>
      </w:r>
      <w:r w:rsidR="0078526B">
        <w:rPr>
          <w:noProof/>
        </w:rPr>
        <w:t xml:space="preserve">Sr and </w:t>
      </w:r>
      <w:r w:rsidR="0078526B">
        <w:rPr>
          <w:noProof/>
          <w:vertAlign w:val="superscript"/>
        </w:rPr>
        <w:t>206</w:t>
      </w:r>
      <w:r w:rsidR="0078526B">
        <w:rPr>
          <w:noProof/>
        </w:rPr>
        <w:t>Pb/</w:t>
      </w:r>
      <w:r w:rsidR="0078526B">
        <w:rPr>
          <w:noProof/>
          <w:vertAlign w:val="superscript"/>
        </w:rPr>
        <w:t>204</w:t>
      </w:r>
      <w:r w:rsidR="0024019D" w:rsidRPr="0096284F">
        <w:rPr>
          <w:noProof/>
        </w:rPr>
        <w:t xml:space="preserve">Pb for the DUPAL dichotomy using the </w:t>
      </w:r>
      <w:r w:rsidR="0024019D">
        <w:rPr>
          <w:bCs/>
        </w:rPr>
        <w:t>DC20</w:t>
      </w:r>
      <w:r w:rsidR="00D13B1E" w:rsidRPr="0096284F">
        <w:rPr>
          <w:noProof/>
        </w:rPr>
        <w:t xml:space="preserve"> dataset. The green and pink dots are from the DUPAL and non-DUPAL domains, respectively. (d) Similar to (c) but for the DUPAL dichotomy using the </w:t>
      </w:r>
      <w:r w:rsidR="00D13B1E">
        <w:rPr>
          <w:bCs/>
        </w:rPr>
        <w:t>expanded</w:t>
      </w:r>
      <w:r w:rsidR="00D13B1E">
        <w:rPr>
          <w:noProof/>
        </w:rPr>
        <w:t xml:space="preserve"> dataset.</w:t>
      </w:r>
    </w:p>
    <w:p w14:paraId="3ED49E97" w14:textId="69C01BA9" w:rsidR="00A71E2D" w:rsidRDefault="00000000" w:rsidP="006F4D0B">
      <w:pPr>
        <w:spacing w:line="360" w:lineRule="auto"/>
        <w:jc w:val="center"/>
        <w:rPr>
          <w:noProof/>
        </w:rPr>
      </w:pPr>
      <w:r w:rsidRPr="0085670A">
        <w:rPr>
          <w:noProof/>
        </w:rPr>
        <w:lastRenderedPageBreak/>
        <w:drawing>
          <wp:inline distT="0" distB="0" distL="0" distR="0" wp14:anchorId="346260FA" wp14:editId="3D2F1B9B">
            <wp:extent cx="4643471" cy="7110464"/>
            <wp:effectExtent l="0" t="0" r="5080" b="0"/>
            <wp:docPr id="7075790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79007" name=""/>
                    <pic:cNvPicPr/>
                  </pic:nvPicPr>
                  <pic:blipFill>
                    <a:blip r:embed="rId14"/>
                    <a:stretch>
                      <a:fillRect/>
                    </a:stretch>
                  </pic:blipFill>
                  <pic:spPr>
                    <a:xfrm>
                      <a:off x="0" y="0"/>
                      <a:ext cx="4643471" cy="7110464"/>
                    </a:xfrm>
                    <a:prstGeom prst="rect">
                      <a:avLst/>
                    </a:prstGeom>
                  </pic:spPr>
                </pic:pic>
              </a:graphicData>
            </a:graphic>
          </wp:inline>
        </w:drawing>
      </w:r>
    </w:p>
    <w:p w14:paraId="328CF194" w14:textId="67238EFE" w:rsidR="006F4D0B" w:rsidRDefault="00000000" w:rsidP="006F4D0B">
      <w:pPr>
        <w:spacing w:line="360" w:lineRule="auto"/>
        <w:rPr>
          <w:b/>
        </w:rPr>
      </w:pPr>
      <w:r w:rsidRPr="00732089">
        <w:rPr>
          <w:rFonts w:hint="eastAsia"/>
          <w:b/>
        </w:rPr>
        <w:t>F</w:t>
      </w:r>
      <w:r w:rsidR="004B139A">
        <w:rPr>
          <w:b/>
        </w:rPr>
        <w:t>igure S6. Isotopic signatures of samples that satisfy the refined definition of the DUPAL anomaly.</w:t>
      </w:r>
      <w:r w:rsidR="00963373">
        <w:rPr>
          <w:rFonts w:hint="eastAsia"/>
          <w:b/>
        </w:rPr>
        <w:t xml:space="preserve"> </w:t>
      </w:r>
      <w:r w:rsidR="00963373">
        <w:rPr>
          <w:bCs/>
        </w:rPr>
        <w:t xml:space="preserve">(a), (d) </w:t>
      </w:r>
      <w:r w:rsidR="00963373">
        <w:rPr>
          <w:bCs/>
          <w:vertAlign w:val="superscript"/>
        </w:rPr>
        <w:t>208</w:t>
      </w:r>
      <w:r w:rsidR="00963373" w:rsidRPr="002967B3">
        <w:rPr>
          <w:bCs/>
        </w:rPr>
        <w:t>Pb/</w:t>
      </w:r>
      <w:r w:rsidR="00963373">
        <w:rPr>
          <w:bCs/>
          <w:vertAlign w:val="superscript"/>
        </w:rPr>
        <w:t>204</w:t>
      </w:r>
      <w:r w:rsidR="00963373" w:rsidRPr="002967B3">
        <w:rPr>
          <w:bCs/>
        </w:rPr>
        <w:t>Pb</w:t>
      </w:r>
      <w:r w:rsidR="00963373">
        <w:rPr>
          <w:bCs/>
          <w:vertAlign w:val="superscript"/>
        </w:rPr>
        <w:t xml:space="preserve"> </w:t>
      </w:r>
      <w:r w:rsidR="00963373">
        <w:rPr>
          <w:bCs/>
        </w:rPr>
        <w:t>versus</w:t>
      </w:r>
      <w:r w:rsidR="00963373">
        <w:rPr>
          <w:bCs/>
          <w:vertAlign w:val="superscript"/>
        </w:rPr>
        <w:t xml:space="preserve"> 206</w:t>
      </w:r>
      <w:r w:rsidR="00963373" w:rsidRPr="002967B3">
        <w:rPr>
          <w:bCs/>
        </w:rPr>
        <w:t>Pb/</w:t>
      </w:r>
      <w:r w:rsidR="00963373">
        <w:rPr>
          <w:bCs/>
          <w:vertAlign w:val="superscript"/>
        </w:rPr>
        <w:t>204</w:t>
      </w:r>
      <w:r w:rsidR="00963373">
        <w:rPr>
          <w:bCs/>
        </w:rPr>
        <w:t xml:space="preserve">Pb. (b), (e) </w:t>
      </w:r>
      <w:r w:rsidR="00963373">
        <w:rPr>
          <w:bCs/>
          <w:vertAlign w:val="superscript"/>
        </w:rPr>
        <w:t>207</w:t>
      </w:r>
      <w:r w:rsidR="00963373" w:rsidRPr="002967B3">
        <w:rPr>
          <w:bCs/>
        </w:rPr>
        <w:t>Pb/</w:t>
      </w:r>
      <w:r w:rsidR="00963373">
        <w:rPr>
          <w:bCs/>
          <w:vertAlign w:val="superscript"/>
        </w:rPr>
        <w:t>204</w:t>
      </w:r>
      <w:r w:rsidR="00963373" w:rsidRPr="002967B3">
        <w:rPr>
          <w:bCs/>
        </w:rPr>
        <w:t>Pb</w:t>
      </w:r>
      <w:r w:rsidR="00963373">
        <w:rPr>
          <w:bCs/>
          <w:vertAlign w:val="superscript"/>
        </w:rPr>
        <w:t xml:space="preserve"> </w:t>
      </w:r>
      <w:r w:rsidR="00963373">
        <w:rPr>
          <w:bCs/>
        </w:rPr>
        <w:t>versus</w:t>
      </w:r>
      <w:r w:rsidR="00963373">
        <w:rPr>
          <w:bCs/>
          <w:vertAlign w:val="superscript"/>
        </w:rPr>
        <w:t xml:space="preserve"> 206</w:t>
      </w:r>
      <w:r w:rsidR="00963373" w:rsidRPr="002967B3">
        <w:rPr>
          <w:bCs/>
        </w:rPr>
        <w:t>Pb/</w:t>
      </w:r>
      <w:r w:rsidR="00963373">
        <w:rPr>
          <w:bCs/>
          <w:vertAlign w:val="superscript"/>
        </w:rPr>
        <w:t>204</w:t>
      </w:r>
      <w:r w:rsidR="00963373">
        <w:rPr>
          <w:bCs/>
        </w:rPr>
        <w:t xml:space="preserve">Pb. (c), (f) </w:t>
      </w:r>
      <w:r w:rsidR="00963373">
        <w:rPr>
          <w:bCs/>
          <w:vertAlign w:val="superscript"/>
        </w:rPr>
        <w:t>87</w:t>
      </w:r>
      <w:r w:rsidR="00963373" w:rsidRPr="002967B3">
        <w:rPr>
          <w:bCs/>
        </w:rPr>
        <w:t>Sr/</w:t>
      </w:r>
      <w:r w:rsidR="00963373">
        <w:rPr>
          <w:bCs/>
          <w:vertAlign w:val="superscript"/>
        </w:rPr>
        <w:t>86</w:t>
      </w:r>
      <w:r w:rsidR="00963373">
        <w:rPr>
          <w:bCs/>
        </w:rPr>
        <w:t xml:space="preserve">Sr versus </w:t>
      </w:r>
      <w:r w:rsidR="00963373">
        <w:rPr>
          <w:bCs/>
          <w:vertAlign w:val="superscript"/>
        </w:rPr>
        <w:t>206</w:t>
      </w:r>
      <w:r w:rsidR="00963373" w:rsidRPr="002967B3">
        <w:rPr>
          <w:bCs/>
        </w:rPr>
        <w:t>Pb/</w:t>
      </w:r>
      <w:r w:rsidR="00963373">
        <w:rPr>
          <w:bCs/>
          <w:vertAlign w:val="superscript"/>
        </w:rPr>
        <w:t>204</w:t>
      </w:r>
      <w:r w:rsidR="00963373">
        <w:rPr>
          <w:bCs/>
        </w:rPr>
        <w:t>Pb.</w:t>
      </w:r>
    </w:p>
    <w:p w14:paraId="4CE88A84" w14:textId="77777777" w:rsidR="00833F17" w:rsidRPr="004B139A" w:rsidRDefault="00833F17" w:rsidP="006F4D0B">
      <w:pPr>
        <w:spacing w:line="360" w:lineRule="auto"/>
        <w:rPr>
          <w:noProof/>
        </w:rPr>
      </w:pPr>
    </w:p>
    <w:p w14:paraId="2BE3CADF" w14:textId="75FA33CF" w:rsidR="002E7277" w:rsidRDefault="00000000" w:rsidP="002E7277">
      <w:pPr>
        <w:spacing w:line="360" w:lineRule="auto"/>
        <w:contextualSpacing/>
        <w:jc w:val="center"/>
        <w:rPr>
          <w:noProof/>
        </w:rPr>
      </w:pPr>
      <w:r w:rsidRPr="00E329E9">
        <w:rPr>
          <w:noProof/>
        </w:rPr>
        <w:drawing>
          <wp:inline distT="0" distB="0" distL="0" distR="0" wp14:anchorId="5342D968" wp14:editId="469B4B4A">
            <wp:extent cx="4545724" cy="3757507"/>
            <wp:effectExtent l="0" t="0" r="7620" b="0"/>
            <wp:docPr id="14332516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251693" name=""/>
                    <pic:cNvPicPr/>
                  </pic:nvPicPr>
                  <pic:blipFill>
                    <a:blip r:embed="rId15"/>
                    <a:stretch>
                      <a:fillRect/>
                    </a:stretch>
                  </pic:blipFill>
                  <pic:spPr>
                    <a:xfrm>
                      <a:off x="0" y="0"/>
                      <a:ext cx="4551619" cy="3762379"/>
                    </a:xfrm>
                    <a:prstGeom prst="rect">
                      <a:avLst/>
                    </a:prstGeom>
                  </pic:spPr>
                </pic:pic>
              </a:graphicData>
            </a:graphic>
          </wp:inline>
        </w:drawing>
      </w:r>
    </w:p>
    <w:p w14:paraId="5CEA9372" w14:textId="1CEB29F8" w:rsidR="002E7277" w:rsidRDefault="00000000" w:rsidP="00474C49">
      <w:pPr>
        <w:spacing w:line="360" w:lineRule="auto"/>
        <w:contextualSpacing/>
        <w:jc w:val="both"/>
        <w:rPr>
          <w:bCs/>
        </w:rPr>
      </w:pPr>
      <w:r w:rsidRPr="00CD3FFC">
        <w:rPr>
          <w:rFonts w:hint="eastAsia"/>
          <w:b/>
        </w:rPr>
        <w:t>F</w:t>
      </w:r>
      <w:r>
        <w:rPr>
          <w:b/>
        </w:rPr>
        <w:t xml:space="preserve">igure S7. </w:t>
      </w:r>
      <w:r>
        <w:rPr>
          <w:b/>
          <w:bCs/>
          <w:noProof/>
        </w:rPr>
        <w:t>Distribution of misclassification rates from 1000 bootstrapping tests for the DUPAL dichotomy using the expanded dataset.</w:t>
      </w:r>
    </w:p>
    <w:p w14:paraId="2E2757DE" w14:textId="322FD847" w:rsidR="004B27B5" w:rsidRDefault="00000000" w:rsidP="004B27B5">
      <w:pPr>
        <w:spacing w:line="360" w:lineRule="auto"/>
        <w:jc w:val="center"/>
        <w:rPr>
          <w:noProof/>
        </w:rPr>
      </w:pPr>
      <w:r w:rsidRPr="00AA070F">
        <w:rPr>
          <w:noProof/>
        </w:rPr>
        <w:lastRenderedPageBreak/>
        <w:drawing>
          <wp:inline distT="0" distB="0" distL="0" distR="0" wp14:anchorId="4EA42DEC" wp14:editId="0B82A0FC">
            <wp:extent cx="4029104" cy="7034264"/>
            <wp:effectExtent l="0" t="0" r="0" b="0"/>
            <wp:docPr id="14969333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933300" name=""/>
                    <pic:cNvPicPr/>
                  </pic:nvPicPr>
                  <pic:blipFill>
                    <a:blip r:embed="rId16"/>
                    <a:stretch>
                      <a:fillRect/>
                    </a:stretch>
                  </pic:blipFill>
                  <pic:spPr>
                    <a:xfrm>
                      <a:off x="0" y="0"/>
                      <a:ext cx="4029104" cy="7034264"/>
                    </a:xfrm>
                    <a:prstGeom prst="rect">
                      <a:avLst/>
                    </a:prstGeom>
                  </pic:spPr>
                </pic:pic>
              </a:graphicData>
            </a:graphic>
          </wp:inline>
        </w:drawing>
      </w:r>
    </w:p>
    <w:p w14:paraId="36629A8B" w14:textId="14471F73" w:rsidR="004B27B5" w:rsidRDefault="00000000" w:rsidP="00474C49">
      <w:pPr>
        <w:spacing w:line="360" w:lineRule="auto"/>
        <w:contextualSpacing/>
        <w:jc w:val="both"/>
        <w:rPr>
          <w:bCs/>
        </w:rPr>
      </w:pPr>
      <w:r w:rsidRPr="001D1241">
        <w:rPr>
          <w:rFonts w:hint="eastAsia"/>
          <w:b/>
          <w:bCs/>
          <w:noProof/>
        </w:rPr>
        <w:t>F</w:t>
      </w:r>
      <w:r w:rsidR="0083484F">
        <w:rPr>
          <w:b/>
          <w:bCs/>
          <w:noProof/>
        </w:rPr>
        <w:t>igure S8. Isotopic variations with</w:t>
      </w:r>
      <w:r>
        <w:rPr>
          <w:b/>
        </w:rPr>
        <w:t xml:space="preserve">in different hotspots within the DUPAL domain according to the expanded dataset. </w:t>
      </w:r>
      <w:r>
        <w:rPr>
          <w:bCs/>
        </w:rPr>
        <w:t xml:space="preserve">(a) </w:t>
      </w:r>
      <w:r w:rsidRPr="0096284F">
        <w:rPr>
          <w:bCs/>
          <w:vertAlign w:val="superscript"/>
        </w:rPr>
        <w:t>87</w:t>
      </w:r>
      <w:r w:rsidRPr="0096284F">
        <w:rPr>
          <w:bCs/>
        </w:rPr>
        <w:t>Sr/</w:t>
      </w:r>
      <w:r w:rsidRPr="0096284F">
        <w:rPr>
          <w:bCs/>
          <w:vertAlign w:val="superscript"/>
        </w:rPr>
        <w:t>86</w:t>
      </w:r>
      <w:r>
        <w:rPr>
          <w:bCs/>
        </w:rPr>
        <w:t xml:space="preserve">Sr versus </w:t>
      </w:r>
      <w:r w:rsidRPr="0096284F">
        <w:rPr>
          <w:bCs/>
          <w:vertAlign w:val="superscript"/>
        </w:rPr>
        <w:t>206</w:t>
      </w:r>
      <w:r w:rsidRPr="0096284F">
        <w:rPr>
          <w:bCs/>
        </w:rPr>
        <w:t>Pb/</w:t>
      </w:r>
      <w:r w:rsidRPr="0096284F">
        <w:rPr>
          <w:bCs/>
          <w:vertAlign w:val="superscript"/>
        </w:rPr>
        <w:t>204</w:t>
      </w:r>
      <w:r>
        <w:rPr>
          <w:bCs/>
        </w:rPr>
        <w:t>Pb for all samples. (b) Similar to (a) but for samples with a misclassification rate &gt; 10%.</w:t>
      </w:r>
    </w:p>
    <w:p w14:paraId="7FCF977D" w14:textId="77777777" w:rsidR="006304F3" w:rsidRDefault="00000000" w:rsidP="00283B02">
      <w:pPr>
        <w:spacing w:line="360" w:lineRule="auto"/>
        <w:contextualSpacing/>
        <w:jc w:val="center"/>
        <w:rPr>
          <w:b/>
        </w:rPr>
      </w:pPr>
      <w:r w:rsidRPr="0016511A">
        <w:rPr>
          <w:b/>
          <w:noProof/>
        </w:rPr>
        <w:lastRenderedPageBreak/>
        <w:drawing>
          <wp:inline distT="0" distB="0" distL="0" distR="0" wp14:anchorId="2D66ACC1" wp14:editId="56FE2D59">
            <wp:extent cx="4846022" cy="2851698"/>
            <wp:effectExtent l="0" t="0" r="0" b="6350"/>
            <wp:docPr id="354789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789395" name=""/>
                    <pic:cNvPicPr/>
                  </pic:nvPicPr>
                  <pic:blipFill>
                    <a:blip r:embed="rId17"/>
                    <a:stretch>
                      <a:fillRect/>
                    </a:stretch>
                  </pic:blipFill>
                  <pic:spPr>
                    <a:xfrm>
                      <a:off x="0" y="0"/>
                      <a:ext cx="4854298" cy="2856568"/>
                    </a:xfrm>
                    <a:prstGeom prst="rect">
                      <a:avLst/>
                    </a:prstGeom>
                  </pic:spPr>
                </pic:pic>
              </a:graphicData>
            </a:graphic>
          </wp:inline>
        </w:drawing>
      </w:r>
    </w:p>
    <w:p w14:paraId="59F3A42C" w14:textId="06662A96" w:rsidR="00161236" w:rsidRDefault="00000000" w:rsidP="00474C49">
      <w:pPr>
        <w:spacing w:line="360" w:lineRule="auto"/>
        <w:contextualSpacing/>
        <w:jc w:val="both"/>
      </w:pPr>
      <w:r w:rsidRPr="00732089">
        <w:rPr>
          <w:rFonts w:hint="eastAsia"/>
          <w:b/>
        </w:rPr>
        <w:t>F</w:t>
      </w:r>
      <w:r>
        <w:rPr>
          <w:b/>
        </w:rPr>
        <w:t xml:space="preserve">igure S9. </w:t>
      </w:r>
      <w:r w:rsidR="00132312" w:rsidRPr="00132312">
        <w:rPr>
          <w:b/>
          <w:bCs/>
          <w:color w:val="1F1F1F"/>
        </w:rPr>
        <w:t xml:space="preserve">Geographic distribution of </w:t>
      </w:r>
      <w:r>
        <w:rPr>
          <w:b/>
          <w:bCs/>
          <w:color w:val="1F1F1F"/>
        </w:rPr>
        <w:t xml:space="preserve">the </w:t>
      </w:r>
      <w:r w:rsidR="00132312" w:rsidRPr="00132312">
        <w:rPr>
          <w:b/>
          <w:bCs/>
          <w:color w:val="1F1F1F"/>
        </w:rPr>
        <w:t xml:space="preserve">Gondwana </w:t>
      </w:r>
      <w:r>
        <w:rPr>
          <w:b/>
          <w:bCs/>
          <w:color w:val="1F1F1F"/>
        </w:rPr>
        <w:t>continent</w:t>
      </w:r>
      <w:r w:rsidR="00132312" w:rsidRPr="00132312">
        <w:rPr>
          <w:b/>
          <w:bCs/>
          <w:color w:val="1F1F1F"/>
        </w:rPr>
        <w:t xml:space="preserve"> at 550 Ma</w:t>
      </w:r>
      <w:r w:rsidR="00FD031F">
        <w:rPr>
          <w:color w:val="1F1F1F"/>
          <w:vertAlign w:val="superscript"/>
        </w:rPr>
        <w:t>4</w:t>
      </w:r>
      <w:r w:rsidR="00082D50">
        <w:rPr>
          <w:rFonts w:hint="eastAsia"/>
          <w:color w:val="1F1F1F"/>
          <w:vertAlign w:val="superscript"/>
        </w:rPr>
        <w:t>8</w:t>
      </w:r>
      <w:r w:rsidR="00971C30">
        <w:rPr>
          <w:b/>
          <w:bCs/>
        </w:rPr>
        <w:t xml:space="preserve">. </w:t>
      </w:r>
      <w:r w:rsidR="005D0C92">
        <w:t>The blue background represents the seafloor</w:t>
      </w:r>
      <w:r w:rsidR="00601B51">
        <w:rPr>
          <w:rFonts w:hint="eastAsia"/>
        </w:rPr>
        <w:t xml:space="preserve"> </w:t>
      </w:r>
      <w:r w:rsidR="001A7F81">
        <w:t>age. The black lines mark the oceanic ridges.</w:t>
      </w:r>
    </w:p>
    <w:p w14:paraId="2FC5B95B" w14:textId="4A43E595" w:rsidR="000F2145" w:rsidRPr="00601B51" w:rsidRDefault="000F2145" w:rsidP="005372D8">
      <w:pPr>
        <w:spacing w:after="0" w:line="240" w:lineRule="auto"/>
      </w:pPr>
    </w:p>
    <w:p w14:paraId="72EE1F4C" w14:textId="171E972F" w:rsidR="00293235" w:rsidRDefault="00A452B0" w:rsidP="00DC2E75">
      <w:pPr>
        <w:spacing w:line="360" w:lineRule="auto"/>
        <w:contextualSpacing/>
        <w:jc w:val="center"/>
        <w:rPr>
          <w:bCs/>
        </w:rPr>
      </w:pPr>
      <w:r w:rsidRPr="00643F55">
        <w:rPr>
          <w:bCs/>
          <w:noProof/>
        </w:rPr>
        <w:lastRenderedPageBreak/>
        <w:drawing>
          <wp:inline distT="0" distB="0" distL="0" distR="0" wp14:anchorId="0B9AA8EA" wp14:editId="474ECD62">
            <wp:extent cx="5379124" cy="4730296"/>
            <wp:effectExtent l="0" t="0" r="0" b="0"/>
            <wp:docPr id="19010946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094626" name=""/>
                    <pic:cNvPicPr/>
                  </pic:nvPicPr>
                  <pic:blipFill>
                    <a:blip r:embed="rId18"/>
                    <a:stretch>
                      <a:fillRect/>
                    </a:stretch>
                  </pic:blipFill>
                  <pic:spPr>
                    <a:xfrm>
                      <a:off x="0" y="0"/>
                      <a:ext cx="5388504" cy="4738544"/>
                    </a:xfrm>
                    <a:prstGeom prst="rect">
                      <a:avLst/>
                    </a:prstGeom>
                  </pic:spPr>
                </pic:pic>
              </a:graphicData>
            </a:graphic>
          </wp:inline>
        </w:drawing>
      </w:r>
    </w:p>
    <w:p w14:paraId="39F58985" w14:textId="29937834" w:rsidR="00495C06" w:rsidRDefault="00000000" w:rsidP="00BD4266">
      <w:pPr>
        <w:spacing w:line="360" w:lineRule="auto"/>
        <w:contextualSpacing/>
        <w:jc w:val="both"/>
      </w:pPr>
      <w:r w:rsidRPr="00732089">
        <w:rPr>
          <w:rFonts w:hint="eastAsia"/>
          <w:b/>
        </w:rPr>
        <w:t>F</w:t>
      </w:r>
      <w:r>
        <w:rPr>
          <w:b/>
        </w:rPr>
        <w:t xml:space="preserve">igure S10. </w:t>
      </w:r>
      <w:r w:rsidRPr="008B130F">
        <w:rPr>
          <w:b/>
          <w:bCs/>
          <w:color w:val="1F1F1F"/>
        </w:rPr>
        <w:t>ε</w:t>
      </w:r>
      <w:r w:rsidRPr="008B130F">
        <w:rPr>
          <w:b/>
          <w:bCs/>
          <w:color w:val="1F1F1F"/>
          <w:vertAlign w:val="subscript"/>
        </w:rPr>
        <w:t>Hf</w:t>
      </w:r>
      <w:r w:rsidRPr="008B130F">
        <w:rPr>
          <w:b/>
          <w:bCs/>
          <w:color w:val="1F1F1F"/>
        </w:rPr>
        <w:t xml:space="preserve"> </w:t>
      </w:r>
      <w:r>
        <w:rPr>
          <w:b/>
          <w:bCs/>
        </w:rPr>
        <w:t xml:space="preserve">versus U‒Pb ages of global zircon data. </w:t>
      </w:r>
      <w:r>
        <w:t>The green dots are from global zircon data</w:t>
      </w:r>
      <w:r w:rsidR="00970A4D" w:rsidRPr="00970A4D">
        <w:rPr>
          <w:vertAlign w:val="superscript"/>
        </w:rPr>
        <w:t>3</w:t>
      </w:r>
      <w:r w:rsidR="00853F0D">
        <w:rPr>
          <w:rFonts w:hint="eastAsia"/>
          <w:vertAlign w:val="superscript"/>
        </w:rPr>
        <w:t>2</w:t>
      </w:r>
      <w:r>
        <w:t xml:space="preserve">. The pink dots and bars represent the median </w:t>
      </w:r>
      <w:r w:rsidRPr="000D480A">
        <w:rPr>
          <w:rFonts w:hint="eastAsia"/>
        </w:rPr>
        <w:t>ε</w:t>
      </w:r>
      <w:r w:rsidRPr="0009150A">
        <w:rPr>
          <w:vertAlign w:val="subscript"/>
        </w:rPr>
        <w:t>Hf</w:t>
      </w:r>
      <w:r>
        <w:t xml:space="preserve"> values and standard deviations, respectively, within a 100 Myr window. The upper black line represents the evolution of depleted mantle, whereas the lower black line represents the evolution of crust with Lu/Hf = 0.015</w:t>
      </w:r>
      <w:r w:rsidR="00970A4D" w:rsidRPr="00970A4D">
        <w:rPr>
          <w:vertAlign w:val="superscript"/>
        </w:rPr>
        <w:t>3</w:t>
      </w:r>
      <w:r w:rsidR="00853F0D">
        <w:rPr>
          <w:rFonts w:hint="eastAsia"/>
          <w:vertAlign w:val="superscript"/>
        </w:rPr>
        <w:t>2</w:t>
      </w:r>
      <w:r w:rsidR="00807A1F">
        <w:t>. Supercontinent assembly periods are shaded by red and gr</w:t>
      </w:r>
      <w:r w:rsidR="001F478A">
        <w:rPr>
          <w:rFonts w:hint="eastAsia"/>
        </w:rPr>
        <w:t>a</w:t>
      </w:r>
      <w:r w:rsidR="00807A1F">
        <w:t>y areas</w:t>
      </w:r>
      <w:r w:rsidR="005176DB">
        <w:rPr>
          <w:vertAlign w:val="superscript"/>
        </w:rPr>
        <w:t>4</w:t>
      </w:r>
      <w:r w:rsidR="00763B6F">
        <w:rPr>
          <w:rFonts w:hint="eastAsia"/>
          <w:vertAlign w:val="superscript"/>
        </w:rPr>
        <w:t>9</w:t>
      </w:r>
      <w:r w:rsidR="0083484F" w:rsidRPr="0083484F">
        <w:t xml:space="preserve">. (modified from Belousova </w:t>
      </w:r>
      <w:r w:rsidR="0083484F" w:rsidRPr="0083484F">
        <w:rPr>
          <w:i/>
          <w:iCs/>
        </w:rPr>
        <w:t>et al</w:t>
      </w:r>
      <w:r w:rsidR="0083484F" w:rsidRPr="0083484F">
        <w:t>.</w:t>
      </w:r>
      <w:r w:rsidR="00970A4D" w:rsidRPr="00970A4D">
        <w:rPr>
          <w:vertAlign w:val="superscript"/>
        </w:rPr>
        <w:t xml:space="preserve"> 3</w:t>
      </w:r>
      <w:r w:rsidR="00853F0D">
        <w:rPr>
          <w:rFonts w:hint="eastAsia"/>
          <w:vertAlign w:val="superscript"/>
        </w:rPr>
        <w:t>2</w:t>
      </w:r>
      <w:r w:rsidR="0083484F" w:rsidRPr="0083484F">
        <w:t>)</w:t>
      </w:r>
    </w:p>
    <w:p w14:paraId="2FCF2D4D" w14:textId="57191924" w:rsidR="0039303D" w:rsidRDefault="00000000" w:rsidP="00C47607">
      <w:pPr>
        <w:spacing w:line="360" w:lineRule="auto"/>
        <w:contextualSpacing/>
        <w:jc w:val="center"/>
      </w:pPr>
      <w:r w:rsidRPr="00CB6DBD">
        <w:rPr>
          <w:noProof/>
        </w:rPr>
        <w:lastRenderedPageBreak/>
        <w:drawing>
          <wp:inline distT="0" distB="0" distL="0" distR="0" wp14:anchorId="6DCCFDC1" wp14:editId="6C2FB82B">
            <wp:extent cx="5943600" cy="5576570"/>
            <wp:effectExtent l="0" t="0" r="0" b="5080"/>
            <wp:docPr id="15310942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094203" name=""/>
                    <pic:cNvPicPr/>
                  </pic:nvPicPr>
                  <pic:blipFill>
                    <a:blip r:embed="rId19"/>
                    <a:stretch>
                      <a:fillRect/>
                    </a:stretch>
                  </pic:blipFill>
                  <pic:spPr>
                    <a:xfrm>
                      <a:off x="0" y="0"/>
                      <a:ext cx="5943600" cy="5576570"/>
                    </a:xfrm>
                    <a:prstGeom prst="rect">
                      <a:avLst/>
                    </a:prstGeom>
                  </pic:spPr>
                </pic:pic>
              </a:graphicData>
            </a:graphic>
          </wp:inline>
        </w:drawing>
      </w:r>
    </w:p>
    <w:p w14:paraId="039CD75C" w14:textId="76DC1875" w:rsidR="00C47607" w:rsidRPr="00ED3D65" w:rsidRDefault="00000000" w:rsidP="00C47607">
      <w:pPr>
        <w:spacing w:line="360" w:lineRule="auto"/>
        <w:contextualSpacing/>
        <w:rPr>
          <w:bCs/>
        </w:rPr>
      </w:pPr>
      <w:r w:rsidRPr="00732089">
        <w:rPr>
          <w:rFonts w:hint="eastAsia"/>
          <w:b/>
        </w:rPr>
        <w:t>F</w:t>
      </w:r>
      <w:r w:rsidR="00A14C58">
        <w:rPr>
          <w:b/>
        </w:rPr>
        <w:t xml:space="preserve">igure S11. Hyperparameter selection from 1000 </w:t>
      </w:r>
      <w:r w:rsidR="00A14C58">
        <w:rPr>
          <w:b/>
          <w:bCs/>
          <w:noProof/>
        </w:rPr>
        <w:t>bootstrapping tests</w:t>
      </w:r>
      <w:r w:rsidR="00ED3D65">
        <w:rPr>
          <w:b/>
        </w:rPr>
        <w:t xml:space="preserve">. </w:t>
      </w:r>
      <w:r w:rsidR="00177478">
        <w:rPr>
          <w:bCs/>
        </w:rPr>
        <w:t xml:space="preserve">(a) </w:t>
      </w:r>
      <w:r w:rsidR="001B7AC8">
        <w:rPr>
          <w:noProof/>
        </w:rPr>
        <w:t xml:space="preserve">LLSVP dichotomy using the DC20 dataset. The highest classification </w:t>
      </w:r>
      <w:r>
        <w:rPr>
          <w:noProof/>
        </w:rPr>
        <w:t>accuracy,</w:t>
      </w:r>
      <w:r w:rsidR="001B7AC8">
        <w:rPr>
          <w:noProof/>
        </w:rPr>
        <w:t xml:space="preserve"> 92.116</w:t>
      </w:r>
      <w:r w:rsidR="00496233">
        <w:t>%</w:t>
      </w:r>
      <w:r>
        <w:t>,</w:t>
      </w:r>
      <w:r w:rsidR="00B0665B">
        <w:rPr>
          <w:noProof/>
        </w:rPr>
        <w:t xml:space="preserve"> </w:t>
      </w:r>
      <w:r w:rsidR="00AF71DB">
        <w:rPr>
          <w:rFonts w:hint="eastAsia"/>
          <w:noProof/>
        </w:rPr>
        <w:t>i</w:t>
      </w:r>
      <w:r w:rsidR="00FC1589">
        <w:rPr>
          <w:noProof/>
        </w:rPr>
        <w:t>s</w:t>
      </w:r>
      <w:r>
        <w:rPr>
          <w:noProof/>
        </w:rPr>
        <w:t xml:space="preserve"> </w:t>
      </w:r>
      <w:r w:rsidR="00B0665B">
        <w:rPr>
          <w:noProof/>
        </w:rPr>
        <w:t xml:space="preserve">achieved with tree depth and forest size (star). (b) LLSVP dichotomy using the expanded dataset. The highest classification </w:t>
      </w:r>
      <w:r>
        <w:rPr>
          <w:noProof/>
        </w:rPr>
        <w:t>accuracy,</w:t>
      </w:r>
      <w:r w:rsidR="00B0665B">
        <w:rPr>
          <w:noProof/>
        </w:rPr>
        <w:t xml:space="preserve"> 83.290</w:t>
      </w:r>
      <w:r w:rsidR="00496233">
        <w:t>%</w:t>
      </w:r>
      <w:r>
        <w:t>,</w:t>
      </w:r>
      <w:r w:rsidR="00D45F65">
        <w:rPr>
          <w:noProof/>
        </w:rPr>
        <w:t xml:space="preserve"> </w:t>
      </w:r>
      <w:r w:rsidR="00CF0E12">
        <w:rPr>
          <w:noProof/>
        </w:rPr>
        <w:t>is</w:t>
      </w:r>
      <w:r>
        <w:rPr>
          <w:noProof/>
        </w:rPr>
        <w:t xml:space="preserve"> </w:t>
      </w:r>
      <w:r w:rsidR="00D45F65">
        <w:rPr>
          <w:noProof/>
        </w:rPr>
        <w:t xml:space="preserve">achieved with tree depth and forest size (star). (c) DUPAL dichotomy using the DC20 dataset. The highest classification </w:t>
      </w:r>
      <w:r>
        <w:rPr>
          <w:noProof/>
        </w:rPr>
        <w:t>accuracy</w:t>
      </w:r>
      <w:r w:rsidR="00FC59D1">
        <w:rPr>
          <w:rFonts w:hint="eastAsia"/>
          <w:noProof/>
        </w:rPr>
        <w:t>,</w:t>
      </w:r>
      <w:r w:rsidR="00D45F65">
        <w:rPr>
          <w:noProof/>
        </w:rPr>
        <w:t xml:space="preserve"> 94.467</w:t>
      </w:r>
      <w:r w:rsidR="002B5F4C">
        <w:t>%</w:t>
      </w:r>
      <w:r w:rsidR="00FC59D1">
        <w:rPr>
          <w:rFonts w:hint="eastAsia"/>
        </w:rPr>
        <w:t>,</w:t>
      </w:r>
      <w:r w:rsidR="0053591A">
        <w:rPr>
          <w:noProof/>
        </w:rPr>
        <w:t xml:space="preserve"> </w:t>
      </w:r>
      <w:r w:rsidR="00CF0E12">
        <w:rPr>
          <w:noProof/>
        </w:rPr>
        <w:t>is</w:t>
      </w:r>
      <w:r>
        <w:rPr>
          <w:noProof/>
        </w:rPr>
        <w:t xml:space="preserve"> </w:t>
      </w:r>
      <w:r w:rsidR="0053591A">
        <w:rPr>
          <w:noProof/>
        </w:rPr>
        <w:t xml:space="preserve">achieved </w:t>
      </w:r>
      <w:r>
        <w:rPr>
          <w:noProof/>
        </w:rPr>
        <w:t>for</w:t>
      </w:r>
      <w:r w:rsidR="0053591A">
        <w:rPr>
          <w:noProof/>
        </w:rPr>
        <w:t xml:space="preserve"> tree depth and forest size (star). (d) DUPAL dichotomy using the expanded dataset.</w:t>
      </w:r>
      <w:r>
        <w:rPr>
          <w:noProof/>
        </w:rPr>
        <w:t xml:space="preserve"> </w:t>
      </w:r>
      <w:r w:rsidR="0053591A">
        <w:rPr>
          <w:noProof/>
        </w:rPr>
        <w:t xml:space="preserve">The highest classification </w:t>
      </w:r>
      <w:r>
        <w:rPr>
          <w:noProof/>
        </w:rPr>
        <w:t>accuracy,</w:t>
      </w:r>
      <w:r w:rsidR="0053591A">
        <w:rPr>
          <w:noProof/>
        </w:rPr>
        <w:t xml:space="preserve"> 91.865</w:t>
      </w:r>
      <w:r w:rsidR="008427ED">
        <w:t>%</w:t>
      </w:r>
      <w:r>
        <w:t>,</w:t>
      </w:r>
      <w:r w:rsidR="00F15325">
        <w:rPr>
          <w:noProof/>
        </w:rPr>
        <w:t xml:space="preserve"> </w:t>
      </w:r>
      <w:r w:rsidR="00CF0E12">
        <w:rPr>
          <w:noProof/>
        </w:rPr>
        <w:t>is</w:t>
      </w:r>
      <w:r>
        <w:rPr>
          <w:noProof/>
        </w:rPr>
        <w:t xml:space="preserve"> </w:t>
      </w:r>
      <w:r w:rsidR="00F15325">
        <w:rPr>
          <w:noProof/>
        </w:rPr>
        <w:t>achieved with tree depth and forest size (star).</w:t>
      </w:r>
    </w:p>
    <w:p w14:paraId="1BA97568" w14:textId="77777777" w:rsidR="00495C06" w:rsidRDefault="00000000">
      <w:pPr>
        <w:spacing w:after="0" w:line="240" w:lineRule="auto"/>
        <w:rPr>
          <w:b/>
          <w:bCs/>
        </w:rPr>
      </w:pPr>
      <w:r>
        <w:rPr>
          <w:b/>
          <w:bCs/>
        </w:rPr>
        <w:br w:type="page"/>
      </w:r>
    </w:p>
    <w:p w14:paraId="4F09D233" w14:textId="77777777" w:rsidR="00495C06" w:rsidRDefault="00000000" w:rsidP="00495C06">
      <w:pPr>
        <w:pStyle w:val="ae"/>
        <w:spacing w:line="360" w:lineRule="auto"/>
        <w:ind w:left="720" w:hangingChars="300" w:hanging="720"/>
        <w:rPr>
          <w:b/>
          <w:bCs/>
        </w:rPr>
      </w:pPr>
      <w:r w:rsidRPr="0096284F">
        <w:rPr>
          <w:b/>
          <w:bCs/>
        </w:rPr>
        <w:lastRenderedPageBreak/>
        <w:t>References</w:t>
      </w:r>
    </w:p>
    <w:p w14:paraId="6584F642" w14:textId="77777777" w:rsidR="001E21EC" w:rsidRDefault="001E21EC" w:rsidP="001E21EC">
      <w:pPr>
        <w:pStyle w:val="ae"/>
        <w:tabs>
          <w:tab w:val="clear" w:pos="264"/>
        </w:tabs>
        <w:ind w:left="480" w:hangingChars="200" w:hanging="480"/>
      </w:pPr>
      <w:r>
        <w:rPr>
          <w:rFonts w:eastAsia="等线"/>
          <w:kern w:val="2"/>
          <w:szCs w:val="22"/>
          <w:lang w:val="en-US"/>
          <w14:ligatures w14:val="standardContextual"/>
        </w:rPr>
        <w:fldChar w:fldCharType="begin"/>
      </w:r>
      <w:r>
        <w:rPr>
          <w:rFonts w:eastAsia="等线"/>
          <w:kern w:val="2"/>
          <w:szCs w:val="22"/>
          <w:lang w:val="en-US"/>
          <w14:ligatures w14:val="standardContextual"/>
        </w:rPr>
        <w:instrText xml:space="preserve"> ADDIN ZOTERO_BIBL {"uncited":[],"omitted":[],"custom":[]} CSL_BIBLIOGRAPHY </w:instrText>
      </w:r>
      <w:r>
        <w:rPr>
          <w:rFonts w:eastAsia="等线"/>
          <w:kern w:val="2"/>
          <w:szCs w:val="22"/>
          <w:lang w:val="en-US"/>
          <w14:ligatures w14:val="standardContextual"/>
        </w:rPr>
        <w:fldChar w:fldCharType="separate"/>
      </w:r>
      <w:r w:rsidRPr="002F57E0">
        <w:t>1.</w:t>
      </w:r>
      <w:r w:rsidRPr="002F57E0">
        <w:tab/>
        <w:t xml:space="preserve">Hart, S. R. A large-scale isotope anomaly in the Southern Hemisphere mantle. </w:t>
      </w:r>
      <w:r w:rsidRPr="002F57E0">
        <w:rPr>
          <w:i/>
          <w:iCs/>
        </w:rPr>
        <w:t>Nature</w:t>
      </w:r>
      <w:r w:rsidRPr="002F57E0">
        <w:t xml:space="preserve"> </w:t>
      </w:r>
      <w:r w:rsidRPr="002F57E0">
        <w:rPr>
          <w:b/>
          <w:bCs/>
        </w:rPr>
        <w:t>309</w:t>
      </w:r>
      <w:r w:rsidRPr="002F57E0">
        <w:t>, 753–757 (1984).</w:t>
      </w:r>
    </w:p>
    <w:p w14:paraId="38E832F8" w14:textId="0F03BD0A" w:rsidR="001E21EC" w:rsidRPr="00D3763A" w:rsidRDefault="001E21EC" w:rsidP="001E21EC">
      <w:pPr>
        <w:pStyle w:val="ae"/>
        <w:ind w:left="480" w:hangingChars="200" w:hanging="480"/>
      </w:pPr>
      <w:bookmarkStart w:id="1" w:name="_Hlk160653014"/>
      <w:r>
        <w:t>3</w:t>
      </w:r>
      <w:r w:rsidR="00F46F54">
        <w:rPr>
          <w:rFonts w:hint="eastAsia"/>
        </w:rPr>
        <w:t>2</w:t>
      </w:r>
      <w:r w:rsidRPr="002F57E0">
        <w:t>.</w:t>
      </w:r>
      <w:r w:rsidRPr="002F57E0">
        <w:tab/>
        <w:t xml:space="preserve">Belousova, E. A. </w:t>
      </w:r>
      <w:r w:rsidRPr="002F57E0">
        <w:rPr>
          <w:i/>
          <w:iCs/>
        </w:rPr>
        <w:t>et al.</w:t>
      </w:r>
      <w:r w:rsidRPr="002F57E0">
        <w:t xml:space="preserve"> The growth of the continental crust: Constraints from zircon Hf-isotope data. </w:t>
      </w:r>
      <w:r w:rsidRPr="002F57E0">
        <w:rPr>
          <w:i/>
          <w:iCs/>
        </w:rPr>
        <w:t>Lithos</w:t>
      </w:r>
      <w:r w:rsidRPr="002F57E0">
        <w:t xml:space="preserve"> </w:t>
      </w:r>
      <w:r w:rsidRPr="002F57E0">
        <w:rPr>
          <w:b/>
          <w:bCs/>
        </w:rPr>
        <w:t>119</w:t>
      </w:r>
      <w:r w:rsidRPr="002F57E0">
        <w:t>, 457–466 (2010).</w:t>
      </w:r>
      <w:bookmarkEnd w:id="1"/>
    </w:p>
    <w:p w14:paraId="3EF82AA3" w14:textId="6EA90E7B" w:rsidR="001E21EC" w:rsidRPr="002F57E0" w:rsidRDefault="001E21EC" w:rsidP="001E21EC">
      <w:pPr>
        <w:pStyle w:val="ae"/>
        <w:ind w:left="480" w:hangingChars="200" w:hanging="480"/>
      </w:pPr>
      <w:r>
        <w:t>4</w:t>
      </w:r>
      <w:r w:rsidR="00140CE0">
        <w:rPr>
          <w:rFonts w:hint="eastAsia"/>
        </w:rPr>
        <w:t>8</w:t>
      </w:r>
      <w:r w:rsidRPr="002F57E0">
        <w:t>.</w:t>
      </w:r>
      <w:r w:rsidRPr="002F57E0">
        <w:tab/>
      </w:r>
      <w:r w:rsidRPr="00DC7508">
        <w:t xml:space="preserve">Merdith, A. S. </w:t>
      </w:r>
      <w:r w:rsidRPr="00DC7508">
        <w:rPr>
          <w:i/>
          <w:iCs/>
        </w:rPr>
        <w:t>et al.</w:t>
      </w:r>
      <w:r w:rsidRPr="00DC7508">
        <w:t xml:space="preserve"> Extending full-plate tectonic models into deep time: Linking the Neoproterozoic and the Phanerozoic. </w:t>
      </w:r>
      <w:r w:rsidRPr="00DC7508">
        <w:rPr>
          <w:i/>
          <w:iCs/>
        </w:rPr>
        <w:t>Earth-Science Reviews</w:t>
      </w:r>
      <w:r w:rsidRPr="00DC7508">
        <w:t xml:space="preserve"> </w:t>
      </w:r>
      <w:r w:rsidRPr="00DC7508">
        <w:rPr>
          <w:b/>
          <w:bCs/>
        </w:rPr>
        <w:t>214</w:t>
      </w:r>
      <w:r w:rsidRPr="00DC7508">
        <w:t>, 103477 (2021).</w:t>
      </w:r>
    </w:p>
    <w:p w14:paraId="51888130" w14:textId="43F72A86" w:rsidR="001E21EC" w:rsidRPr="002F57E0" w:rsidRDefault="001E21EC" w:rsidP="001E21EC">
      <w:pPr>
        <w:pStyle w:val="ae"/>
        <w:tabs>
          <w:tab w:val="clear" w:pos="264"/>
        </w:tabs>
        <w:ind w:left="480" w:hangingChars="200" w:hanging="480"/>
      </w:pPr>
      <w:bookmarkStart w:id="2" w:name="_Hlk160652980"/>
      <w:r>
        <w:t>4</w:t>
      </w:r>
      <w:r w:rsidR="00140CE0">
        <w:rPr>
          <w:rFonts w:hint="eastAsia"/>
        </w:rPr>
        <w:t>9</w:t>
      </w:r>
      <w:r w:rsidRPr="002F57E0">
        <w:t>.</w:t>
      </w:r>
      <w:r w:rsidRPr="002F57E0">
        <w:tab/>
        <w:t xml:space="preserve">Campbell, I. H. &amp; Allen, C. M. Formation of supercontinents linked to increases in atmospheric oxygen. </w:t>
      </w:r>
      <w:r w:rsidRPr="002F57E0">
        <w:rPr>
          <w:i/>
          <w:iCs/>
        </w:rPr>
        <w:t>Nature Geosci</w:t>
      </w:r>
      <w:r w:rsidRPr="002F57E0">
        <w:t xml:space="preserve"> </w:t>
      </w:r>
      <w:r w:rsidRPr="002F57E0">
        <w:rPr>
          <w:b/>
          <w:bCs/>
        </w:rPr>
        <w:t>1</w:t>
      </w:r>
      <w:r w:rsidRPr="002F57E0">
        <w:t>, 554–558 (2008).</w:t>
      </w:r>
    </w:p>
    <w:bookmarkEnd w:id="2"/>
    <w:p w14:paraId="6F2E1FED" w14:textId="7CD0DD55" w:rsidR="003A5CAA" w:rsidRPr="003A5CAA" w:rsidRDefault="001E21EC" w:rsidP="001E21EC">
      <w:r>
        <w:rPr>
          <w:rFonts w:eastAsia="等线"/>
          <w:kern w:val="2"/>
          <w:szCs w:val="22"/>
          <w:lang w:val="en-US"/>
          <w14:ligatures w14:val="standardContextual"/>
        </w:rPr>
        <w:fldChar w:fldCharType="end"/>
      </w:r>
    </w:p>
    <w:sectPr w:rsidR="003A5CAA" w:rsidRPr="003A5CAA" w:rsidSect="009241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CBE3C9" w14:textId="77777777" w:rsidR="00924114" w:rsidRDefault="00924114" w:rsidP="00107A4C">
      <w:pPr>
        <w:spacing w:after="0" w:line="240" w:lineRule="auto"/>
      </w:pPr>
      <w:r>
        <w:separator/>
      </w:r>
    </w:p>
  </w:endnote>
  <w:endnote w:type="continuationSeparator" w:id="0">
    <w:p w14:paraId="098BF30B" w14:textId="77777777" w:rsidR="00924114" w:rsidRDefault="00924114" w:rsidP="00107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ongti SC">
    <w:altName w:val="微软雅黑"/>
    <w:charset w:val="86"/>
    <w:family w:val="auto"/>
    <w:pitch w:val="variable"/>
    <w:sig w:usb0="00000287" w:usb1="080F0000" w:usb2="00000010" w:usb3="00000000" w:csb0="0004009F" w:csb1="00000000"/>
  </w:font>
  <w:font w:name="Heiti SC Light">
    <w:altName w:val="Yu Gothic"/>
    <w:charset w:val="80"/>
    <w:family w:val="auto"/>
    <w:pitch w:val="variable"/>
    <w:sig w:usb0="8000002F" w:usb1="0807004A" w:usb2="00000010" w:usb3="00000000" w:csb0="003E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EBD6E7" w14:textId="77777777" w:rsidR="00924114" w:rsidRDefault="00924114" w:rsidP="00107A4C">
      <w:pPr>
        <w:spacing w:after="0" w:line="240" w:lineRule="auto"/>
      </w:pPr>
      <w:r>
        <w:separator/>
      </w:r>
    </w:p>
  </w:footnote>
  <w:footnote w:type="continuationSeparator" w:id="0">
    <w:p w14:paraId="7B15F256" w14:textId="77777777" w:rsidR="00924114" w:rsidRDefault="00924114" w:rsidP="00107A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50581E"/>
    <w:multiLevelType w:val="hybridMultilevel"/>
    <w:tmpl w:val="02F6DA62"/>
    <w:lvl w:ilvl="0" w:tplc="8C2AAE58">
      <w:start w:val="1"/>
      <w:numFmt w:val="decimal"/>
      <w:lvlText w:val="%1."/>
      <w:lvlJc w:val="left"/>
      <w:pPr>
        <w:ind w:left="600" w:hanging="360"/>
      </w:pPr>
      <w:rPr>
        <w:rFonts w:hint="default"/>
        <w:w w:val="100"/>
      </w:rPr>
    </w:lvl>
    <w:lvl w:ilvl="1" w:tplc="010C6336" w:tentative="1">
      <w:start w:val="1"/>
      <w:numFmt w:val="lowerLetter"/>
      <w:lvlText w:val="%2)"/>
      <w:lvlJc w:val="left"/>
      <w:pPr>
        <w:ind w:left="1080" w:hanging="420"/>
      </w:pPr>
    </w:lvl>
    <w:lvl w:ilvl="2" w:tplc="6E10F7F0" w:tentative="1">
      <w:start w:val="1"/>
      <w:numFmt w:val="lowerRoman"/>
      <w:lvlText w:val="%3."/>
      <w:lvlJc w:val="right"/>
      <w:pPr>
        <w:ind w:left="1500" w:hanging="420"/>
      </w:pPr>
    </w:lvl>
    <w:lvl w:ilvl="3" w:tplc="6684672C" w:tentative="1">
      <w:start w:val="1"/>
      <w:numFmt w:val="decimal"/>
      <w:lvlText w:val="%4."/>
      <w:lvlJc w:val="left"/>
      <w:pPr>
        <w:ind w:left="1920" w:hanging="420"/>
      </w:pPr>
    </w:lvl>
    <w:lvl w:ilvl="4" w:tplc="9B766342" w:tentative="1">
      <w:start w:val="1"/>
      <w:numFmt w:val="lowerLetter"/>
      <w:lvlText w:val="%5)"/>
      <w:lvlJc w:val="left"/>
      <w:pPr>
        <w:ind w:left="2340" w:hanging="420"/>
      </w:pPr>
    </w:lvl>
    <w:lvl w:ilvl="5" w:tplc="5944F858" w:tentative="1">
      <w:start w:val="1"/>
      <w:numFmt w:val="lowerRoman"/>
      <w:lvlText w:val="%6."/>
      <w:lvlJc w:val="right"/>
      <w:pPr>
        <w:ind w:left="2760" w:hanging="420"/>
      </w:pPr>
    </w:lvl>
    <w:lvl w:ilvl="6" w:tplc="12129C82" w:tentative="1">
      <w:start w:val="1"/>
      <w:numFmt w:val="decimal"/>
      <w:lvlText w:val="%7."/>
      <w:lvlJc w:val="left"/>
      <w:pPr>
        <w:ind w:left="3180" w:hanging="420"/>
      </w:pPr>
    </w:lvl>
    <w:lvl w:ilvl="7" w:tplc="AD365CF2" w:tentative="1">
      <w:start w:val="1"/>
      <w:numFmt w:val="lowerLetter"/>
      <w:lvlText w:val="%8)"/>
      <w:lvlJc w:val="left"/>
      <w:pPr>
        <w:ind w:left="3600" w:hanging="420"/>
      </w:pPr>
    </w:lvl>
    <w:lvl w:ilvl="8" w:tplc="434AD464" w:tentative="1">
      <w:start w:val="1"/>
      <w:numFmt w:val="lowerRoman"/>
      <w:lvlText w:val="%9."/>
      <w:lvlJc w:val="right"/>
      <w:pPr>
        <w:ind w:left="4020" w:hanging="420"/>
      </w:pPr>
    </w:lvl>
  </w:abstractNum>
  <w:num w:numId="1" w16cid:durableId="1221401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AEF"/>
    <w:rsid w:val="000044C0"/>
    <w:rsid w:val="00011D53"/>
    <w:rsid w:val="00012373"/>
    <w:rsid w:val="000138CF"/>
    <w:rsid w:val="000179D7"/>
    <w:rsid w:val="000223C4"/>
    <w:rsid w:val="000227C9"/>
    <w:rsid w:val="00026E73"/>
    <w:rsid w:val="0003728C"/>
    <w:rsid w:val="00040975"/>
    <w:rsid w:val="00040977"/>
    <w:rsid w:val="00040995"/>
    <w:rsid w:val="00041B3B"/>
    <w:rsid w:val="000430B9"/>
    <w:rsid w:val="00043ACA"/>
    <w:rsid w:val="000447B3"/>
    <w:rsid w:val="000473E3"/>
    <w:rsid w:val="00050500"/>
    <w:rsid w:val="000508F5"/>
    <w:rsid w:val="00056B9F"/>
    <w:rsid w:val="00057158"/>
    <w:rsid w:val="00060A45"/>
    <w:rsid w:val="0006460D"/>
    <w:rsid w:val="00066492"/>
    <w:rsid w:val="0006757F"/>
    <w:rsid w:val="0007477D"/>
    <w:rsid w:val="00077F05"/>
    <w:rsid w:val="00082D50"/>
    <w:rsid w:val="0009150A"/>
    <w:rsid w:val="00091E74"/>
    <w:rsid w:val="0009567D"/>
    <w:rsid w:val="000960F0"/>
    <w:rsid w:val="000A13C5"/>
    <w:rsid w:val="000A425E"/>
    <w:rsid w:val="000A46A0"/>
    <w:rsid w:val="000B1112"/>
    <w:rsid w:val="000B2DBA"/>
    <w:rsid w:val="000B6C99"/>
    <w:rsid w:val="000B730C"/>
    <w:rsid w:val="000B7D01"/>
    <w:rsid w:val="000C004A"/>
    <w:rsid w:val="000C01B4"/>
    <w:rsid w:val="000C0C43"/>
    <w:rsid w:val="000C1C97"/>
    <w:rsid w:val="000C3157"/>
    <w:rsid w:val="000C6A3E"/>
    <w:rsid w:val="000D02E2"/>
    <w:rsid w:val="000D1299"/>
    <w:rsid w:val="000D480A"/>
    <w:rsid w:val="000E57F3"/>
    <w:rsid w:val="000E62CF"/>
    <w:rsid w:val="000F144E"/>
    <w:rsid w:val="000F1969"/>
    <w:rsid w:val="000F2145"/>
    <w:rsid w:val="000F4566"/>
    <w:rsid w:val="000F462D"/>
    <w:rsid w:val="000F525C"/>
    <w:rsid w:val="001007F4"/>
    <w:rsid w:val="00100D10"/>
    <w:rsid w:val="00101DD4"/>
    <w:rsid w:val="00106B0B"/>
    <w:rsid w:val="00107A4C"/>
    <w:rsid w:val="00112B3B"/>
    <w:rsid w:val="00114AAE"/>
    <w:rsid w:val="001179F2"/>
    <w:rsid w:val="001222CC"/>
    <w:rsid w:val="00127B11"/>
    <w:rsid w:val="001309CF"/>
    <w:rsid w:val="00130A66"/>
    <w:rsid w:val="00131810"/>
    <w:rsid w:val="00131EBE"/>
    <w:rsid w:val="00132312"/>
    <w:rsid w:val="001334F5"/>
    <w:rsid w:val="001359A9"/>
    <w:rsid w:val="00137A80"/>
    <w:rsid w:val="00140CE0"/>
    <w:rsid w:val="00140DDA"/>
    <w:rsid w:val="00143254"/>
    <w:rsid w:val="001432B8"/>
    <w:rsid w:val="00143E67"/>
    <w:rsid w:val="00145F04"/>
    <w:rsid w:val="00147438"/>
    <w:rsid w:val="00147DC2"/>
    <w:rsid w:val="0015298B"/>
    <w:rsid w:val="00152A62"/>
    <w:rsid w:val="0015308F"/>
    <w:rsid w:val="00155DCF"/>
    <w:rsid w:val="001608E4"/>
    <w:rsid w:val="00161236"/>
    <w:rsid w:val="001625FF"/>
    <w:rsid w:val="001647BF"/>
    <w:rsid w:val="0016511A"/>
    <w:rsid w:val="001665FF"/>
    <w:rsid w:val="00171B99"/>
    <w:rsid w:val="0017492E"/>
    <w:rsid w:val="00175491"/>
    <w:rsid w:val="00175F9D"/>
    <w:rsid w:val="00177478"/>
    <w:rsid w:val="0018299D"/>
    <w:rsid w:val="00187710"/>
    <w:rsid w:val="0019426A"/>
    <w:rsid w:val="00194EA9"/>
    <w:rsid w:val="0019792F"/>
    <w:rsid w:val="001A15AF"/>
    <w:rsid w:val="001A3732"/>
    <w:rsid w:val="001A64C9"/>
    <w:rsid w:val="001A6E9F"/>
    <w:rsid w:val="001A7AC4"/>
    <w:rsid w:val="001A7B1A"/>
    <w:rsid w:val="001A7F81"/>
    <w:rsid w:val="001B5E7C"/>
    <w:rsid w:val="001B7AC8"/>
    <w:rsid w:val="001C0CB2"/>
    <w:rsid w:val="001C1223"/>
    <w:rsid w:val="001C12B7"/>
    <w:rsid w:val="001C376B"/>
    <w:rsid w:val="001C62D2"/>
    <w:rsid w:val="001C74EF"/>
    <w:rsid w:val="001C7A0F"/>
    <w:rsid w:val="001D0190"/>
    <w:rsid w:val="001D1241"/>
    <w:rsid w:val="001E21EC"/>
    <w:rsid w:val="001E5479"/>
    <w:rsid w:val="001E720C"/>
    <w:rsid w:val="001F2224"/>
    <w:rsid w:val="001F478A"/>
    <w:rsid w:val="001F766C"/>
    <w:rsid w:val="002001C6"/>
    <w:rsid w:val="002028D1"/>
    <w:rsid w:val="00204213"/>
    <w:rsid w:val="002062EF"/>
    <w:rsid w:val="002110A9"/>
    <w:rsid w:val="002174AC"/>
    <w:rsid w:val="00220C2D"/>
    <w:rsid w:val="00231100"/>
    <w:rsid w:val="002323FC"/>
    <w:rsid w:val="00232BD8"/>
    <w:rsid w:val="002332AC"/>
    <w:rsid w:val="0024019D"/>
    <w:rsid w:val="00240819"/>
    <w:rsid w:val="002413C0"/>
    <w:rsid w:val="00243CDA"/>
    <w:rsid w:val="002461F9"/>
    <w:rsid w:val="00246CBC"/>
    <w:rsid w:val="00246E31"/>
    <w:rsid w:val="002479BB"/>
    <w:rsid w:val="0025128A"/>
    <w:rsid w:val="00252D1C"/>
    <w:rsid w:val="00254186"/>
    <w:rsid w:val="00264371"/>
    <w:rsid w:val="00266DBF"/>
    <w:rsid w:val="00270587"/>
    <w:rsid w:val="00270D7B"/>
    <w:rsid w:val="00271CBE"/>
    <w:rsid w:val="0027454C"/>
    <w:rsid w:val="00280BAE"/>
    <w:rsid w:val="00283A6A"/>
    <w:rsid w:val="00283B02"/>
    <w:rsid w:val="002928B2"/>
    <w:rsid w:val="00292AED"/>
    <w:rsid w:val="00293235"/>
    <w:rsid w:val="002961AF"/>
    <w:rsid w:val="002967B3"/>
    <w:rsid w:val="002A2F85"/>
    <w:rsid w:val="002A6F57"/>
    <w:rsid w:val="002B05BF"/>
    <w:rsid w:val="002B1D1A"/>
    <w:rsid w:val="002B4678"/>
    <w:rsid w:val="002B5F4C"/>
    <w:rsid w:val="002C3A06"/>
    <w:rsid w:val="002C4B7D"/>
    <w:rsid w:val="002C4C3C"/>
    <w:rsid w:val="002C5779"/>
    <w:rsid w:val="002C57F7"/>
    <w:rsid w:val="002C6D5F"/>
    <w:rsid w:val="002D0994"/>
    <w:rsid w:val="002D17C5"/>
    <w:rsid w:val="002E24D4"/>
    <w:rsid w:val="002E36F4"/>
    <w:rsid w:val="002E57A7"/>
    <w:rsid w:val="002E7277"/>
    <w:rsid w:val="002F058C"/>
    <w:rsid w:val="002F2E3D"/>
    <w:rsid w:val="002F33C1"/>
    <w:rsid w:val="002F720E"/>
    <w:rsid w:val="00304184"/>
    <w:rsid w:val="003045C5"/>
    <w:rsid w:val="003049D0"/>
    <w:rsid w:val="003053D8"/>
    <w:rsid w:val="00310EDB"/>
    <w:rsid w:val="003137E3"/>
    <w:rsid w:val="00314DDC"/>
    <w:rsid w:val="00315E33"/>
    <w:rsid w:val="0031652B"/>
    <w:rsid w:val="00322D2F"/>
    <w:rsid w:val="00323B6F"/>
    <w:rsid w:val="00330798"/>
    <w:rsid w:val="00334803"/>
    <w:rsid w:val="003379E9"/>
    <w:rsid w:val="0034083F"/>
    <w:rsid w:val="00340EA7"/>
    <w:rsid w:val="00342DAD"/>
    <w:rsid w:val="00344B3F"/>
    <w:rsid w:val="00347886"/>
    <w:rsid w:val="00353854"/>
    <w:rsid w:val="0035554A"/>
    <w:rsid w:val="00357F54"/>
    <w:rsid w:val="00362497"/>
    <w:rsid w:val="003638B0"/>
    <w:rsid w:val="00364C21"/>
    <w:rsid w:val="00365780"/>
    <w:rsid w:val="00365E16"/>
    <w:rsid w:val="003727D7"/>
    <w:rsid w:val="00372C38"/>
    <w:rsid w:val="003767F4"/>
    <w:rsid w:val="0038098E"/>
    <w:rsid w:val="00385D47"/>
    <w:rsid w:val="003879BD"/>
    <w:rsid w:val="0039303D"/>
    <w:rsid w:val="003950AA"/>
    <w:rsid w:val="00397A6E"/>
    <w:rsid w:val="00397E19"/>
    <w:rsid w:val="00397F53"/>
    <w:rsid w:val="003A25F6"/>
    <w:rsid w:val="003A32F5"/>
    <w:rsid w:val="003A5648"/>
    <w:rsid w:val="003A5CAA"/>
    <w:rsid w:val="003A7F20"/>
    <w:rsid w:val="003B1D45"/>
    <w:rsid w:val="003B5685"/>
    <w:rsid w:val="003C20E6"/>
    <w:rsid w:val="003C637E"/>
    <w:rsid w:val="003D13C4"/>
    <w:rsid w:val="003D21C2"/>
    <w:rsid w:val="003D487A"/>
    <w:rsid w:val="003D7A91"/>
    <w:rsid w:val="003F5430"/>
    <w:rsid w:val="003F6F31"/>
    <w:rsid w:val="0041117C"/>
    <w:rsid w:val="004116D7"/>
    <w:rsid w:val="0041365A"/>
    <w:rsid w:val="00413ECA"/>
    <w:rsid w:val="00414233"/>
    <w:rsid w:val="00417AAE"/>
    <w:rsid w:val="00421D2E"/>
    <w:rsid w:val="0042410A"/>
    <w:rsid w:val="00427257"/>
    <w:rsid w:val="00431528"/>
    <w:rsid w:val="004327BE"/>
    <w:rsid w:val="00436A57"/>
    <w:rsid w:val="00440311"/>
    <w:rsid w:val="00442AFD"/>
    <w:rsid w:val="00445A57"/>
    <w:rsid w:val="0045143E"/>
    <w:rsid w:val="00453352"/>
    <w:rsid w:val="00453843"/>
    <w:rsid w:val="00460104"/>
    <w:rsid w:val="004619D5"/>
    <w:rsid w:val="00461E9D"/>
    <w:rsid w:val="00465CF2"/>
    <w:rsid w:val="00467125"/>
    <w:rsid w:val="004675B7"/>
    <w:rsid w:val="0047335E"/>
    <w:rsid w:val="00474C49"/>
    <w:rsid w:val="004778F9"/>
    <w:rsid w:val="00480A04"/>
    <w:rsid w:val="00482195"/>
    <w:rsid w:val="00484A31"/>
    <w:rsid w:val="00484DFC"/>
    <w:rsid w:val="00484FB4"/>
    <w:rsid w:val="00487348"/>
    <w:rsid w:val="00491577"/>
    <w:rsid w:val="0049244E"/>
    <w:rsid w:val="00493CD9"/>
    <w:rsid w:val="00495C06"/>
    <w:rsid w:val="00496233"/>
    <w:rsid w:val="004962C9"/>
    <w:rsid w:val="00496A7F"/>
    <w:rsid w:val="004A4A1C"/>
    <w:rsid w:val="004A6D70"/>
    <w:rsid w:val="004A6E04"/>
    <w:rsid w:val="004B139A"/>
    <w:rsid w:val="004B27B5"/>
    <w:rsid w:val="004B3DEF"/>
    <w:rsid w:val="004B4D57"/>
    <w:rsid w:val="004B5C2F"/>
    <w:rsid w:val="004C0909"/>
    <w:rsid w:val="004C21B3"/>
    <w:rsid w:val="004C2952"/>
    <w:rsid w:val="004C5FCE"/>
    <w:rsid w:val="004C7738"/>
    <w:rsid w:val="004D0FD5"/>
    <w:rsid w:val="004D1332"/>
    <w:rsid w:val="004D4ECB"/>
    <w:rsid w:val="004E26DE"/>
    <w:rsid w:val="004E3C65"/>
    <w:rsid w:val="004F1003"/>
    <w:rsid w:val="004F3248"/>
    <w:rsid w:val="004F3F0C"/>
    <w:rsid w:val="00501885"/>
    <w:rsid w:val="00502006"/>
    <w:rsid w:val="0050434E"/>
    <w:rsid w:val="0050711B"/>
    <w:rsid w:val="0051578C"/>
    <w:rsid w:val="005176DB"/>
    <w:rsid w:val="005217D6"/>
    <w:rsid w:val="00521CEF"/>
    <w:rsid w:val="00527E3D"/>
    <w:rsid w:val="00530FC7"/>
    <w:rsid w:val="00532CD8"/>
    <w:rsid w:val="0053591A"/>
    <w:rsid w:val="00536371"/>
    <w:rsid w:val="005372D8"/>
    <w:rsid w:val="00540EDF"/>
    <w:rsid w:val="005419FE"/>
    <w:rsid w:val="0054247D"/>
    <w:rsid w:val="00543372"/>
    <w:rsid w:val="00550E27"/>
    <w:rsid w:val="00554840"/>
    <w:rsid w:val="00554B1A"/>
    <w:rsid w:val="005628FF"/>
    <w:rsid w:val="00567E13"/>
    <w:rsid w:val="005719A4"/>
    <w:rsid w:val="0057438F"/>
    <w:rsid w:val="0057483E"/>
    <w:rsid w:val="00582922"/>
    <w:rsid w:val="00585198"/>
    <w:rsid w:val="00585E9C"/>
    <w:rsid w:val="005900E9"/>
    <w:rsid w:val="00590440"/>
    <w:rsid w:val="005919A6"/>
    <w:rsid w:val="00595496"/>
    <w:rsid w:val="005965A6"/>
    <w:rsid w:val="00597E15"/>
    <w:rsid w:val="005A597C"/>
    <w:rsid w:val="005B15AB"/>
    <w:rsid w:val="005B6418"/>
    <w:rsid w:val="005C294B"/>
    <w:rsid w:val="005C542E"/>
    <w:rsid w:val="005C55EE"/>
    <w:rsid w:val="005C6FE2"/>
    <w:rsid w:val="005C7FD1"/>
    <w:rsid w:val="005D0C92"/>
    <w:rsid w:val="005D4EBF"/>
    <w:rsid w:val="005D500D"/>
    <w:rsid w:val="005D5A77"/>
    <w:rsid w:val="005D6DAA"/>
    <w:rsid w:val="005E07BB"/>
    <w:rsid w:val="005E4986"/>
    <w:rsid w:val="005E7270"/>
    <w:rsid w:val="005E7579"/>
    <w:rsid w:val="005E7931"/>
    <w:rsid w:val="005F1A7D"/>
    <w:rsid w:val="005F4AD2"/>
    <w:rsid w:val="005F5905"/>
    <w:rsid w:val="005F7293"/>
    <w:rsid w:val="00601B51"/>
    <w:rsid w:val="0060432D"/>
    <w:rsid w:val="006044BF"/>
    <w:rsid w:val="006055BC"/>
    <w:rsid w:val="006078E6"/>
    <w:rsid w:val="00607CFC"/>
    <w:rsid w:val="006108F6"/>
    <w:rsid w:val="00610C5B"/>
    <w:rsid w:val="0061152D"/>
    <w:rsid w:val="00613AA2"/>
    <w:rsid w:val="006168D0"/>
    <w:rsid w:val="00624859"/>
    <w:rsid w:val="00627229"/>
    <w:rsid w:val="006304F3"/>
    <w:rsid w:val="00633D2F"/>
    <w:rsid w:val="0063485F"/>
    <w:rsid w:val="00635F03"/>
    <w:rsid w:val="006366B5"/>
    <w:rsid w:val="00636B91"/>
    <w:rsid w:val="006401E9"/>
    <w:rsid w:val="0064611F"/>
    <w:rsid w:val="006479BF"/>
    <w:rsid w:val="00647AB0"/>
    <w:rsid w:val="0065427C"/>
    <w:rsid w:val="00663FA1"/>
    <w:rsid w:val="006675B3"/>
    <w:rsid w:val="00671A5D"/>
    <w:rsid w:val="00681F22"/>
    <w:rsid w:val="006848C9"/>
    <w:rsid w:val="00691643"/>
    <w:rsid w:val="006A34D5"/>
    <w:rsid w:val="006A4DEC"/>
    <w:rsid w:val="006A503B"/>
    <w:rsid w:val="006A64C8"/>
    <w:rsid w:val="006A6A19"/>
    <w:rsid w:val="006A7842"/>
    <w:rsid w:val="006A7BE2"/>
    <w:rsid w:val="006B54E6"/>
    <w:rsid w:val="006B6C75"/>
    <w:rsid w:val="006B7B9E"/>
    <w:rsid w:val="006B7EC2"/>
    <w:rsid w:val="006C3641"/>
    <w:rsid w:val="006C4897"/>
    <w:rsid w:val="006D30AC"/>
    <w:rsid w:val="006D6CFE"/>
    <w:rsid w:val="006D7675"/>
    <w:rsid w:val="006E21DA"/>
    <w:rsid w:val="006E68BC"/>
    <w:rsid w:val="006E794E"/>
    <w:rsid w:val="006F1389"/>
    <w:rsid w:val="006F18B6"/>
    <w:rsid w:val="006F1AFF"/>
    <w:rsid w:val="006F4D0B"/>
    <w:rsid w:val="006F6FD2"/>
    <w:rsid w:val="007008AE"/>
    <w:rsid w:val="00701D52"/>
    <w:rsid w:val="007104E1"/>
    <w:rsid w:val="00711A14"/>
    <w:rsid w:val="0071433F"/>
    <w:rsid w:val="007164AE"/>
    <w:rsid w:val="00716C8F"/>
    <w:rsid w:val="00720969"/>
    <w:rsid w:val="00721BC1"/>
    <w:rsid w:val="00721FEC"/>
    <w:rsid w:val="00724D91"/>
    <w:rsid w:val="00726081"/>
    <w:rsid w:val="0072713D"/>
    <w:rsid w:val="00727B25"/>
    <w:rsid w:val="00732089"/>
    <w:rsid w:val="00732AEF"/>
    <w:rsid w:val="00732B43"/>
    <w:rsid w:val="00735B84"/>
    <w:rsid w:val="0073683A"/>
    <w:rsid w:val="007427D8"/>
    <w:rsid w:val="007436D2"/>
    <w:rsid w:val="00751784"/>
    <w:rsid w:val="00752A1A"/>
    <w:rsid w:val="007532D3"/>
    <w:rsid w:val="0075509B"/>
    <w:rsid w:val="007631B9"/>
    <w:rsid w:val="00763B6F"/>
    <w:rsid w:val="00764561"/>
    <w:rsid w:val="007661F4"/>
    <w:rsid w:val="007668F2"/>
    <w:rsid w:val="00770744"/>
    <w:rsid w:val="0077098A"/>
    <w:rsid w:val="007709B5"/>
    <w:rsid w:val="00771FF6"/>
    <w:rsid w:val="00772824"/>
    <w:rsid w:val="00775867"/>
    <w:rsid w:val="007830BA"/>
    <w:rsid w:val="0078526B"/>
    <w:rsid w:val="007926DE"/>
    <w:rsid w:val="0079399F"/>
    <w:rsid w:val="00797234"/>
    <w:rsid w:val="007A0E56"/>
    <w:rsid w:val="007A394F"/>
    <w:rsid w:val="007A4265"/>
    <w:rsid w:val="007A6FD3"/>
    <w:rsid w:val="007A7461"/>
    <w:rsid w:val="007B0F32"/>
    <w:rsid w:val="007B26DE"/>
    <w:rsid w:val="007B302A"/>
    <w:rsid w:val="007B41A8"/>
    <w:rsid w:val="007B7BA6"/>
    <w:rsid w:val="007B7DC8"/>
    <w:rsid w:val="007C062A"/>
    <w:rsid w:val="007C1EC5"/>
    <w:rsid w:val="007C27EC"/>
    <w:rsid w:val="007C3B61"/>
    <w:rsid w:val="007C5A19"/>
    <w:rsid w:val="007C5F49"/>
    <w:rsid w:val="007D06CE"/>
    <w:rsid w:val="007D1308"/>
    <w:rsid w:val="007D53BC"/>
    <w:rsid w:val="007E14D1"/>
    <w:rsid w:val="007E24B7"/>
    <w:rsid w:val="007E280A"/>
    <w:rsid w:val="007E4766"/>
    <w:rsid w:val="007F1B3C"/>
    <w:rsid w:val="007F57D9"/>
    <w:rsid w:val="007F5E29"/>
    <w:rsid w:val="007F660C"/>
    <w:rsid w:val="008014BA"/>
    <w:rsid w:val="0080441B"/>
    <w:rsid w:val="00805146"/>
    <w:rsid w:val="008069E3"/>
    <w:rsid w:val="00807A1F"/>
    <w:rsid w:val="00812731"/>
    <w:rsid w:val="00812C3F"/>
    <w:rsid w:val="00812E27"/>
    <w:rsid w:val="008138A8"/>
    <w:rsid w:val="00823BC2"/>
    <w:rsid w:val="0082424B"/>
    <w:rsid w:val="00825B01"/>
    <w:rsid w:val="00826FCE"/>
    <w:rsid w:val="0082706A"/>
    <w:rsid w:val="008324FC"/>
    <w:rsid w:val="00833F17"/>
    <w:rsid w:val="0083484F"/>
    <w:rsid w:val="00834D18"/>
    <w:rsid w:val="0083656C"/>
    <w:rsid w:val="00836856"/>
    <w:rsid w:val="00837C61"/>
    <w:rsid w:val="008405B8"/>
    <w:rsid w:val="0084122F"/>
    <w:rsid w:val="008427ED"/>
    <w:rsid w:val="00843684"/>
    <w:rsid w:val="00845EE6"/>
    <w:rsid w:val="00846C61"/>
    <w:rsid w:val="008534CF"/>
    <w:rsid w:val="00853F0D"/>
    <w:rsid w:val="00855C7E"/>
    <w:rsid w:val="0085670A"/>
    <w:rsid w:val="00856916"/>
    <w:rsid w:val="0085735A"/>
    <w:rsid w:val="0085771A"/>
    <w:rsid w:val="00857BE1"/>
    <w:rsid w:val="0086103F"/>
    <w:rsid w:val="00861FDA"/>
    <w:rsid w:val="008637BF"/>
    <w:rsid w:val="0086457C"/>
    <w:rsid w:val="0086499C"/>
    <w:rsid w:val="0086742B"/>
    <w:rsid w:val="008740B5"/>
    <w:rsid w:val="008743C3"/>
    <w:rsid w:val="008761C3"/>
    <w:rsid w:val="00876E2C"/>
    <w:rsid w:val="00877FC1"/>
    <w:rsid w:val="00880183"/>
    <w:rsid w:val="00883BBA"/>
    <w:rsid w:val="008858D2"/>
    <w:rsid w:val="0089191D"/>
    <w:rsid w:val="00892A0C"/>
    <w:rsid w:val="008957CB"/>
    <w:rsid w:val="008A1198"/>
    <w:rsid w:val="008A2B79"/>
    <w:rsid w:val="008A30BD"/>
    <w:rsid w:val="008A43E5"/>
    <w:rsid w:val="008A621C"/>
    <w:rsid w:val="008A7116"/>
    <w:rsid w:val="008B130F"/>
    <w:rsid w:val="008B2566"/>
    <w:rsid w:val="008B49CC"/>
    <w:rsid w:val="008B56E7"/>
    <w:rsid w:val="008B6CE0"/>
    <w:rsid w:val="008B70BC"/>
    <w:rsid w:val="008C3AA8"/>
    <w:rsid w:val="008C40A7"/>
    <w:rsid w:val="008C6677"/>
    <w:rsid w:val="008D590B"/>
    <w:rsid w:val="008D6E59"/>
    <w:rsid w:val="008D72D3"/>
    <w:rsid w:val="008E08C7"/>
    <w:rsid w:val="008E2917"/>
    <w:rsid w:val="008E2CE3"/>
    <w:rsid w:val="008E3D07"/>
    <w:rsid w:val="008E4AEF"/>
    <w:rsid w:val="009002BF"/>
    <w:rsid w:val="0090290F"/>
    <w:rsid w:val="00902973"/>
    <w:rsid w:val="00903010"/>
    <w:rsid w:val="00903E38"/>
    <w:rsid w:val="00907B0B"/>
    <w:rsid w:val="009132A6"/>
    <w:rsid w:val="00915642"/>
    <w:rsid w:val="00915666"/>
    <w:rsid w:val="00916B7A"/>
    <w:rsid w:val="00922A17"/>
    <w:rsid w:val="00923565"/>
    <w:rsid w:val="00924114"/>
    <w:rsid w:val="00931E90"/>
    <w:rsid w:val="009373F7"/>
    <w:rsid w:val="009374A3"/>
    <w:rsid w:val="0094001E"/>
    <w:rsid w:val="00950A29"/>
    <w:rsid w:val="009536F7"/>
    <w:rsid w:val="00953D0D"/>
    <w:rsid w:val="0096284F"/>
    <w:rsid w:val="00963373"/>
    <w:rsid w:val="009703B5"/>
    <w:rsid w:val="00970A4D"/>
    <w:rsid w:val="00970C61"/>
    <w:rsid w:val="00970DC6"/>
    <w:rsid w:val="0097190B"/>
    <w:rsid w:val="00971C30"/>
    <w:rsid w:val="009734F5"/>
    <w:rsid w:val="00974E81"/>
    <w:rsid w:val="00975FD8"/>
    <w:rsid w:val="009817C1"/>
    <w:rsid w:val="009831A5"/>
    <w:rsid w:val="00983AEC"/>
    <w:rsid w:val="00985978"/>
    <w:rsid w:val="0098706F"/>
    <w:rsid w:val="0099107B"/>
    <w:rsid w:val="00992793"/>
    <w:rsid w:val="00994687"/>
    <w:rsid w:val="009A04A7"/>
    <w:rsid w:val="009A483C"/>
    <w:rsid w:val="009A68B6"/>
    <w:rsid w:val="009B1D87"/>
    <w:rsid w:val="009B77F6"/>
    <w:rsid w:val="009C1094"/>
    <w:rsid w:val="009C2250"/>
    <w:rsid w:val="009C3A92"/>
    <w:rsid w:val="009D2612"/>
    <w:rsid w:val="009D2FA2"/>
    <w:rsid w:val="009D6285"/>
    <w:rsid w:val="009D7BB9"/>
    <w:rsid w:val="009D7BF3"/>
    <w:rsid w:val="009D7EBA"/>
    <w:rsid w:val="009E3E42"/>
    <w:rsid w:val="009E4AC5"/>
    <w:rsid w:val="009E551D"/>
    <w:rsid w:val="009E60C6"/>
    <w:rsid w:val="009E6196"/>
    <w:rsid w:val="009F2F3D"/>
    <w:rsid w:val="009F4D32"/>
    <w:rsid w:val="009F52EE"/>
    <w:rsid w:val="009F538E"/>
    <w:rsid w:val="009F7F84"/>
    <w:rsid w:val="00A0080D"/>
    <w:rsid w:val="00A063F2"/>
    <w:rsid w:val="00A12899"/>
    <w:rsid w:val="00A13D9F"/>
    <w:rsid w:val="00A14C58"/>
    <w:rsid w:val="00A152BA"/>
    <w:rsid w:val="00A165B6"/>
    <w:rsid w:val="00A207DF"/>
    <w:rsid w:val="00A2297F"/>
    <w:rsid w:val="00A22AD2"/>
    <w:rsid w:val="00A23041"/>
    <w:rsid w:val="00A2412F"/>
    <w:rsid w:val="00A30E97"/>
    <w:rsid w:val="00A311C9"/>
    <w:rsid w:val="00A3134B"/>
    <w:rsid w:val="00A339FE"/>
    <w:rsid w:val="00A355EF"/>
    <w:rsid w:val="00A4159C"/>
    <w:rsid w:val="00A41C80"/>
    <w:rsid w:val="00A4287E"/>
    <w:rsid w:val="00A4519B"/>
    <w:rsid w:val="00A452B0"/>
    <w:rsid w:val="00A45F20"/>
    <w:rsid w:val="00A55CEC"/>
    <w:rsid w:val="00A574CA"/>
    <w:rsid w:val="00A60117"/>
    <w:rsid w:val="00A62C5C"/>
    <w:rsid w:val="00A65AC4"/>
    <w:rsid w:val="00A65F19"/>
    <w:rsid w:val="00A67FF4"/>
    <w:rsid w:val="00A71E2D"/>
    <w:rsid w:val="00A75B09"/>
    <w:rsid w:val="00A77E4C"/>
    <w:rsid w:val="00A800AA"/>
    <w:rsid w:val="00A82CF1"/>
    <w:rsid w:val="00A85E7C"/>
    <w:rsid w:val="00A867F7"/>
    <w:rsid w:val="00A870CD"/>
    <w:rsid w:val="00A93F59"/>
    <w:rsid w:val="00A9568E"/>
    <w:rsid w:val="00A97E0C"/>
    <w:rsid w:val="00AA070F"/>
    <w:rsid w:val="00AA2CFC"/>
    <w:rsid w:val="00AA3A10"/>
    <w:rsid w:val="00AB745C"/>
    <w:rsid w:val="00AC315B"/>
    <w:rsid w:val="00AC43F5"/>
    <w:rsid w:val="00AC56E4"/>
    <w:rsid w:val="00AD34F9"/>
    <w:rsid w:val="00AD4902"/>
    <w:rsid w:val="00AD5D1C"/>
    <w:rsid w:val="00AE205D"/>
    <w:rsid w:val="00AE242A"/>
    <w:rsid w:val="00AE39F9"/>
    <w:rsid w:val="00AE4C4F"/>
    <w:rsid w:val="00AE6676"/>
    <w:rsid w:val="00AF17C2"/>
    <w:rsid w:val="00AF1C48"/>
    <w:rsid w:val="00AF29CB"/>
    <w:rsid w:val="00AF2E40"/>
    <w:rsid w:val="00AF4E7F"/>
    <w:rsid w:val="00AF71DB"/>
    <w:rsid w:val="00AF74BC"/>
    <w:rsid w:val="00B01C04"/>
    <w:rsid w:val="00B053F9"/>
    <w:rsid w:val="00B059E2"/>
    <w:rsid w:val="00B0665B"/>
    <w:rsid w:val="00B0697C"/>
    <w:rsid w:val="00B104EB"/>
    <w:rsid w:val="00B1092C"/>
    <w:rsid w:val="00B13EA5"/>
    <w:rsid w:val="00B15C32"/>
    <w:rsid w:val="00B15DD6"/>
    <w:rsid w:val="00B31ADE"/>
    <w:rsid w:val="00B31AFE"/>
    <w:rsid w:val="00B31B60"/>
    <w:rsid w:val="00B32222"/>
    <w:rsid w:val="00B3603A"/>
    <w:rsid w:val="00B40899"/>
    <w:rsid w:val="00B40BFB"/>
    <w:rsid w:val="00B438DA"/>
    <w:rsid w:val="00B52AF5"/>
    <w:rsid w:val="00B64F4D"/>
    <w:rsid w:val="00B731C3"/>
    <w:rsid w:val="00B750EB"/>
    <w:rsid w:val="00B77734"/>
    <w:rsid w:val="00B80DB0"/>
    <w:rsid w:val="00B9089B"/>
    <w:rsid w:val="00B91D5C"/>
    <w:rsid w:val="00B94A84"/>
    <w:rsid w:val="00BA2960"/>
    <w:rsid w:val="00BA3D78"/>
    <w:rsid w:val="00BA4EB0"/>
    <w:rsid w:val="00BA6F16"/>
    <w:rsid w:val="00BB2C6A"/>
    <w:rsid w:val="00BB5260"/>
    <w:rsid w:val="00BB5A7F"/>
    <w:rsid w:val="00BB7537"/>
    <w:rsid w:val="00BB7C9D"/>
    <w:rsid w:val="00BC16E3"/>
    <w:rsid w:val="00BC35E2"/>
    <w:rsid w:val="00BC3F3E"/>
    <w:rsid w:val="00BD4266"/>
    <w:rsid w:val="00BE217D"/>
    <w:rsid w:val="00BE2BF4"/>
    <w:rsid w:val="00BE30D9"/>
    <w:rsid w:val="00BE5930"/>
    <w:rsid w:val="00BF5BD0"/>
    <w:rsid w:val="00C023D6"/>
    <w:rsid w:val="00C028DC"/>
    <w:rsid w:val="00C04F54"/>
    <w:rsid w:val="00C1027F"/>
    <w:rsid w:val="00C150F5"/>
    <w:rsid w:val="00C15821"/>
    <w:rsid w:val="00C162F8"/>
    <w:rsid w:val="00C16970"/>
    <w:rsid w:val="00C24492"/>
    <w:rsid w:val="00C25A3B"/>
    <w:rsid w:val="00C26AA2"/>
    <w:rsid w:val="00C31BA7"/>
    <w:rsid w:val="00C33C43"/>
    <w:rsid w:val="00C3571F"/>
    <w:rsid w:val="00C36B67"/>
    <w:rsid w:val="00C40F07"/>
    <w:rsid w:val="00C41517"/>
    <w:rsid w:val="00C41D12"/>
    <w:rsid w:val="00C44831"/>
    <w:rsid w:val="00C4580F"/>
    <w:rsid w:val="00C46D9F"/>
    <w:rsid w:val="00C47607"/>
    <w:rsid w:val="00C47C46"/>
    <w:rsid w:val="00C47D35"/>
    <w:rsid w:val="00C47E25"/>
    <w:rsid w:val="00C500CC"/>
    <w:rsid w:val="00C506D4"/>
    <w:rsid w:val="00C51B8E"/>
    <w:rsid w:val="00C51C6B"/>
    <w:rsid w:val="00C535FA"/>
    <w:rsid w:val="00C562DD"/>
    <w:rsid w:val="00C61D3C"/>
    <w:rsid w:val="00C635FD"/>
    <w:rsid w:val="00C6537B"/>
    <w:rsid w:val="00C65FB0"/>
    <w:rsid w:val="00C66C33"/>
    <w:rsid w:val="00C70A5B"/>
    <w:rsid w:val="00C73563"/>
    <w:rsid w:val="00C87849"/>
    <w:rsid w:val="00C87D0D"/>
    <w:rsid w:val="00C932CD"/>
    <w:rsid w:val="00C971FD"/>
    <w:rsid w:val="00C97D8C"/>
    <w:rsid w:val="00CA2253"/>
    <w:rsid w:val="00CA361E"/>
    <w:rsid w:val="00CA70CD"/>
    <w:rsid w:val="00CA7792"/>
    <w:rsid w:val="00CB026F"/>
    <w:rsid w:val="00CB15C7"/>
    <w:rsid w:val="00CB5780"/>
    <w:rsid w:val="00CB6DBD"/>
    <w:rsid w:val="00CB7643"/>
    <w:rsid w:val="00CB7F16"/>
    <w:rsid w:val="00CC1118"/>
    <w:rsid w:val="00CC327C"/>
    <w:rsid w:val="00CC427A"/>
    <w:rsid w:val="00CD1747"/>
    <w:rsid w:val="00CD3FFC"/>
    <w:rsid w:val="00CD75CE"/>
    <w:rsid w:val="00CE027F"/>
    <w:rsid w:val="00CE0397"/>
    <w:rsid w:val="00CE06AF"/>
    <w:rsid w:val="00CE2F65"/>
    <w:rsid w:val="00CE38EC"/>
    <w:rsid w:val="00CE46B0"/>
    <w:rsid w:val="00CE56B3"/>
    <w:rsid w:val="00CE6AF6"/>
    <w:rsid w:val="00CF0E12"/>
    <w:rsid w:val="00CF18A5"/>
    <w:rsid w:val="00CF2EC4"/>
    <w:rsid w:val="00D0099C"/>
    <w:rsid w:val="00D01588"/>
    <w:rsid w:val="00D0766A"/>
    <w:rsid w:val="00D10980"/>
    <w:rsid w:val="00D10AA0"/>
    <w:rsid w:val="00D122BA"/>
    <w:rsid w:val="00D13B1E"/>
    <w:rsid w:val="00D16CA6"/>
    <w:rsid w:val="00D238C2"/>
    <w:rsid w:val="00D24D70"/>
    <w:rsid w:val="00D32BC3"/>
    <w:rsid w:val="00D33AA3"/>
    <w:rsid w:val="00D34C99"/>
    <w:rsid w:val="00D359CA"/>
    <w:rsid w:val="00D40DDC"/>
    <w:rsid w:val="00D45F65"/>
    <w:rsid w:val="00D505C9"/>
    <w:rsid w:val="00D51B1B"/>
    <w:rsid w:val="00D56251"/>
    <w:rsid w:val="00D5725A"/>
    <w:rsid w:val="00D645BC"/>
    <w:rsid w:val="00D6498D"/>
    <w:rsid w:val="00D71A31"/>
    <w:rsid w:val="00D72D4E"/>
    <w:rsid w:val="00D740EA"/>
    <w:rsid w:val="00D751F0"/>
    <w:rsid w:val="00D75618"/>
    <w:rsid w:val="00D75705"/>
    <w:rsid w:val="00D75A45"/>
    <w:rsid w:val="00D76DCA"/>
    <w:rsid w:val="00D8125E"/>
    <w:rsid w:val="00D83215"/>
    <w:rsid w:val="00D83C12"/>
    <w:rsid w:val="00D86B9B"/>
    <w:rsid w:val="00D90928"/>
    <w:rsid w:val="00D91C97"/>
    <w:rsid w:val="00D9362A"/>
    <w:rsid w:val="00D97204"/>
    <w:rsid w:val="00DA3441"/>
    <w:rsid w:val="00DA3D3B"/>
    <w:rsid w:val="00DB24F6"/>
    <w:rsid w:val="00DB44CE"/>
    <w:rsid w:val="00DB4868"/>
    <w:rsid w:val="00DC01D9"/>
    <w:rsid w:val="00DC2E75"/>
    <w:rsid w:val="00DC35CE"/>
    <w:rsid w:val="00DC7508"/>
    <w:rsid w:val="00DC7894"/>
    <w:rsid w:val="00DC79B3"/>
    <w:rsid w:val="00DD10D8"/>
    <w:rsid w:val="00DD5596"/>
    <w:rsid w:val="00DE1F6B"/>
    <w:rsid w:val="00DF3206"/>
    <w:rsid w:val="00DF785F"/>
    <w:rsid w:val="00E045DB"/>
    <w:rsid w:val="00E04A45"/>
    <w:rsid w:val="00E06B29"/>
    <w:rsid w:val="00E06CB9"/>
    <w:rsid w:val="00E1569E"/>
    <w:rsid w:val="00E177AE"/>
    <w:rsid w:val="00E250FA"/>
    <w:rsid w:val="00E26EF9"/>
    <w:rsid w:val="00E30AB5"/>
    <w:rsid w:val="00E329E9"/>
    <w:rsid w:val="00E33985"/>
    <w:rsid w:val="00E356E7"/>
    <w:rsid w:val="00E37080"/>
    <w:rsid w:val="00E4600A"/>
    <w:rsid w:val="00E46AEB"/>
    <w:rsid w:val="00E52077"/>
    <w:rsid w:val="00E56189"/>
    <w:rsid w:val="00E57A8E"/>
    <w:rsid w:val="00E616BC"/>
    <w:rsid w:val="00E64179"/>
    <w:rsid w:val="00E65BFB"/>
    <w:rsid w:val="00E65FB2"/>
    <w:rsid w:val="00E67C25"/>
    <w:rsid w:val="00E729DE"/>
    <w:rsid w:val="00E75BB2"/>
    <w:rsid w:val="00E819AC"/>
    <w:rsid w:val="00E83348"/>
    <w:rsid w:val="00E84380"/>
    <w:rsid w:val="00E8469B"/>
    <w:rsid w:val="00E84B4C"/>
    <w:rsid w:val="00E851D1"/>
    <w:rsid w:val="00E8640F"/>
    <w:rsid w:val="00E86757"/>
    <w:rsid w:val="00E87CD5"/>
    <w:rsid w:val="00E934F1"/>
    <w:rsid w:val="00E94CD8"/>
    <w:rsid w:val="00E95E34"/>
    <w:rsid w:val="00EA1427"/>
    <w:rsid w:val="00EA366F"/>
    <w:rsid w:val="00EA521D"/>
    <w:rsid w:val="00EA7B8C"/>
    <w:rsid w:val="00EB3820"/>
    <w:rsid w:val="00EB4B4C"/>
    <w:rsid w:val="00EB4B8C"/>
    <w:rsid w:val="00EC6DF7"/>
    <w:rsid w:val="00ED17B1"/>
    <w:rsid w:val="00ED3D65"/>
    <w:rsid w:val="00ED7613"/>
    <w:rsid w:val="00ED78F1"/>
    <w:rsid w:val="00ED7988"/>
    <w:rsid w:val="00EE0366"/>
    <w:rsid w:val="00EE256A"/>
    <w:rsid w:val="00EE2F1C"/>
    <w:rsid w:val="00EE4CB1"/>
    <w:rsid w:val="00EE5598"/>
    <w:rsid w:val="00EF06AF"/>
    <w:rsid w:val="00EF359F"/>
    <w:rsid w:val="00EF5ADB"/>
    <w:rsid w:val="00EF789A"/>
    <w:rsid w:val="00F12B5B"/>
    <w:rsid w:val="00F137F0"/>
    <w:rsid w:val="00F15325"/>
    <w:rsid w:val="00F15C07"/>
    <w:rsid w:val="00F214D9"/>
    <w:rsid w:val="00F26D3B"/>
    <w:rsid w:val="00F26F82"/>
    <w:rsid w:val="00F27282"/>
    <w:rsid w:val="00F34981"/>
    <w:rsid w:val="00F35784"/>
    <w:rsid w:val="00F378DA"/>
    <w:rsid w:val="00F4047D"/>
    <w:rsid w:val="00F41541"/>
    <w:rsid w:val="00F46F54"/>
    <w:rsid w:val="00F5142F"/>
    <w:rsid w:val="00F53AD2"/>
    <w:rsid w:val="00F555C3"/>
    <w:rsid w:val="00F573B2"/>
    <w:rsid w:val="00F62D91"/>
    <w:rsid w:val="00F6446D"/>
    <w:rsid w:val="00F64BFD"/>
    <w:rsid w:val="00F6560A"/>
    <w:rsid w:val="00F66AB4"/>
    <w:rsid w:val="00F6703E"/>
    <w:rsid w:val="00F729C0"/>
    <w:rsid w:val="00F730E4"/>
    <w:rsid w:val="00F7474D"/>
    <w:rsid w:val="00F81BEC"/>
    <w:rsid w:val="00F81E0F"/>
    <w:rsid w:val="00F82C06"/>
    <w:rsid w:val="00F82C6D"/>
    <w:rsid w:val="00F82E9C"/>
    <w:rsid w:val="00F834A2"/>
    <w:rsid w:val="00F86DCF"/>
    <w:rsid w:val="00F86DF5"/>
    <w:rsid w:val="00F925E0"/>
    <w:rsid w:val="00FA17CD"/>
    <w:rsid w:val="00FA18C0"/>
    <w:rsid w:val="00FA4F34"/>
    <w:rsid w:val="00FA518C"/>
    <w:rsid w:val="00FA54DA"/>
    <w:rsid w:val="00FA5ADD"/>
    <w:rsid w:val="00FA7C26"/>
    <w:rsid w:val="00FB46FA"/>
    <w:rsid w:val="00FB69F2"/>
    <w:rsid w:val="00FC03B6"/>
    <w:rsid w:val="00FC053B"/>
    <w:rsid w:val="00FC1046"/>
    <w:rsid w:val="00FC1589"/>
    <w:rsid w:val="00FC5731"/>
    <w:rsid w:val="00FC59D1"/>
    <w:rsid w:val="00FC77CF"/>
    <w:rsid w:val="00FC7AC6"/>
    <w:rsid w:val="00FD031F"/>
    <w:rsid w:val="00FD226B"/>
    <w:rsid w:val="00FD4E06"/>
    <w:rsid w:val="00FE1894"/>
    <w:rsid w:val="00FE487B"/>
    <w:rsid w:val="00FF0384"/>
    <w:rsid w:val="00FF03A0"/>
    <w:rsid w:val="00FF4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3F6A0"/>
  <w15:chartTrackingRefBased/>
  <w15:docId w15:val="{AF1F2210-3ADD-494C-8DE9-D9E384FA7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D16CA6"/>
    <w:pPr>
      <w:spacing w:after="160" w:line="480" w:lineRule="auto"/>
    </w:pPr>
    <w:rPr>
      <w:rFonts w:ascii="Times New Roman" w:eastAsia="Songti SC" w:hAnsi="Times New Roman" w:cs="Times New Roman"/>
      <w:kern w:val="0"/>
      <w:sz w:val="24"/>
      <w:szCs w:val="24"/>
      <w:lang w:val="en-GB"/>
    </w:rPr>
  </w:style>
  <w:style w:type="paragraph" w:styleId="1">
    <w:name w:val="heading 1"/>
    <w:basedOn w:val="a"/>
    <w:next w:val="a"/>
    <w:link w:val="10"/>
    <w:autoRedefine/>
    <w:uiPriority w:val="9"/>
    <w:qFormat/>
    <w:rsid w:val="00DF785F"/>
    <w:pPr>
      <w:spacing w:before="300" w:after="40" w:line="276" w:lineRule="auto"/>
      <w:jc w:val="center"/>
      <w:outlineLvl w:val="0"/>
    </w:pPr>
    <w:rPr>
      <w:rFonts w:eastAsia="Heiti SC Light" w:cstheme="minorBidi"/>
      <w:b/>
      <w:smallCaps/>
      <w:spacing w:val="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6CA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16CA6"/>
    <w:rPr>
      <w:sz w:val="18"/>
      <w:szCs w:val="18"/>
    </w:rPr>
  </w:style>
  <w:style w:type="paragraph" w:styleId="a5">
    <w:name w:val="footer"/>
    <w:basedOn w:val="a"/>
    <w:link w:val="a6"/>
    <w:uiPriority w:val="99"/>
    <w:unhideWhenUsed/>
    <w:rsid w:val="00D16CA6"/>
    <w:pPr>
      <w:tabs>
        <w:tab w:val="center" w:pos="4153"/>
        <w:tab w:val="right" w:pos="8306"/>
      </w:tabs>
      <w:snapToGrid w:val="0"/>
    </w:pPr>
    <w:rPr>
      <w:sz w:val="18"/>
      <w:szCs w:val="18"/>
    </w:rPr>
  </w:style>
  <w:style w:type="character" w:customStyle="1" w:styleId="a6">
    <w:name w:val="页脚 字符"/>
    <w:basedOn w:val="a0"/>
    <w:link w:val="a5"/>
    <w:uiPriority w:val="99"/>
    <w:rsid w:val="00D16CA6"/>
    <w:rPr>
      <w:sz w:val="18"/>
      <w:szCs w:val="18"/>
    </w:rPr>
  </w:style>
  <w:style w:type="paragraph" w:customStyle="1" w:styleId="Affiliation">
    <w:name w:val="Affiliation"/>
    <w:basedOn w:val="a"/>
    <w:qFormat/>
    <w:rsid w:val="00D16CA6"/>
    <w:pPr>
      <w:spacing w:before="120"/>
    </w:pPr>
    <w:rPr>
      <w:rFonts w:eastAsia="Times New Roman"/>
      <w:lang w:eastAsia="en-US"/>
    </w:rPr>
  </w:style>
  <w:style w:type="paragraph" w:styleId="a7">
    <w:name w:val="List Paragraph"/>
    <w:basedOn w:val="a"/>
    <w:uiPriority w:val="34"/>
    <w:qFormat/>
    <w:rsid w:val="00D16CA6"/>
    <w:pPr>
      <w:spacing w:after="200" w:line="276" w:lineRule="auto"/>
      <w:ind w:left="720"/>
      <w:contextualSpacing/>
      <w:jc w:val="both"/>
    </w:pPr>
    <w:rPr>
      <w:rFonts w:cstheme="minorBidi"/>
      <w:szCs w:val="20"/>
    </w:rPr>
  </w:style>
  <w:style w:type="character" w:styleId="a8">
    <w:name w:val="Hyperlink"/>
    <w:basedOn w:val="a0"/>
    <w:uiPriority w:val="99"/>
    <w:unhideWhenUsed/>
    <w:rsid w:val="00D16CA6"/>
    <w:rPr>
      <w:color w:val="0563C1" w:themeColor="hyperlink"/>
      <w:u w:val="single"/>
    </w:rPr>
  </w:style>
  <w:style w:type="character" w:styleId="a9">
    <w:name w:val="annotation reference"/>
    <w:basedOn w:val="a0"/>
    <w:uiPriority w:val="99"/>
    <w:semiHidden/>
    <w:unhideWhenUsed/>
    <w:rsid w:val="00CD3FFC"/>
    <w:rPr>
      <w:sz w:val="21"/>
      <w:szCs w:val="21"/>
    </w:rPr>
  </w:style>
  <w:style w:type="paragraph" w:styleId="aa">
    <w:name w:val="annotation text"/>
    <w:basedOn w:val="a"/>
    <w:link w:val="ab"/>
    <w:uiPriority w:val="99"/>
    <w:semiHidden/>
    <w:unhideWhenUsed/>
    <w:rsid w:val="00CD3FFC"/>
  </w:style>
  <w:style w:type="character" w:customStyle="1" w:styleId="ab">
    <w:name w:val="批注文字 字符"/>
    <w:basedOn w:val="a0"/>
    <w:link w:val="aa"/>
    <w:uiPriority w:val="99"/>
    <w:semiHidden/>
    <w:rsid w:val="00CD3FFC"/>
    <w:rPr>
      <w:rFonts w:ascii="Times New Roman" w:eastAsia="Songti SC" w:hAnsi="Times New Roman" w:cs="Times New Roman"/>
      <w:kern w:val="0"/>
      <w:sz w:val="24"/>
      <w:szCs w:val="24"/>
    </w:rPr>
  </w:style>
  <w:style w:type="paragraph" w:styleId="ac">
    <w:name w:val="Balloon Text"/>
    <w:basedOn w:val="a"/>
    <w:link w:val="ad"/>
    <w:uiPriority w:val="99"/>
    <w:semiHidden/>
    <w:unhideWhenUsed/>
    <w:rsid w:val="00CD3FFC"/>
    <w:pPr>
      <w:spacing w:after="0" w:line="240" w:lineRule="auto"/>
    </w:pPr>
    <w:rPr>
      <w:sz w:val="18"/>
      <w:szCs w:val="18"/>
    </w:rPr>
  </w:style>
  <w:style w:type="character" w:customStyle="1" w:styleId="ad">
    <w:name w:val="批注框文本 字符"/>
    <w:basedOn w:val="a0"/>
    <w:link w:val="ac"/>
    <w:uiPriority w:val="99"/>
    <w:semiHidden/>
    <w:rsid w:val="00CD3FFC"/>
    <w:rPr>
      <w:rFonts w:ascii="Times New Roman" w:eastAsia="Songti SC" w:hAnsi="Times New Roman" w:cs="Times New Roman"/>
      <w:kern w:val="0"/>
      <w:sz w:val="18"/>
      <w:szCs w:val="18"/>
    </w:rPr>
  </w:style>
  <w:style w:type="character" w:customStyle="1" w:styleId="10">
    <w:name w:val="标题 1 字符"/>
    <w:basedOn w:val="a0"/>
    <w:link w:val="1"/>
    <w:uiPriority w:val="9"/>
    <w:rsid w:val="00DF785F"/>
    <w:rPr>
      <w:rFonts w:ascii="Times New Roman" w:eastAsia="Heiti SC Light" w:hAnsi="Times New Roman"/>
      <w:b/>
      <w:smallCaps/>
      <w:spacing w:val="5"/>
      <w:sz w:val="32"/>
      <w:szCs w:val="32"/>
    </w:rPr>
  </w:style>
  <w:style w:type="paragraph" w:customStyle="1" w:styleId="SOMHead">
    <w:name w:val="SOMHead"/>
    <w:basedOn w:val="a"/>
    <w:rsid w:val="00453843"/>
    <w:pPr>
      <w:keepNext/>
      <w:spacing w:before="240" w:after="0" w:line="240" w:lineRule="auto"/>
      <w:outlineLvl w:val="0"/>
    </w:pPr>
    <w:rPr>
      <w:rFonts w:eastAsia="Times New Roman"/>
      <w:b/>
      <w:kern w:val="28"/>
      <w:lang w:eastAsia="en-US"/>
    </w:rPr>
  </w:style>
  <w:style w:type="character" w:customStyle="1" w:styleId="UnresolvedMention1">
    <w:name w:val="Unresolved Mention1"/>
    <w:basedOn w:val="a0"/>
    <w:uiPriority w:val="99"/>
    <w:semiHidden/>
    <w:unhideWhenUsed/>
    <w:rsid w:val="00460104"/>
    <w:rPr>
      <w:color w:val="605E5C"/>
      <w:shd w:val="clear" w:color="auto" w:fill="E1DFDD"/>
    </w:rPr>
  </w:style>
  <w:style w:type="paragraph" w:styleId="ae">
    <w:name w:val="Bibliography"/>
    <w:basedOn w:val="a"/>
    <w:next w:val="a"/>
    <w:uiPriority w:val="37"/>
    <w:unhideWhenUsed/>
    <w:rsid w:val="00495C06"/>
    <w:pPr>
      <w:tabs>
        <w:tab w:val="left" w:pos="264"/>
      </w:tabs>
      <w:spacing w:after="0"/>
      <w:ind w:left="264" w:hanging="264"/>
    </w:pPr>
  </w:style>
  <w:style w:type="paragraph" w:styleId="af">
    <w:name w:val="Revision"/>
    <w:hidden/>
    <w:uiPriority w:val="99"/>
    <w:semiHidden/>
    <w:rsid w:val="005D0C92"/>
    <w:rPr>
      <w:rFonts w:ascii="Times New Roman" w:eastAsia="Songti SC"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chen@mail.iggcas.ac.cn"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zefengli@ustc.edu.cn"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11141</TotalTime>
  <Pages>13</Pages>
  <Words>901</Words>
  <Characters>5139</Characters>
  <Application>Microsoft Office Word</Application>
  <DocSecurity>0</DocSecurity>
  <Lines>42</Lines>
  <Paragraphs>12</Paragraphs>
  <ScaleCrop>false</ScaleCrop>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Marshon</dc:creator>
  <cp:lastModifiedBy>尚 马</cp:lastModifiedBy>
  <cp:revision>1265</cp:revision>
  <dcterms:created xsi:type="dcterms:W3CDTF">2021-09-17T11:15:00Z</dcterms:created>
  <dcterms:modified xsi:type="dcterms:W3CDTF">2024-05-03T16:12:00Z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2024-03-08T16:32:55Z</vt:filetime>
  </property>
  <property fmtid="{D5CDD505-2E9C-101B-9397-08002B2CF9AE}" pid="3" name="ZOTERO_PREF_1">
    <vt:lpwstr>&lt;data data-version="3" zotero-version="6.0.30"&gt;&lt;session id="A8BND3vl"/&gt;&lt;style id="http://www.zotero.org/styles/nature-communications" hasBibliography="1" bibliographyStyleHasBeenSet="1"/&gt;&lt;prefs&gt;&lt;pref name="fieldType" value="Field"/&gt;&lt;/prefs&gt;&lt;/data&gt;</vt:lpwstr>
  </property>
</Properties>
</file>