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EDCB9" w14:textId="1933D685" w:rsidR="008D37B6" w:rsidRPr="00C954C9" w:rsidRDefault="00A26C26" w:rsidP="008D37B6">
      <w:pPr>
        <w:pStyle w:val="TESupportingInformation"/>
        <w:jc w:val="center"/>
        <w:rPr>
          <w:rFonts w:ascii="Times New Roman" w:hAnsi="Times New Roman"/>
          <w:b/>
          <w:bCs/>
          <w:color w:val="000000" w:themeColor="text1"/>
        </w:rPr>
      </w:pPr>
      <w:r w:rsidRPr="00C954C9">
        <w:rPr>
          <w:rFonts w:ascii="Times New Roman" w:hAnsi="Times New Roman"/>
          <w:color w:val="222222"/>
          <w:sz w:val="27"/>
          <w:szCs w:val="27"/>
          <w:shd w:val="clear" w:color="auto" w:fill="FFFFFF"/>
        </w:rPr>
        <w:t>Supplementary Information</w:t>
      </w:r>
    </w:p>
    <w:p w14:paraId="4464DEEA" w14:textId="77777777" w:rsidR="00B96CB0" w:rsidRPr="00151CFE" w:rsidRDefault="00B96CB0" w:rsidP="00B96CB0">
      <w:pPr>
        <w:pStyle w:val="BATitle"/>
        <w:rPr>
          <w:rFonts w:eastAsiaTheme="minorEastAsia"/>
          <w:sz w:val="34"/>
          <w:szCs w:val="34"/>
        </w:rPr>
      </w:pPr>
      <w:r w:rsidRPr="00151CFE">
        <w:rPr>
          <w:rFonts w:eastAsiaTheme="minorEastAsia"/>
          <w:sz w:val="34"/>
          <w:szCs w:val="34"/>
        </w:rPr>
        <w:t>Efficient Synaptic Emulation and Ultralow Power Digital-Analog Conversion in Cellulose-Based Neural Devices through Molecular Polarization</w:t>
      </w:r>
    </w:p>
    <w:p w14:paraId="6CC89989" w14:textId="77777777" w:rsidR="00B96CB0" w:rsidRPr="00151CFE" w:rsidRDefault="00B96CB0" w:rsidP="00B96CB0">
      <w:pPr>
        <w:pStyle w:val="BBAuthorName"/>
        <w:rPr>
          <w:rFonts w:ascii="Times New Roman" w:eastAsiaTheme="minorEastAsia" w:hAnsi="Times New Roman"/>
          <w:i w:val="0"/>
          <w:iCs/>
          <w:lang w:eastAsia="zh-CN"/>
        </w:rPr>
      </w:pPr>
      <w:r w:rsidRPr="00151CFE">
        <w:rPr>
          <w:rFonts w:ascii="Times New Roman" w:eastAsiaTheme="minorEastAsia" w:hAnsi="Times New Roman"/>
          <w:i w:val="0"/>
          <w:iCs/>
        </w:rPr>
        <w:t>Kuan-Chang Chang</w:t>
      </w:r>
      <w:r>
        <w:rPr>
          <w:rFonts w:ascii="Times New Roman" w:hAnsi="Times New Roman" w:hint="eastAsia"/>
          <w:i w:val="0"/>
          <w:iCs/>
          <w:vertAlign w:val="superscript"/>
          <w:lang w:eastAsia="zh-CN"/>
        </w:rPr>
        <w:t>1</w:t>
      </w:r>
      <w:r w:rsidRPr="00151CFE">
        <w:rPr>
          <w:rFonts w:ascii="Times New Roman" w:eastAsiaTheme="minorEastAsia" w:hAnsi="Times New Roman"/>
          <w:i w:val="0"/>
          <w:iCs/>
        </w:rPr>
        <w:t>, Yihua Xu</w:t>
      </w:r>
      <w:r>
        <w:rPr>
          <w:rFonts w:ascii="Times New Roman" w:hAnsi="Times New Roman" w:hint="eastAsia"/>
          <w:i w:val="0"/>
          <w:iCs/>
          <w:vertAlign w:val="superscript"/>
          <w:lang w:eastAsia="zh-CN"/>
        </w:rPr>
        <w:t>1</w:t>
      </w:r>
      <w:r w:rsidRPr="00151CFE">
        <w:rPr>
          <w:rFonts w:ascii="Times New Roman" w:eastAsiaTheme="minorEastAsia" w:hAnsi="Times New Roman"/>
          <w:i w:val="0"/>
          <w:iCs/>
        </w:rPr>
        <w:t>, Mingge Wang</w:t>
      </w:r>
      <w:r>
        <w:rPr>
          <w:rFonts w:ascii="Times New Roman" w:hAnsi="Times New Roman" w:hint="eastAsia"/>
          <w:i w:val="0"/>
          <w:iCs/>
          <w:vertAlign w:val="superscript"/>
          <w:lang w:eastAsia="zh-CN"/>
        </w:rPr>
        <w:t>1</w:t>
      </w:r>
      <w:r w:rsidRPr="00151CFE">
        <w:rPr>
          <w:rFonts w:ascii="Times New Roman" w:eastAsiaTheme="minorEastAsia" w:hAnsi="Times New Roman"/>
          <w:i w:val="0"/>
          <w:iCs/>
        </w:rPr>
        <w:t>, Zehui Peng</w:t>
      </w:r>
      <w:r>
        <w:rPr>
          <w:rFonts w:ascii="Times New Roman" w:hAnsi="Times New Roman" w:hint="eastAsia"/>
          <w:i w:val="0"/>
          <w:iCs/>
          <w:vertAlign w:val="superscript"/>
          <w:lang w:eastAsia="zh-CN"/>
        </w:rPr>
        <w:t>1</w:t>
      </w:r>
      <w:r w:rsidRPr="00151CFE">
        <w:rPr>
          <w:rFonts w:ascii="Times New Roman" w:eastAsiaTheme="minorEastAsia" w:hAnsi="Times New Roman"/>
          <w:i w:val="0"/>
          <w:iCs/>
        </w:rPr>
        <w:t>, Dar-Jen Hsieh</w:t>
      </w:r>
      <w:r>
        <w:rPr>
          <w:rFonts w:ascii="Times New Roman" w:hAnsi="Times New Roman" w:hint="eastAsia"/>
          <w:i w:val="0"/>
          <w:iCs/>
          <w:vertAlign w:val="superscript"/>
          <w:lang w:eastAsia="zh-CN"/>
        </w:rPr>
        <w:t>2</w:t>
      </w:r>
      <w:r w:rsidRPr="00151CFE">
        <w:rPr>
          <w:rFonts w:ascii="Times New Roman" w:eastAsiaTheme="minorEastAsia" w:hAnsi="Times New Roman"/>
          <w:i w:val="0"/>
          <w:iCs/>
        </w:rPr>
        <w:t>, Lei Li</w:t>
      </w:r>
      <w:r>
        <w:rPr>
          <w:rFonts w:ascii="Times New Roman" w:hAnsi="Times New Roman" w:hint="eastAsia"/>
          <w:i w:val="0"/>
          <w:iCs/>
          <w:vertAlign w:val="superscript"/>
          <w:lang w:eastAsia="zh-CN"/>
        </w:rPr>
        <w:t>1</w:t>
      </w:r>
      <w:r w:rsidRPr="00151CFE">
        <w:rPr>
          <w:rFonts w:ascii="Times New Roman" w:hAnsi="Times New Roman"/>
          <w:i w:val="0"/>
          <w:iCs/>
        </w:rPr>
        <w:t>*</w:t>
      </w:r>
    </w:p>
    <w:p w14:paraId="66B71780" w14:textId="77777777" w:rsidR="00B96CB0" w:rsidRPr="00611A26" w:rsidRDefault="00B96CB0" w:rsidP="00B96CB0">
      <w:pPr>
        <w:pStyle w:val="BCAuthorAddress"/>
        <w:spacing w:after="0" w:line="240" w:lineRule="auto"/>
        <w:rPr>
          <w:rFonts w:ascii="Times New Roman" w:eastAsiaTheme="minorEastAsia" w:hAnsi="Times New Roman"/>
          <w:sz w:val="22"/>
          <w:szCs w:val="22"/>
        </w:rPr>
      </w:pPr>
      <w:r w:rsidRPr="00611A26">
        <w:rPr>
          <w:rFonts w:ascii="Times New Roman" w:eastAsiaTheme="minorEastAsia" w:hAnsi="Times New Roman"/>
          <w:sz w:val="22"/>
          <w:szCs w:val="22"/>
          <w:vertAlign w:val="superscript"/>
          <w:lang w:eastAsia="zh-CN"/>
        </w:rPr>
        <w:t>1*</w:t>
      </w:r>
      <w:r w:rsidRPr="00611A26">
        <w:rPr>
          <w:rFonts w:ascii="Times New Roman" w:eastAsiaTheme="minorEastAsia" w:hAnsi="Times New Roman"/>
          <w:sz w:val="22"/>
          <w:szCs w:val="22"/>
        </w:rPr>
        <w:t xml:space="preserve">School of Electronic and Computer Engineering, Peking University Shenzhen Graduate School, Shenzhen, 518055, China. </w:t>
      </w:r>
    </w:p>
    <w:p w14:paraId="190D7793" w14:textId="77777777" w:rsidR="00B96CB0" w:rsidRDefault="00B96CB0" w:rsidP="00B96CB0">
      <w:pPr>
        <w:pStyle w:val="BCAuthorAddress"/>
        <w:spacing w:after="0" w:line="240" w:lineRule="auto"/>
        <w:rPr>
          <w:rFonts w:ascii="Times New Roman" w:eastAsiaTheme="minorEastAsia" w:hAnsi="Times New Roman"/>
          <w:sz w:val="22"/>
          <w:szCs w:val="22"/>
          <w:lang w:eastAsia="zh-CN"/>
        </w:rPr>
      </w:pPr>
      <w:r w:rsidRPr="00611A26">
        <w:rPr>
          <w:rFonts w:ascii="Times New Roman" w:eastAsiaTheme="minorEastAsia" w:hAnsi="Times New Roman" w:hint="eastAsia"/>
          <w:sz w:val="22"/>
          <w:szCs w:val="22"/>
          <w:vertAlign w:val="superscript"/>
          <w:lang w:eastAsia="zh-CN"/>
        </w:rPr>
        <w:t>2</w:t>
      </w:r>
      <w:r w:rsidRPr="00611A26">
        <w:rPr>
          <w:rFonts w:ascii="Times New Roman" w:eastAsiaTheme="minorEastAsia" w:hAnsi="Times New Roman"/>
          <w:sz w:val="22"/>
          <w:szCs w:val="22"/>
        </w:rPr>
        <w:t>R&amp;D Center, ACRO Biomedical Co., Kaohsiung City, 82151, Taiwan</w:t>
      </w:r>
    </w:p>
    <w:p w14:paraId="34B0EF5C" w14:textId="77777777" w:rsidR="00B96CB0" w:rsidRDefault="00B96CB0" w:rsidP="00B96CB0">
      <w:pPr>
        <w:pStyle w:val="AIReceivedDate"/>
        <w:spacing w:after="0" w:line="240" w:lineRule="auto"/>
        <w:rPr>
          <w:lang w:eastAsia="zh-CN"/>
        </w:rPr>
      </w:pPr>
    </w:p>
    <w:p w14:paraId="02DB75AA" w14:textId="77777777" w:rsidR="00B96CB0" w:rsidRDefault="00B96CB0" w:rsidP="00B96CB0">
      <w:pPr>
        <w:pStyle w:val="BDAbstract"/>
        <w:spacing w:before="0" w:after="0" w:line="240" w:lineRule="auto"/>
        <w:jc w:val="center"/>
        <w:rPr>
          <w:rFonts w:ascii="Times New Roman" w:hAnsi="Times New Roman"/>
          <w:sz w:val="22"/>
          <w:szCs w:val="22"/>
          <w:lang w:eastAsia="zh-CN"/>
        </w:rPr>
      </w:pPr>
      <w:r w:rsidRPr="00BA4102">
        <w:rPr>
          <w:rFonts w:ascii="Times New Roman" w:hAnsi="Times New Roman"/>
          <w:sz w:val="22"/>
          <w:szCs w:val="22"/>
          <w:lang w:eastAsia="zh-CN"/>
        </w:rPr>
        <w:t>*Corresponding author(s). E-mail(s):</w:t>
      </w:r>
      <w:r>
        <w:rPr>
          <w:rFonts w:ascii="Times New Roman" w:hAnsi="Times New Roman" w:hint="eastAsia"/>
          <w:sz w:val="22"/>
          <w:szCs w:val="22"/>
          <w:lang w:eastAsia="zh-CN"/>
        </w:rPr>
        <w:t xml:space="preserve"> </w:t>
      </w:r>
      <w:hyperlink r:id="rId7" w:history="1">
        <w:r w:rsidRPr="007E07F8">
          <w:rPr>
            <w:rStyle w:val="a6"/>
            <w:rFonts w:ascii="Times New Roman" w:hAnsi="Times New Roman"/>
            <w:sz w:val="22"/>
            <w:szCs w:val="22"/>
            <w:lang w:eastAsia="zh-CN"/>
          </w:rPr>
          <w:t>lilei@pkusz.edu.cn</w:t>
        </w:r>
      </w:hyperlink>
      <w:r>
        <w:rPr>
          <w:rFonts w:ascii="Times New Roman" w:hAnsi="Times New Roman"/>
          <w:sz w:val="22"/>
          <w:szCs w:val="22"/>
          <w:lang w:eastAsia="zh-CN"/>
        </w:rPr>
        <w:t>;</w:t>
      </w:r>
    </w:p>
    <w:p w14:paraId="383DBB0C" w14:textId="77777777" w:rsidR="00B96CB0" w:rsidRPr="00BA4102" w:rsidRDefault="00B96CB0" w:rsidP="00B96CB0">
      <w:pPr>
        <w:pStyle w:val="TAMainText"/>
        <w:spacing w:line="240" w:lineRule="auto"/>
        <w:ind w:firstLine="204"/>
        <w:jc w:val="center"/>
        <w:rPr>
          <w:rFonts w:ascii="Times New Roman" w:hAnsi="Times New Roman"/>
          <w:sz w:val="22"/>
          <w:szCs w:val="22"/>
          <w:lang w:eastAsia="zh-CN"/>
        </w:rPr>
      </w:pPr>
      <w:r w:rsidRPr="00BA4102">
        <w:rPr>
          <w:rFonts w:ascii="Times New Roman" w:hAnsi="Times New Roman"/>
          <w:sz w:val="22"/>
          <w:szCs w:val="22"/>
          <w:lang w:eastAsia="zh-CN"/>
        </w:rPr>
        <w:t>Contributing authors:</w:t>
      </w:r>
      <w:r>
        <w:rPr>
          <w:rFonts w:ascii="Times New Roman" w:hAnsi="Times New Roman"/>
          <w:sz w:val="22"/>
          <w:szCs w:val="22"/>
          <w:lang w:eastAsia="zh-CN"/>
        </w:rPr>
        <w:t xml:space="preserve"> </w:t>
      </w:r>
      <w:hyperlink r:id="rId8" w:history="1">
        <w:r w:rsidRPr="007E07F8">
          <w:rPr>
            <w:rStyle w:val="a6"/>
            <w:rFonts w:ascii="Times New Roman" w:hAnsi="Times New Roman"/>
            <w:sz w:val="22"/>
            <w:szCs w:val="22"/>
          </w:rPr>
          <w:t>kcchang@pkusz.edu.cn</w:t>
        </w:r>
      </w:hyperlink>
      <w:r>
        <w:rPr>
          <w:rFonts w:ascii="Times New Roman" w:eastAsiaTheme="minorEastAsia" w:hAnsi="Times New Roman"/>
          <w:sz w:val="22"/>
          <w:szCs w:val="22"/>
        </w:rPr>
        <w:t xml:space="preserve">; </w:t>
      </w:r>
      <w:hyperlink r:id="rId9" w:history="1">
        <w:r w:rsidRPr="007E07F8">
          <w:rPr>
            <w:rStyle w:val="a6"/>
            <w:rFonts w:ascii="Times New Roman" w:eastAsiaTheme="minorEastAsia" w:hAnsi="Times New Roman"/>
            <w:sz w:val="22"/>
            <w:szCs w:val="22"/>
          </w:rPr>
          <w:t>yhxu@stu.pku.edu.cn</w:t>
        </w:r>
      </w:hyperlink>
      <w:r>
        <w:rPr>
          <w:rFonts w:ascii="Times New Roman" w:eastAsiaTheme="minorEastAsia" w:hAnsi="Times New Roman"/>
          <w:sz w:val="22"/>
          <w:szCs w:val="22"/>
        </w:rPr>
        <w:t xml:space="preserve">; </w:t>
      </w:r>
      <w:hyperlink r:id="rId10" w:history="1">
        <w:r w:rsidRPr="007E07F8">
          <w:rPr>
            <w:rStyle w:val="a6"/>
            <w:rFonts w:ascii="Times New Roman" w:eastAsiaTheme="minorEastAsia" w:hAnsi="Times New Roman"/>
            <w:sz w:val="22"/>
            <w:szCs w:val="22"/>
          </w:rPr>
          <w:t>2201212780@stu.pku.edu.cn</w:t>
        </w:r>
      </w:hyperlink>
      <w:r>
        <w:rPr>
          <w:rFonts w:ascii="Times New Roman" w:eastAsiaTheme="minorEastAsia" w:hAnsi="Times New Roman"/>
          <w:sz w:val="22"/>
          <w:szCs w:val="22"/>
        </w:rPr>
        <w:t xml:space="preserve">; </w:t>
      </w:r>
      <w:hyperlink r:id="rId11" w:history="1">
        <w:r w:rsidRPr="007E07F8">
          <w:rPr>
            <w:rStyle w:val="a6"/>
            <w:rFonts w:ascii="Times New Roman" w:eastAsiaTheme="minorEastAsia" w:hAnsi="Times New Roman"/>
            <w:sz w:val="22"/>
            <w:szCs w:val="22"/>
          </w:rPr>
          <w:t>zehui_peng@stu.pku.edu.cn</w:t>
        </w:r>
      </w:hyperlink>
      <w:r>
        <w:rPr>
          <w:rFonts w:ascii="Times New Roman" w:eastAsiaTheme="minorEastAsia" w:hAnsi="Times New Roman"/>
          <w:sz w:val="22"/>
          <w:szCs w:val="22"/>
        </w:rPr>
        <w:t xml:space="preserve">; </w:t>
      </w:r>
      <w:hyperlink r:id="rId12" w:history="1">
        <w:r w:rsidRPr="007E07F8">
          <w:rPr>
            <w:rStyle w:val="a6"/>
            <w:rFonts w:ascii="Times New Roman" w:eastAsiaTheme="minorEastAsia" w:hAnsi="Times New Roman"/>
            <w:sz w:val="22"/>
            <w:szCs w:val="22"/>
          </w:rPr>
          <w:t>dj@acrobiomedical.com</w:t>
        </w:r>
      </w:hyperlink>
      <w:r>
        <w:rPr>
          <w:rFonts w:ascii="Times New Roman" w:eastAsiaTheme="minorEastAsia" w:hAnsi="Times New Roman"/>
          <w:sz w:val="22"/>
          <w:szCs w:val="22"/>
          <w:lang w:eastAsia="zh-CN"/>
        </w:rPr>
        <w:t xml:space="preserve">; </w:t>
      </w:r>
    </w:p>
    <w:p w14:paraId="36AC9C2B" w14:textId="5102DBC2" w:rsidR="00E37543" w:rsidRPr="008B48B7" w:rsidRDefault="00E37543">
      <w:pPr>
        <w:spacing w:after="0"/>
        <w:jc w:val="left"/>
        <w:rPr>
          <w:b/>
          <w:color w:val="000000" w:themeColor="text1"/>
        </w:rPr>
      </w:pPr>
      <w:r w:rsidRPr="008B48B7">
        <w:rPr>
          <w:color w:val="000000" w:themeColor="text1"/>
        </w:rPr>
        <w:br w:type="page"/>
      </w:r>
    </w:p>
    <w:p w14:paraId="75B585CD" w14:textId="2778CE0C" w:rsidR="00164BDC" w:rsidRPr="004A4824" w:rsidRDefault="004A4824" w:rsidP="004A4824">
      <w:pPr>
        <w:spacing w:after="0" w:line="480" w:lineRule="auto"/>
        <w:rPr>
          <w:rFonts w:ascii="Times New Roman" w:hAnsi="Times New Roman"/>
          <w:b/>
          <w:sz w:val="28"/>
          <w:szCs w:val="28"/>
        </w:rPr>
      </w:pPr>
      <w:r w:rsidRPr="004A4824">
        <w:rPr>
          <w:rFonts w:ascii="Times New Roman" w:hAnsi="Times New Roman" w:hint="eastAsia"/>
          <w:b/>
          <w:sz w:val="28"/>
          <w:szCs w:val="28"/>
        </w:rPr>
        <w:lastRenderedPageBreak/>
        <w:t xml:space="preserve">1 </w:t>
      </w:r>
      <w:r w:rsidR="00E37543" w:rsidRPr="004A4824">
        <w:rPr>
          <w:rFonts w:ascii="Times New Roman" w:hAnsi="Times New Roman"/>
          <w:b/>
          <w:sz w:val="28"/>
          <w:szCs w:val="28"/>
        </w:rPr>
        <w:t>Experimental Section</w:t>
      </w:r>
    </w:p>
    <w:p w14:paraId="34671A2B" w14:textId="475175E5" w:rsidR="004A4824" w:rsidRPr="001457CD" w:rsidRDefault="001F66B2" w:rsidP="004A4824">
      <w:pPr>
        <w:pStyle w:val="TAMainText"/>
        <w:spacing w:after="100" w:afterAutospacing="1" w:line="324" w:lineRule="auto"/>
        <w:ind w:firstLine="0"/>
        <w:rPr>
          <w:rFonts w:ascii="Times New Roman" w:hAnsi="Times New Roman"/>
          <w:b/>
          <w:bCs/>
          <w:color w:val="000000" w:themeColor="text1"/>
          <w:sz w:val="20"/>
        </w:rPr>
      </w:pPr>
      <w:r>
        <w:rPr>
          <w:rFonts w:ascii="Times New Roman" w:hAnsi="Times New Roman" w:hint="eastAsia"/>
          <w:b/>
          <w:bCs/>
          <w:color w:val="000000" w:themeColor="text1"/>
          <w:sz w:val="20"/>
          <w:lang w:eastAsia="zh-CN"/>
        </w:rPr>
        <w:t>1</w:t>
      </w:r>
      <w:r w:rsidR="004A4824" w:rsidRPr="001457CD">
        <w:rPr>
          <w:rFonts w:ascii="Times New Roman" w:hAnsi="Times New Roman"/>
          <w:b/>
          <w:bCs/>
          <w:color w:val="000000" w:themeColor="text1"/>
          <w:sz w:val="20"/>
        </w:rPr>
        <w:t>.1 Manufacturing of a Neuro Device Based on Cellulose</w:t>
      </w:r>
    </w:p>
    <w:p w14:paraId="7263C3C0" w14:textId="77777777" w:rsidR="004A4824" w:rsidRDefault="004A4824" w:rsidP="004A4824">
      <w:pPr>
        <w:pStyle w:val="TAMainText"/>
        <w:spacing w:after="100" w:afterAutospacing="1" w:line="324" w:lineRule="auto"/>
        <w:ind w:firstLine="0"/>
        <w:rPr>
          <w:rFonts w:ascii="Times New Roman" w:hAnsi="Times New Roman"/>
          <w:color w:val="000000" w:themeColor="text1"/>
          <w:sz w:val="20"/>
        </w:rPr>
      </w:pPr>
      <w:r w:rsidRPr="001457CD">
        <w:rPr>
          <w:rFonts w:ascii="Times New Roman" w:hAnsi="Times New Roman"/>
          <w:color w:val="000000" w:themeColor="text1"/>
          <w:sz w:val="20"/>
        </w:rPr>
        <w:t>Initially, carboxymethyl cellulose powder is dissolved in deionized water and magnetically stirred at room temperature for 6 hours to achieve complete dissolution, resulting in a cellulose solution. Subsequently, 20 mL of the cellulose solution, with a mass fraction of 0.25 wt%, is poured into a polytetrafluoroethylene (PTFE) mold containing a clean 5 cm × 5 cm glass slide. The assembly is then left undisturbed at a temperature of 60 °C for 12 hours, allowing the carboxymethyl cellulose to form a uniform film on the glass surface (measured thickness of the film was 3.4 μm), which is subsequently peeled off the glass substrate. A masking template is applied over the surface of the cellulose film. Thereafter, synaptic-shaped electrodes with a thickness of approximately 120 nm are deposited onto the surface of the cellulose via direct current sputtering, followed by patterning through a shadow mask.</w:t>
      </w:r>
    </w:p>
    <w:p w14:paraId="78599EAC" w14:textId="68A6638D" w:rsidR="004A4824" w:rsidRPr="00DC3ADA" w:rsidRDefault="001F66B2" w:rsidP="004A4824">
      <w:pPr>
        <w:pStyle w:val="TAMainText"/>
        <w:spacing w:after="100" w:afterAutospacing="1" w:line="324" w:lineRule="auto"/>
        <w:ind w:firstLine="0"/>
        <w:rPr>
          <w:rFonts w:ascii="Times New Roman" w:hAnsi="Times New Roman"/>
          <w:b/>
          <w:bCs/>
          <w:color w:val="000000" w:themeColor="text1"/>
          <w:sz w:val="20"/>
        </w:rPr>
      </w:pPr>
      <w:r>
        <w:rPr>
          <w:rFonts w:ascii="Times New Roman" w:hAnsi="Times New Roman" w:hint="eastAsia"/>
          <w:b/>
          <w:bCs/>
          <w:color w:val="000000" w:themeColor="text1"/>
          <w:sz w:val="20"/>
          <w:lang w:eastAsia="zh-CN"/>
        </w:rPr>
        <w:t>1</w:t>
      </w:r>
      <w:r w:rsidR="004A4824" w:rsidRPr="00DC3ADA">
        <w:rPr>
          <w:rFonts w:ascii="Times New Roman" w:hAnsi="Times New Roman"/>
          <w:b/>
          <w:bCs/>
          <w:color w:val="000000" w:themeColor="text1"/>
          <w:sz w:val="20"/>
        </w:rPr>
        <w:t>.2 Synaptic Functions Characterization</w:t>
      </w:r>
    </w:p>
    <w:p w14:paraId="21292B57" w14:textId="77777777" w:rsidR="004A4824" w:rsidRPr="00DC3ADA" w:rsidRDefault="004A4824" w:rsidP="004A4824">
      <w:pPr>
        <w:pStyle w:val="TAMainText"/>
        <w:spacing w:after="100" w:afterAutospacing="1" w:line="324" w:lineRule="auto"/>
        <w:ind w:firstLine="0"/>
        <w:rPr>
          <w:rFonts w:ascii="Times New Roman" w:hAnsi="Times New Roman"/>
          <w:color w:val="000000" w:themeColor="text1"/>
          <w:sz w:val="20"/>
        </w:rPr>
      </w:pPr>
      <w:r w:rsidRPr="00DC3ADA">
        <w:rPr>
          <w:rFonts w:ascii="Times New Roman" w:hAnsi="Times New Roman"/>
          <w:color w:val="000000" w:themeColor="text1"/>
          <w:sz w:val="20"/>
        </w:rPr>
        <w:t>All the electrical measurements were performed inside shielding box by Agilent B1500A semiconductor parameter analyzer at room temperature. Presynaptic spike was applied on the top electrode via probe and postsynaptic current was measured at the bottom electrode via another probe. The voltage spike signals were generated by the Keysight B1525A high voltage semiconductor spike generator unit (HV-SPGU). For flexible characteristics, presynaptic spike was applied on the top electrode via probe and postsynaptic current was measured via another probe.</w:t>
      </w:r>
    </w:p>
    <w:p w14:paraId="43707003" w14:textId="6307A317" w:rsidR="004A4824" w:rsidRPr="00DC3ADA" w:rsidRDefault="001F66B2" w:rsidP="004A4824">
      <w:pPr>
        <w:pStyle w:val="TAMainText"/>
        <w:spacing w:after="100" w:afterAutospacing="1" w:line="324" w:lineRule="auto"/>
        <w:ind w:firstLine="0"/>
        <w:rPr>
          <w:rFonts w:ascii="Times New Roman" w:hAnsi="Times New Roman"/>
          <w:b/>
          <w:bCs/>
          <w:color w:val="000000" w:themeColor="text1"/>
          <w:sz w:val="20"/>
        </w:rPr>
      </w:pPr>
      <w:r>
        <w:rPr>
          <w:rFonts w:ascii="Times New Roman" w:hAnsi="Times New Roman" w:hint="eastAsia"/>
          <w:b/>
          <w:bCs/>
          <w:color w:val="000000" w:themeColor="text1"/>
          <w:sz w:val="20"/>
          <w:lang w:eastAsia="zh-CN"/>
        </w:rPr>
        <w:t>1</w:t>
      </w:r>
      <w:r w:rsidR="004A4824" w:rsidRPr="00DC3ADA">
        <w:rPr>
          <w:rFonts w:ascii="Times New Roman" w:hAnsi="Times New Roman"/>
          <w:b/>
          <w:bCs/>
          <w:color w:val="000000" w:themeColor="text1"/>
          <w:sz w:val="20"/>
        </w:rPr>
        <w:t>.3 Material Analysis</w:t>
      </w:r>
    </w:p>
    <w:p w14:paraId="4B8600E6" w14:textId="77777777" w:rsidR="004A4824" w:rsidRPr="00DC3ADA" w:rsidRDefault="004A4824" w:rsidP="004A4824">
      <w:pPr>
        <w:pStyle w:val="TAMainText"/>
        <w:spacing w:after="100" w:afterAutospacing="1" w:line="324" w:lineRule="auto"/>
        <w:ind w:firstLine="0"/>
        <w:rPr>
          <w:rFonts w:ascii="Times New Roman" w:hAnsi="Times New Roman"/>
          <w:color w:val="000000" w:themeColor="text1"/>
          <w:sz w:val="20"/>
        </w:rPr>
      </w:pPr>
      <w:r w:rsidRPr="00DC3ADA">
        <w:rPr>
          <w:rFonts w:ascii="Times New Roman" w:hAnsi="Times New Roman"/>
          <w:color w:val="000000" w:themeColor="text1"/>
          <w:sz w:val="20"/>
        </w:rPr>
        <w:t>Fourier transform infrared spectroscopy (FTIR) was applied to analyze the element composition and chemical bonds in the material. Utilize a 3D microscope and scanning electron microscope (SEM) respectively to capture images of the device and the cellulose film. Light transmittance was carried out by N&amp;K 1280 analyzer.</w:t>
      </w:r>
    </w:p>
    <w:p w14:paraId="6EDD6147" w14:textId="60E51590" w:rsidR="004A4824" w:rsidRPr="00DC3ADA" w:rsidRDefault="001F66B2" w:rsidP="004A4824">
      <w:pPr>
        <w:pStyle w:val="TAMainText"/>
        <w:spacing w:after="100" w:afterAutospacing="1" w:line="324" w:lineRule="auto"/>
        <w:ind w:firstLine="0"/>
        <w:rPr>
          <w:rFonts w:ascii="Times New Roman" w:hAnsi="Times New Roman"/>
          <w:b/>
          <w:bCs/>
          <w:color w:val="000000" w:themeColor="text1"/>
          <w:sz w:val="20"/>
        </w:rPr>
      </w:pPr>
      <w:r>
        <w:rPr>
          <w:rFonts w:ascii="Times New Roman" w:hAnsi="Times New Roman" w:hint="eastAsia"/>
          <w:b/>
          <w:bCs/>
          <w:color w:val="000000" w:themeColor="text1"/>
          <w:sz w:val="20"/>
          <w:lang w:eastAsia="zh-CN"/>
        </w:rPr>
        <w:t>1</w:t>
      </w:r>
      <w:r w:rsidR="004A4824" w:rsidRPr="00DC3ADA">
        <w:rPr>
          <w:rFonts w:ascii="Times New Roman" w:hAnsi="Times New Roman"/>
          <w:b/>
          <w:bCs/>
          <w:color w:val="000000" w:themeColor="text1"/>
          <w:sz w:val="20"/>
        </w:rPr>
        <w:t>.4 Correlation Analysis</w:t>
      </w:r>
    </w:p>
    <w:p w14:paraId="3DE9C5F2" w14:textId="77777777" w:rsidR="004A4824" w:rsidRPr="00DC3ADA" w:rsidRDefault="004A4824" w:rsidP="004A4824">
      <w:pPr>
        <w:pStyle w:val="TAMainText"/>
        <w:spacing w:after="100" w:afterAutospacing="1" w:line="324" w:lineRule="auto"/>
        <w:ind w:firstLine="0"/>
        <w:rPr>
          <w:rFonts w:ascii="Times New Roman" w:hAnsi="Times New Roman"/>
          <w:color w:val="000000" w:themeColor="text1"/>
          <w:sz w:val="20"/>
        </w:rPr>
      </w:pPr>
      <w:r w:rsidRPr="00DC3ADA">
        <w:rPr>
          <w:rFonts w:ascii="Times New Roman" w:hAnsi="Times New Roman"/>
          <w:color w:val="000000" w:themeColor="text1"/>
          <w:sz w:val="20"/>
        </w:rPr>
        <w:t>In order to explore the strength of the correlation between two variables (X and Y), we calculated the Pearson product-moment correlation coefficient (PCC), which can be expressed as:</w:t>
      </w:r>
    </w:p>
    <w:p w14:paraId="4C5BB6FF" w14:textId="77777777" w:rsidR="004A4824" w:rsidRPr="006536F7" w:rsidRDefault="00000000" w:rsidP="004A4824">
      <w:pPr>
        <w:pStyle w:val="TAMainText"/>
        <w:rPr>
          <w:color w:val="000000" w:themeColor="text1"/>
          <w:sz w:val="20"/>
          <w:lang w:eastAsia="zh-CN"/>
        </w:rPr>
      </w:pPr>
      <m:oMathPara>
        <m:oMath>
          <m:eqArr>
            <m:eqArrPr>
              <m:maxDist m:val="1"/>
              <m:ctrlPr>
                <w:rPr>
                  <w:rFonts w:ascii="Cambria Math" w:hAnsi="Cambria Math"/>
                  <w:i/>
                  <w:color w:val="000000" w:themeColor="text1"/>
                  <w:sz w:val="20"/>
                  <w:lang w:eastAsia="zh-CN"/>
                </w:rPr>
              </m:ctrlPr>
            </m:eqArrPr>
            <m:e>
              <m:r>
                <w:rPr>
                  <w:rFonts w:ascii="Cambria Math" w:hAnsi="Cambria Math"/>
                  <w:color w:val="000000" w:themeColor="text1"/>
                  <w:sz w:val="20"/>
                  <w:lang w:eastAsia="zh-CN"/>
                </w:rPr>
                <m:t>r</m:t>
              </m:r>
              <m:d>
                <m:dPr>
                  <m:ctrlPr>
                    <w:rPr>
                      <w:rFonts w:ascii="Cambria Math" w:hAnsi="Cambria Math"/>
                      <w:i/>
                      <w:color w:val="000000" w:themeColor="text1"/>
                      <w:sz w:val="20"/>
                      <w:lang w:eastAsia="zh-CN"/>
                    </w:rPr>
                  </m:ctrlPr>
                </m:dPr>
                <m:e>
                  <m:r>
                    <w:rPr>
                      <w:rFonts w:ascii="Cambria Math" w:hAnsi="Cambria Math"/>
                      <w:color w:val="000000" w:themeColor="text1"/>
                      <w:sz w:val="20"/>
                      <w:lang w:eastAsia="zh-CN"/>
                    </w:rPr>
                    <m:t>X,Y</m:t>
                  </m:r>
                </m:e>
              </m:d>
              <m:r>
                <w:rPr>
                  <w:rFonts w:ascii="Cambria Math" w:hAnsi="Cambria Math"/>
                  <w:color w:val="000000" w:themeColor="text1"/>
                  <w:sz w:val="20"/>
                  <w:lang w:eastAsia="zh-CN"/>
                </w:rPr>
                <m:t>=</m:t>
              </m:r>
              <m:f>
                <m:fPr>
                  <m:ctrlPr>
                    <w:rPr>
                      <w:rFonts w:ascii="Cambria Math" w:hAnsi="Cambria Math"/>
                      <w:color w:val="000000" w:themeColor="text1"/>
                      <w:sz w:val="20"/>
                      <w:lang w:eastAsia="zh-CN"/>
                    </w:rPr>
                  </m:ctrlPr>
                </m:fPr>
                <m:num>
                  <m:func>
                    <m:funcPr>
                      <m:ctrlPr>
                        <w:rPr>
                          <w:rFonts w:ascii="Cambria Math" w:hAnsi="Cambria Math"/>
                          <w:i/>
                          <w:color w:val="000000" w:themeColor="text1"/>
                          <w:sz w:val="20"/>
                          <w:lang w:eastAsia="zh-CN"/>
                        </w:rPr>
                      </m:ctrlPr>
                    </m:funcPr>
                    <m:fName>
                      <m:r>
                        <m:rPr>
                          <m:sty m:val="p"/>
                        </m:rPr>
                        <w:rPr>
                          <w:rFonts w:ascii="Cambria Math" w:hAnsi="Cambria Math"/>
                          <w:color w:val="000000" w:themeColor="text1"/>
                          <w:sz w:val="20"/>
                          <w:lang w:eastAsia="zh-CN"/>
                        </w:rPr>
                        <m:t>Cov</m:t>
                      </m:r>
                      <m:ctrlPr>
                        <w:rPr>
                          <w:rFonts w:ascii="Cambria Math" w:hAnsi="Cambria Math"/>
                          <w:color w:val="000000" w:themeColor="text1"/>
                          <w:sz w:val="20"/>
                          <w:lang w:eastAsia="zh-CN"/>
                        </w:rPr>
                      </m:ctrlPr>
                    </m:fName>
                    <m:e>
                      <m:d>
                        <m:dPr>
                          <m:ctrlPr>
                            <w:rPr>
                              <w:rFonts w:ascii="Cambria Math" w:hAnsi="Cambria Math"/>
                              <w:i/>
                              <w:color w:val="000000" w:themeColor="text1"/>
                              <w:sz w:val="20"/>
                              <w:lang w:eastAsia="zh-CN"/>
                            </w:rPr>
                          </m:ctrlPr>
                        </m:dPr>
                        <m:e>
                          <m:r>
                            <w:rPr>
                              <w:rFonts w:ascii="Cambria Math" w:hAnsi="Cambria Math"/>
                              <w:color w:val="000000" w:themeColor="text1"/>
                              <w:sz w:val="20"/>
                              <w:lang w:eastAsia="zh-CN"/>
                            </w:rPr>
                            <m:t>X,Y</m:t>
                          </m:r>
                        </m:e>
                      </m:d>
                    </m:e>
                  </m:func>
                </m:num>
                <m:den>
                  <m:rad>
                    <m:radPr>
                      <m:degHide m:val="1"/>
                      <m:ctrlPr>
                        <w:rPr>
                          <w:rFonts w:ascii="Cambria Math" w:hAnsi="Cambria Math"/>
                          <w:color w:val="000000" w:themeColor="text1"/>
                          <w:sz w:val="20"/>
                          <w:lang w:eastAsia="zh-CN"/>
                        </w:rPr>
                      </m:ctrlPr>
                    </m:radPr>
                    <m:deg/>
                    <m:e>
                      <m:func>
                        <m:funcPr>
                          <m:ctrlPr>
                            <w:rPr>
                              <w:rFonts w:ascii="Cambria Math" w:hAnsi="Cambria Math"/>
                              <w:i/>
                              <w:color w:val="000000" w:themeColor="text1"/>
                              <w:sz w:val="20"/>
                              <w:lang w:eastAsia="zh-CN"/>
                            </w:rPr>
                          </m:ctrlPr>
                        </m:funcPr>
                        <m:fName>
                          <m:r>
                            <m:rPr>
                              <m:sty m:val="p"/>
                            </m:rPr>
                            <w:rPr>
                              <w:rFonts w:ascii="Cambria Math" w:hAnsi="Cambria Math"/>
                              <w:color w:val="000000" w:themeColor="text1"/>
                              <w:sz w:val="20"/>
                              <w:lang w:eastAsia="zh-CN"/>
                            </w:rPr>
                            <m:t>Var</m:t>
                          </m:r>
                          <m:ctrlPr>
                            <w:rPr>
                              <w:rFonts w:ascii="Cambria Math" w:hAnsi="Cambria Math"/>
                              <w:color w:val="000000" w:themeColor="text1"/>
                              <w:sz w:val="20"/>
                              <w:lang w:eastAsia="zh-CN"/>
                            </w:rPr>
                          </m:ctrlPr>
                        </m:fName>
                        <m:e>
                          <m:d>
                            <m:dPr>
                              <m:begChr m:val="["/>
                              <m:endChr m:val="]"/>
                              <m:ctrlPr>
                                <w:rPr>
                                  <w:rFonts w:ascii="Cambria Math" w:hAnsi="Cambria Math"/>
                                  <w:i/>
                                  <w:color w:val="000000" w:themeColor="text1"/>
                                  <w:sz w:val="20"/>
                                  <w:lang w:eastAsia="zh-CN"/>
                                </w:rPr>
                              </m:ctrlPr>
                            </m:dPr>
                            <m:e>
                              <m:r>
                                <w:rPr>
                                  <w:rFonts w:ascii="Cambria Math" w:hAnsi="Cambria Math"/>
                                  <w:color w:val="000000" w:themeColor="text1"/>
                                  <w:sz w:val="20"/>
                                  <w:lang w:eastAsia="zh-CN"/>
                                </w:rPr>
                                <m:t>X</m:t>
                              </m:r>
                            </m:e>
                          </m:d>
                        </m:e>
                      </m:func>
                      <m:func>
                        <m:funcPr>
                          <m:ctrlPr>
                            <w:rPr>
                              <w:rFonts w:ascii="Cambria Math" w:hAnsi="Cambria Math"/>
                              <w:i/>
                              <w:color w:val="000000" w:themeColor="text1"/>
                              <w:sz w:val="20"/>
                              <w:lang w:eastAsia="zh-CN"/>
                            </w:rPr>
                          </m:ctrlPr>
                        </m:funcPr>
                        <m:fName>
                          <m:r>
                            <m:rPr>
                              <m:sty m:val="p"/>
                            </m:rPr>
                            <w:rPr>
                              <w:rFonts w:ascii="Cambria Math" w:hAnsi="Cambria Math"/>
                              <w:color w:val="000000" w:themeColor="text1"/>
                              <w:sz w:val="20"/>
                              <w:lang w:eastAsia="zh-CN"/>
                            </w:rPr>
                            <m:t>Var</m:t>
                          </m:r>
                          <m:ctrlPr>
                            <w:rPr>
                              <w:rFonts w:ascii="Cambria Math" w:hAnsi="Cambria Math"/>
                              <w:color w:val="000000" w:themeColor="text1"/>
                              <w:sz w:val="20"/>
                              <w:lang w:eastAsia="zh-CN"/>
                            </w:rPr>
                          </m:ctrlPr>
                        </m:fName>
                        <m:e>
                          <m:d>
                            <m:dPr>
                              <m:begChr m:val="["/>
                              <m:endChr m:val="]"/>
                              <m:ctrlPr>
                                <w:rPr>
                                  <w:rFonts w:ascii="Cambria Math" w:hAnsi="Cambria Math"/>
                                  <w:i/>
                                  <w:color w:val="000000" w:themeColor="text1"/>
                                  <w:sz w:val="20"/>
                                  <w:lang w:eastAsia="zh-CN"/>
                                </w:rPr>
                              </m:ctrlPr>
                            </m:dPr>
                            <m:e>
                              <m:r>
                                <w:rPr>
                                  <w:rFonts w:ascii="Cambria Math" w:hAnsi="Cambria Math"/>
                                  <w:color w:val="000000" w:themeColor="text1"/>
                                  <w:sz w:val="20"/>
                                  <w:lang w:eastAsia="zh-CN"/>
                                </w:rPr>
                                <m:t>Y</m:t>
                              </m:r>
                            </m:e>
                          </m:d>
                        </m:e>
                      </m:func>
                    </m:e>
                  </m:rad>
                </m:den>
              </m:f>
              <m:r>
                <w:rPr>
                  <w:rFonts w:ascii="Cambria Math" w:hAnsi="Cambria Math"/>
                  <w:color w:val="000000" w:themeColor="text1"/>
                  <w:sz w:val="20"/>
                  <w:lang w:eastAsia="zh-CN"/>
                </w:rPr>
                <m:t>#</m:t>
              </m:r>
              <m:d>
                <m:dPr>
                  <m:ctrlPr>
                    <w:rPr>
                      <w:rFonts w:ascii="Cambria Math" w:hAnsi="Cambria Math"/>
                      <w:i/>
                      <w:color w:val="000000" w:themeColor="text1"/>
                      <w:sz w:val="20"/>
                      <w:lang w:eastAsia="zh-CN"/>
                    </w:rPr>
                  </m:ctrlPr>
                </m:dPr>
                <m:e>
                  <m:r>
                    <w:rPr>
                      <w:rFonts w:ascii="Cambria Math" w:hAnsi="Cambria Math"/>
                      <w:color w:val="000000" w:themeColor="text1"/>
                      <w:sz w:val="20"/>
                      <w:lang w:eastAsia="zh-CN"/>
                    </w:rPr>
                    <m:t>S1</m:t>
                  </m:r>
                </m:e>
              </m:d>
            </m:e>
          </m:eqArr>
        </m:oMath>
      </m:oMathPara>
    </w:p>
    <w:p w14:paraId="7588258E" w14:textId="77777777" w:rsidR="004A4824" w:rsidRPr="00DC3ADA" w:rsidRDefault="004A4824" w:rsidP="004A4824">
      <w:pPr>
        <w:pStyle w:val="TAMainText"/>
        <w:spacing w:after="100" w:afterAutospacing="1" w:line="324" w:lineRule="auto"/>
        <w:ind w:firstLine="0"/>
        <w:rPr>
          <w:rFonts w:ascii="Times New Roman" w:hAnsi="Times New Roman"/>
          <w:color w:val="000000" w:themeColor="text1"/>
          <w:sz w:val="20"/>
        </w:rPr>
      </w:pPr>
      <w:r w:rsidRPr="00DC3ADA">
        <w:rPr>
          <w:rFonts w:ascii="Times New Roman" w:hAnsi="Times New Roman"/>
          <w:color w:val="000000" w:themeColor="text1"/>
          <w:sz w:val="20"/>
        </w:rPr>
        <w:t xml:space="preserve">where </w:t>
      </w:r>
      <m:oMath>
        <m:func>
          <m:funcPr>
            <m:ctrlPr>
              <w:rPr>
                <w:rFonts w:ascii="Cambria Math" w:hAnsi="Cambria Math"/>
                <w:color w:val="000000" w:themeColor="text1"/>
                <w:sz w:val="20"/>
              </w:rPr>
            </m:ctrlPr>
          </m:funcPr>
          <m:fName>
            <m:r>
              <m:rPr>
                <m:sty m:val="p"/>
              </m:rPr>
              <w:rPr>
                <w:rFonts w:ascii="Cambria Math" w:hAnsi="Cambria Math"/>
                <w:color w:val="000000" w:themeColor="text1"/>
                <w:sz w:val="20"/>
              </w:rPr>
              <m:t>Cov</m:t>
            </m:r>
          </m:fName>
          <m:e>
            <m:d>
              <m:dPr>
                <m:ctrlPr>
                  <w:rPr>
                    <w:rFonts w:ascii="Cambria Math" w:hAnsi="Cambria Math"/>
                    <w:color w:val="000000" w:themeColor="text1"/>
                    <w:sz w:val="20"/>
                  </w:rPr>
                </m:ctrlPr>
              </m:dPr>
              <m:e>
                <m:r>
                  <w:rPr>
                    <w:rFonts w:ascii="Cambria Math" w:hAnsi="Cambria Math"/>
                    <w:color w:val="000000" w:themeColor="text1"/>
                    <w:sz w:val="20"/>
                  </w:rPr>
                  <m:t>X</m:t>
                </m:r>
                <m:r>
                  <m:rPr>
                    <m:sty m:val="p"/>
                  </m:rPr>
                  <w:rPr>
                    <w:rFonts w:ascii="Cambria Math" w:hAnsi="Cambria Math"/>
                    <w:color w:val="000000" w:themeColor="text1"/>
                    <w:sz w:val="20"/>
                  </w:rPr>
                  <m:t>,</m:t>
                </m:r>
                <m:r>
                  <w:rPr>
                    <w:rFonts w:ascii="Cambria Math" w:hAnsi="Cambria Math"/>
                    <w:color w:val="000000" w:themeColor="text1"/>
                    <w:sz w:val="20"/>
                  </w:rPr>
                  <m:t>Y</m:t>
                </m:r>
              </m:e>
            </m:d>
          </m:e>
        </m:func>
      </m:oMath>
      <w:r w:rsidRPr="00DC3ADA">
        <w:rPr>
          <w:rFonts w:ascii="Times New Roman" w:hAnsi="Times New Roman"/>
          <w:color w:val="000000" w:themeColor="text1"/>
          <w:sz w:val="20"/>
        </w:rPr>
        <w:t xml:space="preserve"> represents the covariance between X and Y, and </w:t>
      </w:r>
      <m:oMath>
        <m:func>
          <m:funcPr>
            <m:ctrlPr>
              <w:rPr>
                <w:rFonts w:ascii="Cambria Math" w:hAnsi="Cambria Math"/>
                <w:color w:val="000000" w:themeColor="text1"/>
                <w:sz w:val="20"/>
              </w:rPr>
            </m:ctrlPr>
          </m:funcPr>
          <m:fName>
            <m:r>
              <m:rPr>
                <m:sty m:val="p"/>
              </m:rPr>
              <w:rPr>
                <w:rFonts w:ascii="Cambria Math" w:hAnsi="Cambria Math"/>
                <w:color w:val="000000" w:themeColor="text1"/>
                <w:sz w:val="20"/>
              </w:rPr>
              <m:t>Var</m:t>
            </m:r>
          </m:fName>
          <m:e>
            <m:d>
              <m:dPr>
                <m:begChr m:val="["/>
                <m:endChr m:val="]"/>
                <m:ctrlPr>
                  <w:rPr>
                    <w:rFonts w:ascii="Cambria Math" w:hAnsi="Cambria Math"/>
                    <w:color w:val="000000" w:themeColor="text1"/>
                    <w:sz w:val="20"/>
                  </w:rPr>
                </m:ctrlPr>
              </m:dPr>
              <m:e>
                <m:r>
                  <w:rPr>
                    <w:rFonts w:ascii="Cambria Math" w:hAnsi="Cambria Math"/>
                    <w:color w:val="000000" w:themeColor="text1"/>
                    <w:sz w:val="20"/>
                  </w:rPr>
                  <m:t>X</m:t>
                </m:r>
              </m:e>
            </m:d>
          </m:e>
        </m:func>
      </m:oMath>
      <w:r w:rsidRPr="00DC3ADA">
        <w:rPr>
          <w:rFonts w:ascii="Times New Roman" w:hAnsi="Times New Roman"/>
          <w:color w:val="000000" w:themeColor="text1"/>
          <w:sz w:val="20"/>
        </w:rPr>
        <w:t xml:space="preserve"> and </w:t>
      </w:r>
      <m:oMath>
        <m:func>
          <m:funcPr>
            <m:ctrlPr>
              <w:rPr>
                <w:rFonts w:ascii="Cambria Math" w:hAnsi="Cambria Math"/>
                <w:color w:val="000000" w:themeColor="text1"/>
                <w:sz w:val="20"/>
              </w:rPr>
            </m:ctrlPr>
          </m:funcPr>
          <m:fName>
            <m:r>
              <m:rPr>
                <m:sty m:val="p"/>
              </m:rPr>
              <w:rPr>
                <w:rFonts w:ascii="Cambria Math" w:hAnsi="Cambria Math"/>
                <w:color w:val="000000" w:themeColor="text1"/>
                <w:sz w:val="20"/>
              </w:rPr>
              <m:t>Var</m:t>
            </m:r>
          </m:fName>
          <m:e>
            <m:d>
              <m:dPr>
                <m:begChr m:val="["/>
                <m:endChr m:val="]"/>
                <m:ctrlPr>
                  <w:rPr>
                    <w:rFonts w:ascii="Cambria Math" w:hAnsi="Cambria Math"/>
                    <w:color w:val="000000" w:themeColor="text1"/>
                    <w:sz w:val="20"/>
                  </w:rPr>
                </m:ctrlPr>
              </m:dPr>
              <m:e>
                <m:r>
                  <w:rPr>
                    <w:rFonts w:ascii="Cambria Math" w:hAnsi="Cambria Math"/>
                    <w:color w:val="000000" w:themeColor="text1"/>
                    <w:sz w:val="20"/>
                  </w:rPr>
                  <m:t>Y</m:t>
                </m:r>
              </m:e>
            </m:d>
          </m:e>
        </m:func>
      </m:oMath>
      <w:r w:rsidRPr="00DC3ADA">
        <w:rPr>
          <w:rFonts w:ascii="Times New Roman" w:hAnsi="Times New Roman"/>
          <w:color w:val="000000" w:themeColor="text1"/>
          <w:sz w:val="20"/>
        </w:rPr>
        <w:t xml:space="preserve"> are the standard deviations of X and Y, respectively. The calculated result </w:t>
      </w:r>
      <m:oMath>
        <m:r>
          <w:rPr>
            <w:rFonts w:ascii="Cambria Math" w:hAnsi="Cambria Math"/>
            <w:color w:val="000000" w:themeColor="text1"/>
            <w:sz w:val="20"/>
          </w:rPr>
          <m:t>r</m:t>
        </m:r>
        <m:d>
          <m:dPr>
            <m:ctrlPr>
              <w:rPr>
                <w:rFonts w:ascii="Cambria Math" w:hAnsi="Cambria Math"/>
                <w:color w:val="000000" w:themeColor="text1"/>
                <w:sz w:val="20"/>
              </w:rPr>
            </m:ctrlPr>
          </m:dPr>
          <m:e>
            <m:r>
              <w:rPr>
                <w:rFonts w:ascii="Cambria Math" w:hAnsi="Cambria Math"/>
                <w:color w:val="000000" w:themeColor="text1"/>
                <w:sz w:val="20"/>
              </w:rPr>
              <m:t>X</m:t>
            </m:r>
            <m:r>
              <m:rPr>
                <m:sty m:val="p"/>
              </m:rPr>
              <w:rPr>
                <w:rFonts w:ascii="Cambria Math" w:hAnsi="Cambria Math"/>
                <w:color w:val="000000" w:themeColor="text1"/>
                <w:sz w:val="20"/>
              </w:rPr>
              <m:t>,</m:t>
            </m:r>
            <m:r>
              <w:rPr>
                <w:rFonts w:ascii="Cambria Math" w:hAnsi="Cambria Math"/>
                <w:color w:val="000000" w:themeColor="text1"/>
                <w:sz w:val="20"/>
              </w:rPr>
              <m:t>Y</m:t>
            </m:r>
          </m:e>
        </m:d>
      </m:oMath>
      <w:r w:rsidRPr="00DC3ADA">
        <w:rPr>
          <w:rFonts w:ascii="Times New Roman" w:hAnsi="Times New Roman"/>
          <w:color w:val="000000" w:themeColor="text1"/>
          <w:sz w:val="20"/>
        </w:rPr>
        <w:t xml:space="preserve"> represents the PCC, which falls within the range of -1 to 1. The larger the absolute value of PCC, the stronger the correlation between variables X and Y; conversely, a weaker correlation is indicated by values closer to zero.</w:t>
      </w:r>
    </w:p>
    <w:p w14:paraId="0315BF63" w14:textId="72A038D4" w:rsidR="004A4824" w:rsidRPr="00DC3ADA" w:rsidRDefault="001F66B2" w:rsidP="004A4824">
      <w:pPr>
        <w:pStyle w:val="TAMainText"/>
        <w:spacing w:after="100" w:afterAutospacing="1" w:line="324" w:lineRule="auto"/>
        <w:ind w:firstLine="0"/>
        <w:rPr>
          <w:rFonts w:ascii="Times New Roman" w:hAnsi="Times New Roman"/>
          <w:b/>
          <w:bCs/>
          <w:color w:val="000000" w:themeColor="text1"/>
          <w:sz w:val="20"/>
        </w:rPr>
      </w:pPr>
      <w:r>
        <w:rPr>
          <w:rFonts w:ascii="Times New Roman" w:hAnsi="Times New Roman" w:hint="eastAsia"/>
          <w:b/>
          <w:bCs/>
          <w:color w:val="000000" w:themeColor="text1"/>
          <w:sz w:val="20"/>
          <w:lang w:eastAsia="zh-CN"/>
        </w:rPr>
        <w:t>1</w:t>
      </w:r>
      <w:r w:rsidR="004A4824" w:rsidRPr="00DC3ADA">
        <w:rPr>
          <w:rFonts w:ascii="Times New Roman" w:hAnsi="Times New Roman"/>
          <w:b/>
          <w:bCs/>
          <w:color w:val="000000" w:themeColor="text1"/>
          <w:sz w:val="20"/>
        </w:rPr>
        <w:t>.5 Biodegradation</w:t>
      </w:r>
    </w:p>
    <w:p w14:paraId="745BE3BF" w14:textId="77777777" w:rsidR="004A4824" w:rsidRPr="003E7CEE" w:rsidRDefault="004A4824" w:rsidP="004A4824">
      <w:pPr>
        <w:pStyle w:val="TAMainText"/>
        <w:spacing w:after="100" w:afterAutospacing="1" w:line="324" w:lineRule="auto"/>
        <w:ind w:firstLine="0"/>
        <w:rPr>
          <w:rFonts w:ascii="Times New Roman" w:hAnsi="Times New Roman"/>
          <w:color w:val="000000" w:themeColor="text1"/>
          <w:sz w:val="20"/>
        </w:rPr>
      </w:pPr>
      <w:r w:rsidRPr="00DC3ADA">
        <w:rPr>
          <w:rFonts w:ascii="Times New Roman" w:hAnsi="Times New Roman"/>
          <w:color w:val="000000" w:themeColor="text1"/>
          <w:sz w:val="20"/>
        </w:rPr>
        <w:lastRenderedPageBreak/>
        <w:t>Plants used for biodegradation testing were placed in an outdoor environment with temperatures ranging from 25 to 30 degrees Celsius and humidity levels between 40% and 70%. Furthermore, the soil pH was controlled at 6.</w:t>
      </w:r>
    </w:p>
    <w:p w14:paraId="59D8A2E3" w14:textId="5C8E575C" w:rsidR="00D30775" w:rsidRPr="001F66B2" w:rsidRDefault="00FD3C9F" w:rsidP="001F66B2">
      <w:pPr>
        <w:spacing w:after="0" w:line="480" w:lineRule="auto"/>
        <w:rPr>
          <w:rFonts w:ascii="Times New Roman" w:hAnsi="Times New Roman"/>
          <w:b/>
          <w:sz w:val="28"/>
          <w:szCs w:val="28"/>
        </w:rPr>
      </w:pPr>
      <w:r>
        <w:rPr>
          <w:rFonts w:ascii="Times New Roman" w:hAnsi="Times New Roman" w:hint="eastAsia"/>
          <w:b/>
          <w:sz w:val="28"/>
          <w:szCs w:val="28"/>
          <w:lang w:eastAsia="zh-CN"/>
        </w:rPr>
        <w:t xml:space="preserve">2 </w:t>
      </w:r>
      <w:r w:rsidR="00D30775" w:rsidRPr="001F66B2">
        <w:rPr>
          <w:rFonts w:ascii="Times New Roman" w:hAnsi="Times New Roman"/>
          <w:b/>
          <w:sz w:val="28"/>
          <w:szCs w:val="28"/>
        </w:rPr>
        <w:t xml:space="preserve">Supporting </w:t>
      </w:r>
      <w:r w:rsidR="00D30775" w:rsidRPr="001F66B2">
        <w:rPr>
          <w:rFonts w:ascii="Times New Roman" w:hAnsi="Times New Roman" w:hint="eastAsia"/>
          <w:b/>
          <w:sz w:val="28"/>
          <w:szCs w:val="28"/>
        </w:rPr>
        <w:t>F</w:t>
      </w:r>
      <w:r w:rsidR="00D30775" w:rsidRPr="001F66B2">
        <w:rPr>
          <w:rFonts w:ascii="Times New Roman" w:hAnsi="Times New Roman"/>
          <w:b/>
          <w:sz w:val="28"/>
          <w:szCs w:val="28"/>
        </w:rPr>
        <w:t>igures</w:t>
      </w:r>
    </w:p>
    <w:p w14:paraId="39A495A0" w14:textId="77777777" w:rsidR="00D30775" w:rsidRPr="008B48B7" w:rsidRDefault="00D30775" w:rsidP="007C60B3">
      <w:pPr>
        <w:pStyle w:val="VAFigureCaption"/>
        <w:spacing w:after="0" w:line="240" w:lineRule="auto"/>
        <w:jc w:val="center"/>
        <w:rPr>
          <w:color w:val="000000" w:themeColor="text1"/>
          <w:lang w:val="de-DE"/>
        </w:rPr>
      </w:pPr>
      <w:r w:rsidRPr="008B48B7">
        <w:rPr>
          <w:noProof/>
          <w:color w:val="000000" w:themeColor="text1"/>
          <w:lang w:val="de-DE"/>
        </w:rPr>
        <w:drawing>
          <wp:inline distT="0" distB="0" distL="0" distR="0" wp14:anchorId="5E88D49E" wp14:editId="42518BD6">
            <wp:extent cx="2653030" cy="2088776"/>
            <wp:effectExtent l="0" t="0" r="1270" b="0"/>
            <wp:docPr id="17504928"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928" name="图片 1" descr="图表&#10;&#10;描述已自动生成"/>
                    <pic:cNvPicPr/>
                  </pic:nvPicPr>
                  <pic:blipFill rotWithShape="1">
                    <a:blip r:embed="rId13" cstate="print">
                      <a:extLst>
                        <a:ext uri="{28A0092B-C50C-407E-A947-70E740481C1C}">
                          <a14:useLocalDpi xmlns:a14="http://schemas.microsoft.com/office/drawing/2010/main" val="0"/>
                        </a:ext>
                      </a:extLst>
                    </a:blip>
                    <a:srcRect l="3968" t="3008" r="49963" b="67171"/>
                    <a:stretch/>
                  </pic:blipFill>
                  <pic:spPr bwMode="auto">
                    <a:xfrm>
                      <a:off x="0" y="0"/>
                      <a:ext cx="2653873" cy="2089440"/>
                    </a:xfrm>
                    <a:prstGeom prst="rect">
                      <a:avLst/>
                    </a:prstGeom>
                    <a:ln>
                      <a:noFill/>
                    </a:ln>
                    <a:extLst>
                      <a:ext uri="{53640926-AAD7-44D8-BBD7-CCE9431645EC}">
                        <a14:shadowObscured xmlns:a14="http://schemas.microsoft.com/office/drawing/2010/main"/>
                      </a:ext>
                    </a:extLst>
                  </pic:spPr>
                </pic:pic>
              </a:graphicData>
            </a:graphic>
          </wp:inline>
        </w:drawing>
      </w:r>
    </w:p>
    <w:p w14:paraId="11CD8967" w14:textId="3DDCDDC6" w:rsidR="004644C0" w:rsidRDefault="00D30775" w:rsidP="007C60B3">
      <w:pPr>
        <w:pStyle w:val="VAFigureCaption"/>
        <w:spacing w:after="0" w:line="247" w:lineRule="auto"/>
        <w:rPr>
          <w:rFonts w:ascii="Times New Roman" w:hAnsi="Times New Roman"/>
          <w:color w:val="000000" w:themeColor="text1"/>
          <w:sz w:val="16"/>
        </w:rPr>
      </w:pPr>
      <w:r w:rsidRPr="007C60B3">
        <w:rPr>
          <w:rFonts w:ascii="Times New Roman" w:hAnsi="Times New Roman"/>
          <w:b/>
          <w:color w:val="000000" w:themeColor="text1"/>
          <w:sz w:val="16"/>
          <w:lang w:val="de-DE"/>
        </w:rPr>
        <w:t>Fig</w:t>
      </w:r>
      <w:r w:rsidR="007C60B3" w:rsidRPr="007C60B3">
        <w:rPr>
          <w:rFonts w:ascii="Times New Roman" w:hAnsi="Times New Roman"/>
          <w:b/>
          <w:color w:val="000000" w:themeColor="text1"/>
          <w:sz w:val="16"/>
          <w:lang w:eastAsia="zh-CN"/>
        </w:rPr>
        <w:t>.</w:t>
      </w:r>
      <w:r w:rsidRPr="007C60B3">
        <w:rPr>
          <w:rFonts w:ascii="Times New Roman" w:hAnsi="Times New Roman"/>
          <w:b/>
          <w:color w:val="000000" w:themeColor="text1"/>
          <w:sz w:val="16"/>
          <w:lang w:val="de-DE"/>
        </w:rPr>
        <w:t xml:space="preserve"> S1</w:t>
      </w:r>
      <w:r w:rsidRPr="007C60B3">
        <w:rPr>
          <w:rFonts w:ascii="Times New Roman" w:hAnsi="Times New Roman"/>
          <w:color w:val="000000" w:themeColor="text1"/>
          <w:sz w:val="16"/>
        </w:rPr>
        <w:t xml:space="preserve"> The cellulose device exhibits paired-pulse depression when stimulated by two consecutive negative voltage pulses </w:t>
      </w:r>
    </w:p>
    <w:p w14:paraId="7768DF89" w14:textId="77777777" w:rsidR="007C60B3" w:rsidRPr="007C60B3" w:rsidRDefault="007C60B3" w:rsidP="007C60B3"/>
    <w:p w14:paraId="43663B85" w14:textId="77777777" w:rsidR="00D30775" w:rsidRPr="008B48B7" w:rsidRDefault="00D30775" w:rsidP="007C60B3">
      <w:pPr>
        <w:pStyle w:val="VAFigureCaption"/>
        <w:spacing w:after="0" w:line="240" w:lineRule="auto"/>
        <w:jc w:val="center"/>
        <w:rPr>
          <w:color w:val="000000" w:themeColor="text1"/>
        </w:rPr>
      </w:pPr>
      <w:r w:rsidRPr="008B48B7">
        <w:rPr>
          <w:noProof/>
          <w:color w:val="000000" w:themeColor="text1"/>
        </w:rPr>
        <w:drawing>
          <wp:inline distT="0" distB="0" distL="0" distR="0" wp14:anchorId="3BCCBEBB" wp14:editId="38BDEDCA">
            <wp:extent cx="2567533" cy="2133339"/>
            <wp:effectExtent l="0" t="0" r="0" b="635"/>
            <wp:docPr id="158802354" name="图片 15880235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928" name="图片 1" descr="图表&#10;&#10;描述已自动生成"/>
                    <pic:cNvPicPr/>
                  </pic:nvPicPr>
                  <pic:blipFill rotWithShape="1">
                    <a:blip r:embed="rId13" cstate="print">
                      <a:extLst>
                        <a:ext uri="{28A0092B-C50C-407E-A947-70E740481C1C}">
                          <a14:useLocalDpi xmlns:a14="http://schemas.microsoft.com/office/drawing/2010/main" val="0"/>
                        </a:ext>
                      </a:extLst>
                    </a:blip>
                    <a:srcRect l="53787" t="2368" r="1623" b="67171"/>
                    <a:stretch/>
                  </pic:blipFill>
                  <pic:spPr bwMode="auto">
                    <a:xfrm>
                      <a:off x="0" y="0"/>
                      <a:ext cx="2568670" cy="2134284"/>
                    </a:xfrm>
                    <a:prstGeom prst="rect">
                      <a:avLst/>
                    </a:prstGeom>
                    <a:ln>
                      <a:noFill/>
                    </a:ln>
                    <a:extLst>
                      <a:ext uri="{53640926-AAD7-44D8-BBD7-CCE9431645EC}">
                        <a14:shadowObscured xmlns:a14="http://schemas.microsoft.com/office/drawing/2010/main"/>
                      </a:ext>
                    </a:extLst>
                  </pic:spPr>
                </pic:pic>
              </a:graphicData>
            </a:graphic>
          </wp:inline>
        </w:drawing>
      </w:r>
    </w:p>
    <w:p w14:paraId="44062BD7" w14:textId="633D5085" w:rsidR="00D30775" w:rsidRDefault="00D30775" w:rsidP="007C60B3">
      <w:pPr>
        <w:pStyle w:val="VAFigureCaption"/>
        <w:spacing w:line="247" w:lineRule="auto"/>
        <w:rPr>
          <w:rFonts w:ascii="Times New Roman" w:hAnsi="Times New Roman"/>
          <w:color w:val="000000" w:themeColor="text1"/>
          <w:sz w:val="16"/>
        </w:rPr>
      </w:pPr>
      <w:r w:rsidRPr="007C60B3">
        <w:rPr>
          <w:rFonts w:ascii="Times New Roman" w:hAnsi="Times New Roman"/>
          <w:b/>
          <w:bCs/>
          <w:color w:val="000000" w:themeColor="text1"/>
          <w:sz w:val="16"/>
        </w:rPr>
        <w:t>Fig</w:t>
      </w:r>
      <w:r w:rsidR="007C60B3" w:rsidRPr="007C60B3">
        <w:rPr>
          <w:rFonts w:ascii="Times New Roman" w:hAnsi="Times New Roman"/>
          <w:b/>
          <w:bCs/>
          <w:color w:val="000000" w:themeColor="text1"/>
          <w:sz w:val="16"/>
        </w:rPr>
        <w:t>.</w:t>
      </w:r>
      <w:r w:rsidRPr="007C60B3">
        <w:rPr>
          <w:rFonts w:ascii="Times New Roman" w:hAnsi="Times New Roman"/>
          <w:b/>
          <w:bCs/>
          <w:color w:val="000000" w:themeColor="text1"/>
          <w:sz w:val="16"/>
        </w:rPr>
        <w:t xml:space="preserve"> S2</w:t>
      </w:r>
      <w:r w:rsidRPr="007C60B3">
        <w:rPr>
          <w:rFonts w:ascii="Times New Roman" w:hAnsi="Times New Roman"/>
          <w:color w:val="000000" w:themeColor="text1"/>
          <w:sz w:val="16"/>
        </w:rPr>
        <w:t xml:space="preserve"> SRDP with spike frequency varying from 1 to 2.5 Hz </w:t>
      </w:r>
    </w:p>
    <w:p w14:paraId="7CEEC073" w14:textId="77777777" w:rsidR="007C60B3" w:rsidRPr="007C60B3" w:rsidRDefault="007C60B3" w:rsidP="007C60B3"/>
    <w:p w14:paraId="3EE9E90C" w14:textId="77777777" w:rsidR="00D30775" w:rsidRPr="008B48B7" w:rsidRDefault="00D30775" w:rsidP="007C60B3">
      <w:pPr>
        <w:pStyle w:val="VAFigureCaption"/>
        <w:spacing w:after="0" w:line="240" w:lineRule="auto"/>
        <w:jc w:val="center"/>
        <w:rPr>
          <w:color w:val="000000" w:themeColor="text1"/>
        </w:rPr>
      </w:pPr>
      <w:r w:rsidRPr="008B48B7">
        <w:rPr>
          <w:noProof/>
          <w:color w:val="000000" w:themeColor="text1"/>
        </w:rPr>
        <w:drawing>
          <wp:inline distT="0" distB="0" distL="0" distR="0" wp14:anchorId="09479A3F" wp14:editId="1AF51D2F">
            <wp:extent cx="5730267" cy="1044052"/>
            <wp:effectExtent l="0" t="0" r="0" b="0"/>
            <wp:docPr id="521299822" name="图片 52129982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928" name="图片 1" descr="图表&#10;&#10;描述已自动生成"/>
                    <pic:cNvPicPr/>
                  </pic:nvPicPr>
                  <pic:blipFill rotWithShape="1">
                    <a:blip r:embed="rId13" cstate="print">
                      <a:extLst>
                        <a:ext uri="{28A0092B-C50C-407E-A947-70E740481C1C}">
                          <a14:useLocalDpi xmlns:a14="http://schemas.microsoft.com/office/drawing/2010/main" val="0"/>
                        </a:ext>
                      </a:extLst>
                    </a:blip>
                    <a:srcRect l="441" t="38796" r="-1" b="46290"/>
                    <a:stretch/>
                  </pic:blipFill>
                  <pic:spPr bwMode="auto">
                    <a:xfrm>
                      <a:off x="0" y="0"/>
                      <a:ext cx="5735237" cy="1044958"/>
                    </a:xfrm>
                    <a:prstGeom prst="rect">
                      <a:avLst/>
                    </a:prstGeom>
                    <a:ln>
                      <a:noFill/>
                    </a:ln>
                    <a:extLst>
                      <a:ext uri="{53640926-AAD7-44D8-BBD7-CCE9431645EC}">
                        <a14:shadowObscured xmlns:a14="http://schemas.microsoft.com/office/drawing/2010/main"/>
                      </a:ext>
                    </a:extLst>
                  </pic:spPr>
                </pic:pic>
              </a:graphicData>
            </a:graphic>
          </wp:inline>
        </w:drawing>
      </w:r>
    </w:p>
    <w:p w14:paraId="33201399" w14:textId="4A36A239" w:rsidR="009246AD" w:rsidRPr="007C60B3" w:rsidRDefault="00D30775" w:rsidP="007C60B3">
      <w:pPr>
        <w:pStyle w:val="VAFigureCaption"/>
        <w:spacing w:line="247" w:lineRule="auto"/>
        <w:rPr>
          <w:rFonts w:ascii="Times New Roman" w:hAnsi="Times New Roman"/>
          <w:color w:val="000000" w:themeColor="text1"/>
          <w:sz w:val="16"/>
          <w:szCs w:val="16"/>
        </w:rPr>
      </w:pPr>
      <w:r w:rsidRPr="007C60B3">
        <w:rPr>
          <w:rFonts w:ascii="Times New Roman" w:hAnsi="Times New Roman"/>
          <w:b/>
          <w:bCs/>
          <w:color w:val="000000" w:themeColor="text1"/>
          <w:sz w:val="16"/>
          <w:szCs w:val="16"/>
        </w:rPr>
        <w:t>Fig</w:t>
      </w:r>
      <w:r w:rsidR="007C60B3" w:rsidRPr="007C60B3">
        <w:rPr>
          <w:rFonts w:ascii="Times New Roman" w:hAnsi="Times New Roman"/>
          <w:b/>
          <w:bCs/>
          <w:color w:val="000000" w:themeColor="text1"/>
          <w:sz w:val="16"/>
          <w:szCs w:val="16"/>
        </w:rPr>
        <w:t>.</w:t>
      </w:r>
      <w:r w:rsidRPr="007C60B3">
        <w:rPr>
          <w:rFonts w:ascii="Times New Roman" w:hAnsi="Times New Roman"/>
          <w:b/>
          <w:bCs/>
          <w:color w:val="000000" w:themeColor="text1"/>
          <w:sz w:val="16"/>
          <w:szCs w:val="16"/>
        </w:rPr>
        <w:t xml:space="preserve"> S3</w:t>
      </w:r>
      <w:r w:rsidRPr="007C60B3">
        <w:rPr>
          <w:rFonts w:ascii="Times New Roman" w:hAnsi="Times New Roman"/>
          <w:color w:val="000000" w:themeColor="text1"/>
          <w:sz w:val="16"/>
          <w:szCs w:val="16"/>
        </w:rPr>
        <w:t xml:space="preserve"> The cellulose device demonstrates stable signal conversion functionality under continuous pulse stimulation </w:t>
      </w:r>
    </w:p>
    <w:sectPr w:rsidR="009246AD" w:rsidRPr="007C60B3" w:rsidSect="00A51CEB">
      <w:footerReference w:type="even" r:id="rId14"/>
      <w:footerReference w:type="default" r:id="rId15"/>
      <w:type w:val="continuous"/>
      <w:pgSz w:w="12240" w:h="15840"/>
      <w:pgMar w:top="1440" w:right="1440" w:bottom="1440" w:left="1440" w:header="0" w:footer="0" w:gutter="0"/>
      <w:pgNumType w:start="0"/>
      <w:cols w:space="475"/>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A9D0" w14:textId="77777777" w:rsidR="00A51CEB" w:rsidRDefault="00A51CEB">
      <w:r>
        <w:separator/>
      </w:r>
    </w:p>
  </w:endnote>
  <w:endnote w:type="continuationSeparator" w:id="0">
    <w:p w14:paraId="4E85E567" w14:textId="77777777" w:rsidR="00A51CEB" w:rsidRDefault="00A51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0000500000000020000"/>
    <w:charset w:val="00"/>
    <w:family w:val="roman"/>
    <w:pitch w:val="variable"/>
    <w:sig w:usb0="E0002AFF" w:usb1="C0007841" w:usb2="00000009" w:usb3="00000000" w:csb0="000001FF" w:csb1="00000000"/>
  </w:font>
  <w:font w:name="New York">
    <w:altName w:val="Times New Roman"/>
    <w:panose1 w:val="020B0604020202020204"/>
    <w:charset w:val="00"/>
    <w:family w:val="roman"/>
    <w:notTrueType/>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20B0604020202020204"/>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23E84" w14:textId="77777777" w:rsidR="003B4AF3" w:rsidRDefault="003B4AF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5B051B94" w14:textId="77777777" w:rsidR="003B4AF3" w:rsidRDefault="003B4AF3">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13E16" w14:textId="77777777" w:rsidR="003B4AF3" w:rsidRDefault="003B4AF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1B27E6">
      <w:rPr>
        <w:rStyle w:val="a8"/>
        <w:noProof/>
      </w:rPr>
      <w:t>1</w:t>
    </w:r>
    <w:r>
      <w:rPr>
        <w:rStyle w:val="a8"/>
      </w:rPr>
      <w:fldChar w:fldCharType="end"/>
    </w:r>
  </w:p>
  <w:p w14:paraId="5B178983" w14:textId="77777777" w:rsidR="003B4AF3" w:rsidRDefault="003B4AF3">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8E788" w14:textId="77777777" w:rsidR="00A51CEB" w:rsidRDefault="00A51CEB">
      <w:r>
        <w:separator/>
      </w:r>
    </w:p>
  </w:footnote>
  <w:footnote w:type="continuationSeparator" w:id="0">
    <w:p w14:paraId="3C652955" w14:textId="77777777" w:rsidR="00A51CEB" w:rsidRDefault="00A51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3"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6"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7"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16cid:durableId="621762865">
    <w:abstractNumId w:val="6"/>
  </w:num>
  <w:num w:numId="2" w16cid:durableId="1072778574">
    <w:abstractNumId w:val="4"/>
  </w:num>
  <w:num w:numId="3" w16cid:durableId="901521877">
    <w:abstractNumId w:val="7"/>
  </w:num>
  <w:num w:numId="4" w16cid:durableId="1596674015">
    <w:abstractNumId w:val="5"/>
  </w:num>
  <w:num w:numId="5" w16cid:durableId="937252822">
    <w:abstractNumId w:val="3"/>
  </w:num>
  <w:num w:numId="6" w16cid:durableId="101346001">
    <w:abstractNumId w:val="2"/>
  </w:num>
  <w:num w:numId="7" w16cid:durableId="1706128168">
    <w:abstractNumId w:val="1"/>
  </w:num>
  <w:num w:numId="8" w16cid:durableId="716708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 Applied Materials Interfaces&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vvze5zra9rppgezdvjxd5r8zw9vw5svra0a&quot;&gt;纤维素文章&lt;record-ids&gt;&lt;item&gt;2&lt;/item&gt;&lt;item&gt;5&lt;/item&gt;&lt;item&gt;6&lt;/item&gt;&lt;item&gt;7&lt;/item&gt;&lt;item&gt;8&lt;/item&gt;&lt;item&gt;10&lt;/item&gt;&lt;item&gt;11&lt;/item&gt;&lt;item&gt;12&lt;/item&gt;&lt;item&gt;13&lt;/item&gt;&lt;item&gt;14&lt;/item&gt;&lt;item&gt;15&lt;/item&gt;&lt;item&gt;16&lt;/item&gt;&lt;item&gt;17&lt;/item&gt;&lt;item&gt;18&lt;/item&gt;&lt;item&gt;19&lt;/item&gt;&lt;item&gt;20&lt;/item&gt;&lt;item&gt;21&lt;/item&gt;&lt;item&gt;24&lt;/item&gt;&lt;item&gt;25&lt;/item&gt;&lt;item&gt;26&lt;/item&gt;&lt;item&gt;27&lt;/item&gt;&lt;item&gt;28&lt;/item&gt;&lt;item&gt;29&lt;/item&gt;&lt;item&gt;30&lt;/item&gt;&lt;item&gt;31&lt;/item&gt;&lt;item&gt;32&lt;/item&gt;&lt;item&gt;33&lt;/item&gt;&lt;item&gt;35&lt;/item&gt;&lt;item&gt;36&lt;/item&gt;&lt;item&gt;37&lt;/item&gt;&lt;item&gt;41&lt;/item&gt;&lt;item&gt;42&lt;/item&gt;&lt;/record-ids&gt;&lt;/item&gt;&lt;/Libraries&gt;"/>
  </w:docVars>
  <w:rsids>
    <w:rsidRoot w:val="00D831DB"/>
    <w:rsid w:val="00051938"/>
    <w:rsid w:val="0005660F"/>
    <w:rsid w:val="000702AD"/>
    <w:rsid w:val="00082496"/>
    <w:rsid w:val="000A0701"/>
    <w:rsid w:val="000B5610"/>
    <w:rsid w:val="000C05CC"/>
    <w:rsid w:val="001165DB"/>
    <w:rsid w:val="00131D9F"/>
    <w:rsid w:val="001454BD"/>
    <w:rsid w:val="00164BDC"/>
    <w:rsid w:val="00171ED5"/>
    <w:rsid w:val="001A7A90"/>
    <w:rsid w:val="001B27E6"/>
    <w:rsid w:val="001B40A8"/>
    <w:rsid w:val="001F66B2"/>
    <w:rsid w:val="00212B1D"/>
    <w:rsid w:val="00235458"/>
    <w:rsid w:val="002A5C5E"/>
    <w:rsid w:val="002A7493"/>
    <w:rsid w:val="002B4363"/>
    <w:rsid w:val="002C3431"/>
    <w:rsid w:val="002F42AA"/>
    <w:rsid w:val="00316C0E"/>
    <w:rsid w:val="00324E2C"/>
    <w:rsid w:val="003330CB"/>
    <w:rsid w:val="003404C0"/>
    <w:rsid w:val="003664E9"/>
    <w:rsid w:val="003679A1"/>
    <w:rsid w:val="003B4AF3"/>
    <w:rsid w:val="003B61E0"/>
    <w:rsid w:val="003D5E6D"/>
    <w:rsid w:val="003E511C"/>
    <w:rsid w:val="0040648B"/>
    <w:rsid w:val="004077FF"/>
    <w:rsid w:val="00426344"/>
    <w:rsid w:val="004644C0"/>
    <w:rsid w:val="00473476"/>
    <w:rsid w:val="00475AC3"/>
    <w:rsid w:val="00475FD2"/>
    <w:rsid w:val="00476D46"/>
    <w:rsid w:val="004A4824"/>
    <w:rsid w:val="004E53A3"/>
    <w:rsid w:val="004E7185"/>
    <w:rsid w:val="00511F91"/>
    <w:rsid w:val="00515BFC"/>
    <w:rsid w:val="005210E3"/>
    <w:rsid w:val="0053686E"/>
    <w:rsid w:val="005854FF"/>
    <w:rsid w:val="00591A57"/>
    <w:rsid w:val="005A350A"/>
    <w:rsid w:val="005D0C10"/>
    <w:rsid w:val="005D14BE"/>
    <w:rsid w:val="005E3BB1"/>
    <w:rsid w:val="006455A5"/>
    <w:rsid w:val="00672BDB"/>
    <w:rsid w:val="00674BB3"/>
    <w:rsid w:val="00697BBF"/>
    <w:rsid w:val="006B2581"/>
    <w:rsid w:val="006C521A"/>
    <w:rsid w:val="00725E15"/>
    <w:rsid w:val="007629D3"/>
    <w:rsid w:val="007C60B3"/>
    <w:rsid w:val="007E7EEF"/>
    <w:rsid w:val="008047DE"/>
    <w:rsid w:val="00812CB6"/>
    <w:rsid w:val="00824A69"/>
    <w:rsid w:val="008655C0"/>
    <w:rsid w:val="008832D8"/>
    <w:rsid w:val="008A556E"/>
    <w:rsid w:val="008B48B7"/>
    <w:rsid w:val="008D37B6"/>
    <w:rsid w:val="00910E09"/>
    <w:rsid w:val="00912169"/>
    <w:rsid w:val="0092037A"/>
    <w:rsid w:val="009246AD"/>
    <w:rsid w:val="00932644"/>
    <w:rsid w:val="009870BF"/>
    <w:rsid w:val="009A355E"/>
    <w:rsid w:val="009F2E7E"/>
    <w:rsid w:val="00A02D62"/>
    <w:rsid w:val="00A20EB5"/>
    <w:rsid w:val="00A26C26"/>
    <w:rsid w:val="00A34A48"/>
    <w:rsid w:val="00A51CEB"/>
    <w:rsid w:val="00A764EF"/>
    <w:rsid w:val="00A83DDF"/>
    <w:rsid w:val="00AA19CB"/>
    <w:rsid w:val="00AB10D4"/>
    <w:rsid w:val="00AB34C5"/>
    <w:rsid w:val="00AD7244"/>
    <w:rsid w:val="00B04D17"/>
    <w:rsid w:val="00B07106"/>
    <w:rsid w:val="00B34175"/>
    <w:rsid w:val="00B73527"/>
    <w:rsid w:val="00B7618D"/>
    <w:rsid w:val="00B81C42"/>
    <w:rsid w:val="00B96CB0"/>
    <w:rsid w:val="00BC07DE"/>
    <w:rsid w:val="00BD2C44"/>
    <w:rsid w:val="00BE1EE1"/>
    <w:rsid w:val="00C10EE0"/>
    <w:rsid w:val="00C119FE"/>
    <w:rsid w:val="00C12556"/>
    <w:rsid w:val="00C416EB"/>
    <w:rsid w:val="00C45B7D"/>
    <w:rsid w:val="00C54ADB"/>
    <w:rsid w:val="00C954C9"/>
    <w:rsid w:val="00CD1FA0"/>
    <w:rsid w:val="00CF3D5D"/>
    <w:rsid w:val="00D2061A"/>
    <w:rsid w:val="00D30775"/>
    <w:rsid w:val="00D32E24"/>
    <w:rsid w:val="00D52100"/>
    <w:rsid w:val="00D831DB"/>
    <w:rsid w:val="00DA0D85"/>
    <w:rsid w:val="00DD6DBB"/>
    <w:rsid w:val="00DE12F4"/>
    <w:rsid w:val="00DE48B1"/>
    <w:rsid w:val="00DF38EC"/>
    <w:rsid w:val="00E074F2"/>
    <w:rsid w:val="00E26221"/>
    <w:rsid w:val="00E37543"/>
    <w:rsid w:val="00E7290B"/>
    <w:rsid w:val="00E91482"/>
    <w:rsid w:val="00E94AD2"/>
    <w:rsid w:val="00E96302"/>
    <w:rsid w:val="00E97BE2"/>
    <w:rsid w:val="00EA201B"/>
    <w:rsid w:val="00F134F5"/>
    <w:rsid w:val="00F1759F"/>
    <w:rsid w:val="00F337D2"/>
    <w:rsid w:val="00F4109A"/>
    <w:rsid w:val="00F47B85"/>
    <w:rsid w:val="00F5645C"/>
    <w:rsid w:val="00FA740B"/>
    <w:rsid w:val="00FD3C9F"/>
    <w:rsid w:val="00FE1B54"/>
    <w:rsid w:val="00FE61C0"/>
    <w:rsid w:val="00FE6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28FB99"/>
  <w15:docId w15:val="{624ED712-02B0-4049-835B-398376554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宋体"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jc w:val="both"/>
    </w:pPr>
    <w:rPr>
      <w:rFonts w:ascii="Times" w:hAnsi="Time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pPr>
      <w:spacing w:line="480" w:lineRule="auto"/>
      <w:ind w:firstLine="187"/>
    </w:pPr>
  </w:style>
  <w:style w:type="paragraph" w:customStyle="1" w:styleId="TAMainText">
    <w:name w:val="TA_Main_Text"/>
    <w:basedOn w:val="a"/>
    <w:link w:val="TAMainText0"/>
    <w:pPr>
      <w:spacing w:after="0" w:line="480" w:lineRule="auto"/>
      <w:ind w:firstLine="202"/>
    </w:pPr>
  </w:style>
  <w:style w:type="paragraph" w:customStyle="1" w:styleId="BATitle">
    <w:name w:val="BA_Title"/>
    <w:basedOn w:val="a"/>
    <w:next w:val="BBAuthorName"/>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pPr>
      <w:spacing w:after="240" w:line="480" w:lineRule="auto"/>
      <w:jc w:val="center"/>
    </w:pPr>
    <w:rPr>
      <w:i/>
    </w:rPr>
  </w:style>
  <w:style w:type="paragraph" w:customStyle="1" w:styleId="BCAuthorAddress">
    <w:name w:val="BC_Author_Address"/>
    <w:basedOn w:val="a"/>
    <w:next w:val="BIEmailAddress"/>
    <w:pPr>
      <w:spacing w:after="240" w:line="480" w:lineRule="auto"/>
      <w:jc w:val="center"/>
    </w:pPr>
  </w:style>
  <w:style w:type="paragraph" w:customStyle="1" w:styleId="BIEmailAddress">
    <w:name w:val="BI_Email_Address"/>
    <w:basedOn w:val="a"/>
    <w:next w:val="AIReceivedDate"/>
    <w:pPr>
      <w:spacing w:line="480" w:lineRule="auto"/>
    </w:pPr>
  </w:style>
  <w:style w:type="paragraph" w:customStyle="1" w:styleId="AIReceivedDate">
    <w:name w:val="AI_Received_Date"/>
    <w:basedOn w:val="a"/>
    <w:next w:val="BDAbstract"/>
    <w:pPr>
      <w:spacing w:after="240" w:line="480" w:lineRule="auto"/>
    </w:pPr>
    <w:rPr>
      <w:b/>
    </w:rPr>
  </w:style>
  <w:style w:type="paragraph" w:customStyle="1" w:styleId="BDAbstract">
    <w:name w:val="BD_Abstract"/>
    <w:basedOn w:val="a"/>
    <w:next w:val="TAMainText"/>
    <w:pPr>
      <w:spacing w:before="360" w:after="360" w:line="480" w:lineRule="auto"/>
    </w:pPr>
  </w:style>
  <w:style w:type="paragraph" w:customStyle="1" w:styleId="TDAcknowledgments">
    <w:name w:val="TD_Acknowledgments"/>
    <w:basedOn w:val="a"/>
    <w:next w:val="a"/>
    <w:pPr>
      <w:spacing w:before="200" w:line="480" w:lineRule="auto"/>
      <w:ind w:firstLine="202"/>
    </w:pPr>
  </w:style>
  <w:style w:type="paragraph" w:customStyle="1" w:styleId="TESupportingInformation">
    <w:name w:val="TE_Supporting_Information"/>
    <w:basedOn w:val="a"/>
    <w:next w:val="a"/>
    <w:pPr>
      <w:spacing w:line="480" w:lineRule="auto"/>
      <w:ind w:firstLine="187"/>
    </w:pPr>
  </w:style>
  <w:style w:type="paragraph" w:customStyle="1" w:styleId="VCSchemeTitle">
    <w:name w:val="VC_Scheme_Title"/>
    <w:basedOn w:val="a"/>
    <w:next w:val="a"/>
    <w:pPr>
      <w:spacing w:line="480" w:lineRule="auto"/>
    </w:pPr>
  </w:style>
  <w:style w:type="paragraph" w:customStyle="1" w:styleId="VDTableTitle">
    <w:name w:val="VD_Table_Title"/>
    <w:basedOn w:val="a"/>
    <w:next w:val="a"/>
    <w:pPr>
      <w:spacing w:line="480" w:lineRule="auto"/>
    </w:pPr>
  </w:style>
  <w:style w:type="paragraph" w:customStyle="1" w:styleId="VAFigureCaption">
    <w:name w:val="VA_Figure_Caption"/>
    <w:basedOn w:val="a"/>
    <w:next w:val="a"/>
    <w:pPr>
      <w:spacing w:line="480" w:lineRule="auto"/>
    </w:pPr>
  </w:style>
  <w:style w:type="paragraph" w:customStyle="1" w:styleId="VBChartTitle">
    <w:name w:val="VB_Chart_Title"/>
    <w:basedOn w:val="a"/>
    <w:next w:val="a"/>
    <w:pPr>
      <w:spacing w:line="480" w:lineRule="auto"/>
    </w:pPr>
  </w:style>
  <w:style w:type="paragraph" w:customStyle="1" w:styleId="FETableFootnote">
    <w:name w:val="FE_Table_Footnote"/>
    <w:basedOn w:val="a"/>
    <w:next w:val="a"/>
    <w:pPr>
      <w:ind w:firstLine="187"/>
    </w:pPr>
  </w:style>
  <w:style w:type="paragraph" w:customStyle="1" w:styleId="FCChartFootnote">
    <w:name w:val="FC_Chart_Footnote"/>
    <w:basedOn w:val="a"/>
    <w:next w:val="a"/>
    <w:pPr>
      <w:ind w:firstLine="187"/>
    </w:pPr>
  </w:style>
  <w:style w:type="paragraph" w:customStyle="1" w:styleId="FDSchemeFootnote">
    <w:name w:val="FD_Scheme_Footnote"/>
    <w:basedOn w:val="a"/>
    <w:next w:val="a"/>
    <w:pPr>
      <w:ind w:firstLine="187"/>
    </w:pPr>
  </w:style>
  <w:style w:type="paragraph" w:customStyle="1" w:styleId="TCTableBody">
    <w:name w:val="TC_Table_Body"/>
    <w:basedOn w:val="a"/>
  </w:style>
  <w:style w:type="paragraph" w:customStyle="1" w:styleId="AFTitleRunningHead">
    <w:name w:val="AF_Title_Running_Head"/>
    <w:basedOn w:val="a"/>
    <w:next w:val="TAMainText"/>
    <w:pPr>
      <w:spacing w:line="480" w:lineRule="auto"/>
    </w:pPr>
  </w:style>
  <w:style w:type="paragraph" w:customStyle="1" w:styleId="BEAuthorBiography">
    <w:name w:val="BE_Author_Biography"/>
    <w:basedOn w:val="a"/>
    <w:pPr>
      <w:spacing w:line="480" w:lineRule="auto"/>
    </w:pPr>
  </w:style>
  <w:style w:type="paragraph" w:customStyle="1" w:styleId="FACorrespondingAuthorFootnote">
    <w:name w:val="FA_Corresponding_Author_Footnote"/>
    <w:basedOn w:val="a"/>
    <w:next w:val="TAMainText"/>
    <w:pPr>
      <w:spacing w:line="480" w:lineRule="auto"/>
    </w:pPr>
  </w:style>
  <w:style w:type="paragraph" w:customStyle="1" w:styleId="SNSynopsisTOC">
    <w:name w:val="SN_Synopsis_TOC"/>
    <w:basedOn w:val="a"/>
    <w:pPr>
      <w:spacing w:line="480" w:lineRule="auto"/>
    </w:pPr>
  </w:style>
  <w:style w:type="character" w:styleId="a6">
    <w:name w:val="Hyperlink"/>
    <w:rPr>
      <w:color w:val="0000FF"/>
      <w:u w:val="single"/>
    </w:rPr>
  </w:style>
  <w:style w:type="paragraph" w:styleId="a7">
    <w:name w:val="footer"/>
    <w:basedOn w:val="a"/>
    <w:pPr>
      <w:tabs>
        <w:tab w:val="center" w:pos="4320"/>
        <w:tab w:val="right" w:pos="8640"/>
      </w:tabs>
    </w:pPr>
  </w:style>
  <w:style w:type="paragraph" w:customStyle="1" w:styleId="BGKeywords">
    <w:name w:val="BG_Keywords"/>
    <w:basedOn w:val="a"/>
    <w:pPr>
      <w:spacing w:line="480" w:lineRule="auto"/>
    </w:pPr>
  </w:style>
  <w:style w:type="paragraph" w:customStyle="1" w:styleId="BHBriefs">
    <w:name w:val="BH_Briefs"/>
    <w:basedOn w:val="a"/>
    <w:pPr>
      <w:spacing w:line="480" w:lineRule="auto"/>
    </w:pPr>
  </w:style>
  <w:style w:type="character" w:styleId="a8">
    <w:name w:val="page number"/>
    <w:basedOn w:val="a0"/>
  </w:style>
  <w:style w:type="paragraph" w:styleId="a9">
    <w:name w:val="Balloon Text"/>
    <w:basedOn w:val="a"/>
    <w:semiHidden/>
    <w:rsid w:val="00E96302"/>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a"/>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paragraph" w:customStyle="1" w:styleId="EndNoteBibliographyTitle">
    <w:name w:val="EndNote Bibliography Title"/>
    <w:basedOn w:val="a"/>
    <w:link w:val="EndNoteBibliographyTitle0"/>
    <w:rsid w:val="00DE48B1"/>
    <w:pPr>
      <w:spacing w:after="0"/>
      <w:jc w:val="center"/>
    </w:pPr>
    <w:rPr>
      <w:rFonts w:cs="Times"/>
    </w:rPr>
  </w:style>
  <w:style w:type="character" w:customStyle="1" w:styleId="TAMainText0">
    <w:name w:val="TA_Main_Text 字符"/>
    <w:basedOn w:val="a0"/>
    <w:link w:val="TAMainText"/>
    <w:rsid w:val="00DE48B1"/>
    <w:rPr>
      <w:rFonts w:ascii="Times" w:hAnsi="Times"/>
      <w:sz w:val="24"/>
    </w:rPr>
  </w:style>
  <w:style w:type="character" w:customStyle="1" w:styleId="EndNoteBibliographyTitle0">
    <w:name w:val="EndNote Bibliography Title 字符"/>
    <w:basedOn w:val="TAMainText0"/>
    <w:link w:val="EndNoteBibliographyTitle"/>
    <w:rsid w:val="00DE48B1"/>
    <w:rPr>
      <w:rFonts w:ascii="Times" w:hAnsi="Times" w:cs="Times"/>
      <w:sz w:val="24"/>
    </w:rPr>
  </w:style>
  <w:style w:type="paragraph" w:customStyle="1" w:styleId="EndNoteBibliography">
    <w:name w:val="EndNote Bibliography"/>
    <w:basedOn w:val="a"/>
    <w:link w:val="EndNoteBibliography0"/>
    <w:rsid w:val="00DE48B1"/>
    <w:pPr>
      <w:jc w:val="left"/>
    </w:pPr>
    <w:rPr>
      <w:rFonts w:cs="Times"/>
    </w:rPr>
  </w:style>
  <w:style w:type="character" w:customStyle="1" w:styleId="EndNoteBibliography0">
    <w:name w:val="EndNote Bibliography 字符"/>
    <w:basedOn w:val="TAMainText0"/>
    <w:link w:val="EndNoteBibliography"/>
    <w:rsid w:val="00DE48B1"/>
    <w:rPr>
      <w:rFonts w:ascii="Times" w:hAnsi="Times" w:cs="Times"/>
      <w:sz w:val="24"/>
    </w:rPr>
  </w:style>
  <w:style w:type="character" w:styleId="aa">
    <w:name w:val="Placeholder Text"/>
    <w:basedOn w:val="a0"/>
    <w:uiPriority w:val="99"/>
    <w:semiHidden/>
    <w:rsid w:val="002A5C5E"/>
    <w:rPr>
      <w:color w:val="808080"/>
    </w:rPr>
  </w:style>
  <w:style w:type="paragraph" w:styleId="ab">
    <w:name w:val="header"/>
    <w:basedOn w:val="a"/>
    <w:link w:val="ac"/>
    <w:rsid w:val="00E37543"/>
    <w:pPr>
      <w:tabs>
        <w:tab w:val="center" w:pos="4153"/>
        <w:tab w:val="right" w:pos="8306"/>
      </w:tabs>
      <w:snapToGrid w:val="0"/>
      <w:jc w:val="center"/>
    </w:pPr>
    <w:rPr>
      <w:sz w:val="18"/>
      <w:szCs w:val="18"/>
    </w:rPr>
  </w:style>
  <w:style w:type="character" w:customStyle="1" w:styleId="ac">
    <w:name w:val="页眉 字符"/>
    <w:basedOn w:val="a0"/>
    <w:link w:val="ab"/>
    <w:rsid w:val="00E37543"/>
    <w:rPr>
      <w:rFonts w:ascii="Times" w:hAnsi="Time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cchang@pkusz.edu.cn"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lilei@pkusz.edu.cn" TargetMode="External"/><Relationship Id="rId12" Type="http://schemas.openxmlformats.org/officeDocument/2006/relationships/hyperlink" Target="mailto:dj@acrobiomedica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ehui_peng@stu.pku.edu.cn"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2201212780@stu.pku.edu.cn" TargetMode="External"/><Relationship Id="rId4" Type="http://schemas.openxmlformats.org/officeDocument/2006/relationships/webSettings" Target="webSettings.xml"/><Relationship Id="rId9" Type="http://schemas.openxmlformats.org/officeDocument/2006/relationships/hyperlink" Target="mailto:yhxu@stu.pku.edu.cn"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xuyihua/Desktop/&#23398;&#20064;&#30456;&#20851;/&#23454;&#39564;&#23460;/&#25991;&#31456;/&#25968;&#27169;&#36716;&#25442;/&#25237;&#31295;/ACS%20AMI/&#27169;&#29256;&#259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模版改.dotx</Template>
  <TotalTime>118</TotalTime>
  <Pages>3</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4054</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Microsoft Office User</dc:creator>
  <cp:keywords/>
  <cp:lastModifiedBy>艺铧 许</cp:lastModifiedBy>
  <cp:revision>116</cp:revision>
  <cp:lastPrinted>2008-06-11T21:33:00Z</cp:lastPrinted>
  <dcterms:created xsi:type="dcterms:W3CDTF">2024-01-17T07:28:00Z</dcterms:created>
  <dcterms:modified xsi:type="dcterms:W3CDTF">2024-04-14T13:39:00Z</dcterms:modified>
</cp:coreProperties>
</file>