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965"/>
        <w:gridCol w:w="6898"/>
        <w:gridCol w:w="720"/>
        <w:gridCol w:w="4320"/>
      </w:tblGrid>
      <w:tr w:rsidR="00D8098C" w:rsidRPr="00B853C6" w14:paraId="68BC94E2" w14:textId="1CEFEAFD" w:rsidTr="005E0D45">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965"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6898"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5E0D45">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965"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6898"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71BD737D" w:rsidR="00D8098C" w:rsidRPr="005E0D45" w:rsidRDefault="005E0D4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p>
        </w:tc>
        <w:tc>
          <w:tcPr>
            <w:tcW w:w="4320" w:type="dxa"/>
            <w:tcBorders>
              <w:top w:val="single" w:sz="6" w:space="0" w:color="7F7F7F"/>
              <w:bottom w:val="single" w:sz="6" w:space="0" w:color="7F7F7F"/>
            </w:tcBorders>
            <w:shd w:val="clear" w:color="auto" w:fill="EEEEEE"/>
          </w:tcPr>
          <w:p w14:paraId="6DA82A04" w14:textId="77777777" w:rsidR="005E0D45" w:rsidRPr="005E0D45" w:rsidRDefault="005E0D45" w:rsidP="005E0D45">
            <w:pPr>
              <w:spacing w:beforeLines="40" w:before="96" w:afterLines="40" w:after="96" w:line="24" w:lineRule="atLeast"/>
              <w:rPr>
                <w:rFonts w:eastAsia="Times New Roman"/>
                <w:sz w:val="18"/>
                <w:szCs w:val="18"/>
                <w:lang w:val="en-GB" w:eastAsia="en-GB"/>
              </w:rPr>
            </w:pPr>
            <w:r w:rsidRPr="005E0D45">
              <w:rPr>
                <w:rFonts w:eastAsia="Times New Roman"/>
                <w:sz w:val="18"/>
                <w:szCs w:val="18"/>
                <w:lang w:val="en-GB" w:eastAsia="en-GB"/>
              </w:rPr>
              <w:t>The causal relationship between hyperthyroidism, hypothyroidism, and osteoporosis: a Mendelian randomization study</w:t>
            </w:r>
          </w:p>
          <w:p w14:paraId="6760BE0F" w14:textId="77777777" w:rsidR="005E0D45" w:rsidRPr="005E0D45" w:rsidRDefault="005E0D45" w:rsidP="005E0D45">
            <w:pPr>
              <w:spacing w:beforeLines="40" w:before="96" w:afterLines="40" w:after="96" w:line="24" w:lineRule="atLeast"/>
              <w:rPr>
                <w:rFonts w:eastAsia="Times New Roman"/>
                <w:sz w:val="18"/>
                <w:szCs w:val="18"/>
                <w:lang w:val="en-GB" w:eastAsia="en-GB"/>
              </w:rPr>
            </w:pPr>
            <w:r w:rsidRPr="005E0D45">
              <w:rPr>
                <w:rFonts w:eastAsia="Times New Roman"/>
                <w:sz w:val="18"/>
                <w:szCs w:val="18"/>
                <w:lang w:val="en-GB" w:eastAsia="en-GB"/>
              </w:rPr>
              <w:t>Abstract</w:t>
            </w:r>
          </w:p>
          <w:p w14:paraId="056820CA" w14:textId="77777777" w:rsidR="005E0D45" w:rsidRPr="005E0D45" w:rsidRDefault="005E0D45" w:rsidP="005E0D45">
            <w:pPr>
              <w:spacing w:beforeLines="40" w:before="96" w:afterLines="40" w:after="96" w:line="24" w:lineRule="atLeast"/>
              <w:rPr>
                <w:rFonts w:eastAsia="Times New Roman"/>
                <w:sz w:val="18"/>
                <w:szCs w:val="18"/>
                <w:lang w:val="en-GB" w:eastAsia="en-GB"/>
              </w:rPr>
            </w:pPr>
            <w:proofErr w:type="spellStart"/>
            <w:r w:rsidRPr="005E0D45">
              <w:rPr>
                <w:rFonts w:eastAsia="Times New Roman"/>
                <w:sz w:val="18"/>
                <w:szCs w:val="18"/>
                <w:lang w:val="en-GB" w:eastAsia="en-GB"/>
              </w:rPr>
              <w:t>Introduction:Over</w:t>
            </w:r>
            <w:proofErr w:type="spellEnd"/>
            <w:r w:rsidRPr="005E0D45">
              <w:rPr>
                <w:rFonts w:eastAsia="Times New Roman"/>
                <w:sz w:val="18"/>
                <w:szCs w:val="18"/>
                <w:lang w:val="en-GB" w:eastAsia="en-GB"/>
              </w:rPr>
              <w:t xml:space="preserve"> the past few years, multiple observational studies have speculated a potential association between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and osteoporosis. However, no consensus has been reached regarding their interdependence and pathogenesis. Herein, we sought to further explore the causal associations between them.</w:t>
            </w:r>
          </w:p>
          <w:p w14:paraId="06BEA8F9" w14:textId="77777777" w:rsidR="005E0D45" w:rsidRPr="005E0D45" w:rsidRDefault="005E0D45" w:rsidP="005E0D45">
            <w:pPr>
              <w:spacing w:beforeLines="40" w:before="96" w:afterLines="40" w:after="96" w:line="24" w:lineRule="atLeast"/>
              <w:rPr>
                <w:rFonts w:eastAsia="Times New Roman"/>
                <w:sz w:val="18"/>
                <w:szCs w:val="18"/>
                <w:lang w:val="en-GB" w:eastAsia="en-GB"/>
              </w:rPr>
            </w:pPr>
            <w:r w:rsidRPr="005E0D45">
              <w:rPr>
                <w:rFonts w:eastAsia="Times New Roman"/>
                <w:sz w:val="18"/>
                <w:szCs w:val="18"/>
                <w:lang w:val="en-GB" w:eastAsia="en-GB"/>
              </w:rPr>
              <w:t xml:space="preserve"> </w:t>
            </w:r>
            <w:proofErr w:type="spellStart"/>
            <w:r w:rsidRPr="005E0D45">
              <w:rPr>
                <w:rFonts w:eastAsia="Times New Roman"/>
                <w:sz w:val="18"/>
                <w:szCs w:val="18"/>
                <w:lang w:val="en-GB" w:eastAsia="en-GB"/>
              </w:rPr>
              <w:t>Methods:We</w:t>
            </w:r>
            <w:proofErr w:type="spellEnd"/>
            <w:r w:rsidRPr="005E0D45">
              <w:rPr>
                <w:rFonts w:eastAsia="Times New Roman"/>
                <w:sz w:val="18"/>
                <w:szCs w:val="18"/>
                <w:lang w:val="en-GB" w:eastAsia="en-GB"/>
              </w:rPr>
              <w:t xml:space="preserve"> validated the association between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and reduced bone mineral density in humans based on genome-wide association studies (GWAS) data. To investigate the causal relationship between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and osteoporosis, we performed a two-sample Mendelian randomization study using training and validation sets. Genetic variation data for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and osteoporosis were derived from published genome-wide association studies in individuals of European ancestry. After a series of robust quality control steps, we included eligible instrumental variables (SNPs) significantly associated with exposure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We adopted five algorithms, including MR Egger, Weighted median, Inverse variance weighted, Simple mode, and Weighted mode, to infer the causal association between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and osteoporosis. In addition, we evaluated the robustness of Mendelian randomization analysis by heterogeneity test, pleiotropy test, leave-one-out sensitivity test, and multivariate Mendelian randomization.</w:t>
            </w:r>
          </w:p>
          <w:p w14:paraId="5B6505CA" w14:textId="77777777" w:rsidR="005E0D45" w:rsidRPr="005E0D45" w:rsidRDefault="005E0D45" w:rsidP="005E0D45">
            <w:pPr>
              <w:spacing w:beforeLines="40" w:before="96" w:afterLines="40" w:after="96" w:line="24" w:lineRule="atLeast"/>
              <w:rPr>
                <w:rFonts w:eastAsia="Times New Roman"/>
                <w:sz w:val="18"/>
                <w:szCs w:val="18"/>
                <w:lang w:val="en-GB" w:eastAsia="en-GB"/>
              </w:rPr>
            </w:pPr>
            <w:r w:rsidRPr="005E0D45">
              <w:rPr>
                <w:rFonts w:eastAsia="Times New Roman"/>
                <w:sz w:val="18"/>
                <w:szCs w:val="18"/>
                <w:lang w:val="en-GB" w:eastAsia="en-GB"/>
              </w:rPr>
              <w:t xml:space="preserve"> </w:t>
            </w:r>
            <w:proofErr w:type="spellStart"/>
            <w:r w:rsidRPr="005E0D45">
              <w:rPr>
                <w:rFonts w:eastAsia="Times New Roman"/>
                <w:sz w:val="18"/>
                <w:szCs w:val="18"/>
                <w:lang w:val="en-GB" w:eastAsia="en-GB"/>
              </w:rPr>
              <w:t>Results:Genetically</w:t>
            </w:r>
            <w:proofErr w:type="spellEnd"/>
            <w:r w:rsidRPr="005E0D45">
              <w:rPr>
                <w:rFonts w:eastAsia="Times New Roman"/>
                <w:sz w:val="18"/>
                <w:szCs w:val="18"/>
                <w:lang w:val="en-GB" w:eastAsia="en-GB"/>
              </w:rPr>
              <w:t xml:space="preserve"> predicted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was positively associated with </w:t>
            </w:r>
            <w:r w:rsidRPr="005E0D45">
              <w:rPr>
                <w:rFonts w:eastAsia="Times New Roman"/>
                <w:sz w:val="18"/>
                <w:szCs w:val="18"/>
                <w:lang w:val="en-GB" w:eastAsia="en-GB"/>
              </w:rPr>
              <w:lastRenderedPageBreak/>
              <w:t xml:space="preserve">osteoporosis risk, with ORs of 1.001, </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 xml:space="preserve"> CIs: 0.999-1.002) and2.648 ( CIs: 2.582-2.715, p &lt; 0.001) for osteoporosis in the training and validation sets, respectively. </w:t>
            </w:r>
          </w:p>
          <w:p w14:paraId="2F6D1FAF" w14:textId="4D9BEC1A" w:rsidR="00D8098C" w:rsidRDefault="005E0D45" w:rsidP="005E0D45">
            <w:pPr>
              <w:spacing w:beforeLines="40" w:before="96" w:afterLines="40" w:after="96" w:line="24" w:lineRule="atLeast"/>
              <w:rPr>
                <w:rFonts w:eastAsia="Times New Roman"/>
                <w:sz w:val="18"/>
                <w:szCs w:val="18"/>
                <w:lang w:val="en-GB" w:eastAsia="en-GB"/>
              </w:rPr>
            </w:pPr>
            <w:proofErr w:type="spellStart"/>
            <w:r w:rsidRPr="005E0D45">
              <w:rPr>
                <w:rFonts w:eastAsia="Times New Roman"/>
                <w:sz w:val="18"/>
                <w:szCs w:val="18"/>
                <w:lang w:val="en-GB" w:eastAsia="en-GB"/>
              </w:rPr>
              <w:t>Conclusion:We</w:t>
            </w:r>
            <w:proofErr w:type="spellEnd"/>
            <w:r w:rsidRPr="005E0D45">
              <w:rPr>
                <w:rFonts w:eastAsia="Times New Roman"/>
                <w:sz w:val="18"/>
                <w:szCs w:val="18"/>
                <w:lang w:val="en-GB" w:eastAsia="en-GB"/>
              </w:rPr>
              <w:t xml:space="preserve"> demonstrated the causal association between </w:t>
            </w:r>
            <w:proofErr w:type="spellStart"/>
            <w:r w:rsidRPr="005E0D45">
              <w:rPr>
                <w:rFonts w:eastAsia="Times New Roman"/>
                <w:sz w:val="18"/>
                <w:szCs w:val="18"/>
                <w:lang w:val="en-GB" w:eastAsia="en-GB"/>
              </w:rPr>
              <w:t>hyperthyroidism</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hypothyroidism</w:t>
            </w:r>
            <w:proofErr w:type="spellEnd"/>
            <w:r w:rsidRPr="005E0D45">
              <w:rPr>
                <w:rFonts w:eastAsia="Times New Roman"/>
                <w:sz w:val="18"/>
                <w:szCs w:val="18"/>
                <w:lang w:val="en-GB" w:eastAsia="en-GB"/>
              </w:rPr>
              <w:t xml:space="preserve"> and osteoporosis, complementing the framework for genetic variants that predispose to degenerative diseases.</w:t>
            </w:r>
          </w:p>
        </w:tc>
      </w:tr>
      <w:tr w:rsidR="00D8098C" w:rsidRPr="00B853C6" w14:paraId="641E6A58" w14:textId="3A4EC1CE" w:rsidTr="005E0D45">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965"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6898"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5E0D45">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965"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6898"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0C047EA5" w:rsidR="00D8098C" w:rsidRPr="005E0D45" w:rsidRDefault="005E0D4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p>
        </w:tc>
        <w:tc>
          <w:tcPr>
            <w:tcW w:w="4320" w:type="dxa"/>
            <w:shd w:val="clear" w:color="auto" w:fill="EEEEEE"/>
          </w:tcPr>
          <w:p w14:paraId="5D990A22" w14:textId="08E87327" w:rsidR="00D8098C" w:rsidRDefault="005E0D45" w:rsidP="00426603">
            <w:pPr>
              <w:spacing w:beforeLines="40" w:before="96" w:afterLines="40" w:after="96" w:line="24" w:lineRule="atLeast"/>
              <w:rPr>
                <w:rFonts w:eastAsia="Times New Roman"/>
                <w:sz w:val="18"/>
                <w:szCs w:val="18"/>
                <w:lang w:val="en-GB" w:eastAsia="en-GB"/>
              </w:rPr>
            </w:pPr>
            <w:r w:rsidRPr="005E0D45">
              <w:rPr>
                <w:rFonts w:eastAsia="Times New Roman"/>
                <w:sz w:val="18"/>
                <w:szCs w:val="18"/>
                <w:lang w:val="en-GB" w:eastAsia="en-GB"/>
              </w:rPr>
              <w:t>Osteoporosis (OP) is a systemic bone disease characterized by an imbalance between bone resorption and bone formation, leading to skeletal deterioration where bone destruction exceeds bone formation, resulting in decreased bone strength and increased bone fragility due to microstructural damage. (1, 2)</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As a disease characterized by decreased bone strength, osteoporosis can significantly increase the risk of fractures and disability, imposing a heavy burden on daily life for patients, particularly with the current trend of an aging society. It is estimated to impact approximately 2 billion people worldwide, with the majority of cases occurring in individuals aged 60 and older. (3-5)</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Thyroid hormones play a critical role in development, linear growth, and adult bone turnover and maintenance. Imbalance in thyroid hormones, leading to thyroid dysfunction, can disrupt bone homeostasis. (6, 7)</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 xml:space="preserve">In a state of hyperthyroidism, bone turnover increases, and the </w:t>
            </w:r>
            <w:proofErr w:type="spellStart"/>
            <w:r w:rsidRPr="005E0D45">
              <w:rPr>
                <w:rFonts w:eastAsia="Times New Roman"/>
                <w:sz w:val="18"/>
                <w:szCs w:val="18"/>
                <w:lang w:val="en-GB" w:eastAsia="en-GB"/>
              </w:rPr>
              <w:t>remodeling</w:t>
            </w:r>
            <w:proofErr w:type="spellEnd"/>
            <w:r w:rsidRPr="005E0D45">
              <w:rPr>
                <w:rFonts w:eastAsia="Times New Roman"/>
                <w:sz w:val="18"/>
                <w:szCs w:val="18"/>
                <w:lang w:val="en-GB" w:eastAsia="en-GB"/>
              </w:rPr>
              <w:t xml:space="preserve"> period shortens. Consequently, hyperthyroidism may lead to decreased bone density and an increased risk of osteoporosis and fractures. Conversely, hypothyroidism can cause decreased bone turnover and prolonged </w:t>
            </w:r>
            <w:proofErr w:type="spellStart"/>
            <w:r w:rsidRPr="005E0D45">
              <w:rPr>
                <w:rFonts w:eastAsia="Times New Roman"/>
                <w:sz w:val="18"/>
                <w:szCs w:val="18"/>
                <w:lang w:val="en-GB" w:eastAsia="en-GB"/>
              </w:rPr>
              <w:t>remodeling</w:t>
            </w:r>
            <w:proofErr w:type="spellEnd"/>
            <w:r w:rsidRPr="005E0D45">
              <w:rPr>
                <w:rFonts w:eastAsia="Times New Roman"/>
                <w:sz w:val="18"/>
                <w:szCs w:val="18"/>
                <w:lang w:val="en-GB" w:eastAsia="en-GB"/>
              </w:rPr>
              <w:t xml:space="preserve"> cycles, creating an imbalance between bone formation and resorption, resulting in negative bone balance. (8)</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 xml:space="preserve"> Most research studies are currently traditional clinical studies, which cannot avoid the interference of reverse causality and confounding factors. Therefore, it remains unclear whether hyperthyroidism, hypothyroidism, and osteoporosis have a positive causal relationship. Mendelian Randomization (MR) study design follows the Mendelian genetic law of “random </w:t>
            </w:r>
            <w:r w:rsidRPr="005E0D45">
              <w:rPr>
                <w:rFonts w:eastAsia="Times New Roman"/>
                <w:sz w:val="18"/>
                <w:szCs w:val="18"/>
                <w:lang w:val="en-GB" w:eastAsia="en-GB"/>
              </w:rPr>
              <w:lastRenderedPageBreak/>
              <w:t>allocation of alleles from parent to offspring.” If genotype determines phenotype, and genotype is associated with the disease through the phenotype, genotype can be used as an instrumental variable to infer the association between phenotype and disease. Compared to randomized controlled trials (RCT), MR has advantages such as saving time, saving costs, and greater feasibility. Additionally, as the process between genes and diseases typically flows in one direction, MR can avoid the bias of reverse causality that occurs in traditional observational studies.(9)</w:t>
            </w:r>
            <w:r w:rsidRPr="005E0D45">
              <w:rPr>
                <w:rFonts w:ascii="宋体" w:eastAsia="宋体" w:hAnsi="宋体" w:cs="宋体" w:hint="eastAsia"/>
                <w:sz w:val="18"/>
                <w:szCs w:val="18"/>
                <w:lang w:val="en-GB" w:eastAsia="en-GB"/>
              </w:rPr>
              <w:t>。</w:t>
            </w:r>
            <w:r w:rsidRPr="005E0D45">
              <w:rPr>
                <w:rFonts w:eastAsia="Times New Roman"/>
                <w:sz w:val="18"/>
                <w:szCs w:val="18"/>
                <w:lang w:val="en-GB" w:eastAsia="en-GB"/>
              </w:rPr>
              <w:t>In recent years, two-sample Mendelian Randomization (MR) studies have gradually gained recognition among researchers. These studies allow the data on gene exposure, phenotype, and phenotype-disease association to come from two distinct independent populations, thereby increasing research efficiency and statistical power.</w:t>
            </w:r>
          </w:p>
        </w:tc>
      </w:tr>
      <w:tr w:rsidR="00D8098C" w:rsidRPr="00B853C6" w14:paraId="7907A3D3" w14:textId="5AB948A7" w:rsidTr="005E0D45">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3</w:t>
            </w:r>
          </w:p>
        </w:tc>
        <w:tc>
          <w:tcPr>
            <w:tcW w:w="1965"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6898"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237B39B7" w:rsidR="00D8098C" w:rsidRPr="005E0D45" w:rsidRDefault="005E0D4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p>
        </w:tc>
        <w:tc>
          <w:tcPr>
            <w:tcW w:w="4320" w:type="dxa"/>
            <w:tcBorders>
              <w:bottom w:val="single" w:sz="6" w:space="0" w:color="7F7F7F"/>
            </w:tcBorders>
          </w:tcPr>
          <w:p w14:paraId="2BB7283D" w14:textId="77777777" w:rsidR="005E0D45" w:rsidRPr="005E0D45" w:rsidRDefault="005E0D45" w:rsidP="005E0D45">
            <w:pPr>
              <w:rPr>
                <w:rFonts w:eastAsia="Times New Roman"/>
                <w:sz w:val="18"/>
                <w:szCs w:val="18"/>
                <w:lang w:val="en-GB" w:eastAsia="en-GB"/>
              </w:rPr>
            </w:pPr>
            <w:r w:rsidRPr="005E0D45">
              <w:rPr>
                <w:rFonts w:eastAsia="Times New Roman"/>
                <w:sz w:val="18"/>
                <w:szCs w:val="18"/>
                <w:lang w:val="en-GB" w:eastAsia="en-GB"/>
              </w:rPr>
              <w:t>This study aims to utilize the statistical methods of two-sample MR and leverage the genome-wide association analysis (GWAS) database to select single nucleotide polymorphism (SNP) loci as instrumental variables to investigate the causal relationships between hyperthyroidism, hypothyroidism, and osteoporosis.</w:t>
            </w:r>
          </w:p>
          <w:p w14:paraId="11250836"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9599383" w14:textId="2880B554" w:rsidTr="005E0D45">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965"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6898"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5E0D45">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965"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6898"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CF4ECF9" w:rsidR="00D8098C" w:rsidRPr="00DC08A5" w:rsidRDefault="00DC08A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w:t>
            </w:r>
          </w:p>
        </w:tc>
        <w:tc>
          <w:tcPr>
            <w:tcW w:w="4320" w:type="dxa"/>
          </w:tcPr>
          <w:p w14:paraId="23CE0AC6" w14:textId="518949D9" w:rsidR="00D8098C" w:rsidRDefault="005E0D45" w:rsidP="00426603">
            <w:pPr>
              <w:spacing w:beforeLines="40" w:before="96" w:afterLines="40" w:after="96" w:line="24" w:lineRule="atLeast"/>
              <w:rPr>
                <w:rFonts w:eastAsia="Times New Roman"/>
                <w:sz w:val="18"/>
                <w:szCs w:val="18"/>
                <w:lang w:val="en-GB" w:eastAsia="en-GB"/>
              </w:rPr>
            </w:pPr>
            <w:r w:rsidRPr="005E0D45">
              <w:rPr>
                <w:rFonts w:eastAsia="Times New Roman"/>
                <w:sz w:val="18"/>
                <w:szCs w:val="18"/>
                <w:lang w:val="en-GB" w:eastAsia="en-GB"/>
              </w:rPr>
              <w:t>According to the provided context, the data in this study are all from publicly published research, and all studies have obtained ethical approval. The research results are sourced from publicly available databases. The GWAS data on exposure and outcomes mainly come from the IEU GWAS database, and this study is a secondary data review of previously published research, so no additional ethical approval is required. The study followed Burgess’s guidelines and reported according to the STROBE-MR Statement format requirements.</w:t>
            </w:r>
          </w:p>
        </w:tc>
      </w:tr>
      <w:tr w:rsidR="00D8098C" w:rsidRPr="00B853C6" w14:paraId="47D5AE21" w14:textId="3CA8D4AF" w:rsidTr="005E0D45">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5B33F7FA" w:rsidR="00D8098C" w:rsidRPr="00DC08A5" w:rsidRDefault="00DC08A5" w:rsidP="00426603">
            <w:pPr>
              <w:spacing w:beforeLines="40" w:before="96" w:afterLines="40" w:after="96" w:line="24" w:lineRule="atLeast"/>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shd w:val="clear" w:color="auto" w:fill="EEEEEE"/>
          </w:tcPr>
          <w:p w14:paraId="33F4171D" w14:textId="50B1D126" w:rsidR="00D8098C" w:rsidRDefault="005E0D45" w:rsidP="00426603">
            <w:pPr>
              <w:spacing w:beforeLines="40" w:before="96" w:afterLines="40" w:after="96" w:line="24" w:lineRule="atLeast"/>
              <w:rPr>
                <w:rFonts w:eastAsia="Times New Roman"/>
                <w:sz w:val="18"/>
                <w:szCs w:val="18"/>
                <w:shd w:val="clear" w:color="auto" w:fill="FFFFFF"/>
                <w:lang w:val="en-GB" w:eastAsia="en-GB"/>
              </w:rPr>
            </w:pPr>
            <w:r w:rsidRPr="005E0D45">
              <w:rPr>
                <w:rFonts w:eastAsia="Times New Roman"/>
                <w:sz w:val="18"/>
                <w:szCs w:val="18"/>
                <w:shd w:val="clear" w:color="auto" w:fill="FFFFFF"/>
                <w:lang w:val="en-GB" w:eastAsia="en-GB"/>
              </w:rPr>
              <w:t>Table 1</w:t>
            </w:r>
          </w:p>
        </w:tc>
      </w:tr>
      <w:tr w:rsidR="00D8098C" w:rsidRPr="00B853C6" w14:paraId="376A6F82" w14:textId="43693FDC" w:rsidTr="005E0D45">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73BD24D5" w:rsidR="00D8098C" w:rsidRPr="00DC08A5" w:rsidRDefault="00DC08A5"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tcPr>
          <w:p w14:paraId="37C3B4C3" w14:textId="7D22D8A9" w:rsidR="00D8098C" w:rsidRDefault="005E0D45"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5E0D45">
              <w:rPr>
                <w:rFonts w:eastAsia="Times New Roman"/>
                <w:sz w:val="18"/>
                <w:szCs w:val="18"/>
                <w:shd w:val="clear" w:color="auto" w:fill="FFFFFF"/>
                <w:lang w:val="en-GB" w:eastAsia="en-GB"/>
              </w:rPr>
              <w:t>Table 1</w:t>
            </w:r>
          </w:p>
        </w:tc>
      </w:tr>
      <w:tr w:rsidR="00D8098C" w:rsidRPr="00B853C6" w14:paraId="04B065C7" w14:textId="72F11B68" w:rsidTr="005E0D45">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898"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3A3AF89D" w:rsidR="00D8098C" w:rsidRPr="00DC08A5" w:rsidRDefault="00DC08A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26B556E6" w14:textId="0496C6FC" w:rsidR="00D8098C" w:rsidRDefault="00DC08A5" w:rsidP="00426603">
            <w:pPr>
              <w:spacing w:beforeLines="40" w:before="96" w:afterLines="40" w:after="96" w:line="24" w:lineRule="atLeast"/>
              <w:rPr>
                <w:rFonts w:eastAsia="Times New Roman"/>
                <w:sz w:val="18"/>
                <w:szCs w:val="18"/>
                <w:lang w:val="en-GB" w:eastAsia="en-GB"/>
              </w:rPr>
            </w:pPr>
            <w:r w:rsidRPr="00DC08A5">
              <w:rPr>
                <w:rFonts w:eastAsia="Times New Roman"/>
                <w:sz w:val="18"/>
                <w:szCs w:val="18"/>
                <w:lang w:val="en-GB" w:eastAsia="en-GB"/>
              </w:rPr>
              <w:t>SNPs that meet the GWAS standard (P&lt;5×10-8) and are associated with osteoporosis-related traits were used to construct genetic instruments for each phenotype. Each genetic instrument encompasses one or more genetic variants, and these variants become the characteristics of the instrumental variable. The strength of the instrumental variable is measured by the F-statistic, and a value below 10 indicates that the instrumental variable has weak potential, so it is excluded.</w:t>
            </w:r>
          </w:p>
        </w:tc>
      </w:tr>
      <w:tr w:rsidR="00D8098C" w:rsidRPr="00B853C6" w14:paraId="215DDE8E" w14:textId="5C8C984B" w:rsidTr="005E0D45">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898"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77777777" w:rsidR="00D8098C" w:rsidRPr="00A1236D" w:rsidRDefault="00D8098C" w:rsidP="00426603">
            <w:pPr>
              <w:spacing w:beforeLines="40" w:before="96" w:afterLines="40" w:after="96" w:line="24" w:lineRule="atLeast"/>
              <w:textAlignment w:val="baseline"/>
              <w:rPr>
                <w:rFonts w:eastAsia="Times New Roman"/>
                <w:sz w:val="18"/>
                <w:szCs w:val="18"/>
                <w:shd w:val="clear" w:color="auto" w:fill="FFFFFF"/>
                <w:lang w:val="en-GB" w:eastAsia="en-GB"/>
              </w:rPr>
            </w:pPr>
          </w:p>
        </w:tc>
        <w:tc>
          <w:tcPr>
            <w:tcW w:w="4320" w:type="dxa"/>
          </w:tcPr>
          <w:p w14:paraId="18BB4B57" w14:textId="77777777" w:rsidR="00D8098C" w:rsidRDefault="00D8098C" w:rsidP="00426603">
            <w:pPr>
              <w:spacing w:beforeLines="40" w:before="96" w:afterLines="40" w:after="96" w:line="24" w:lineRule="atLeast"/>
              <w:textAlignment w:val="baseline"/>
              <w:rPr>
                <w:rFonts w:eastAsia="Times New Roman"/>
                <w:sz w:val="18"/>
                <w:szCs w:val="18"/>
                <w:shd w:val="clear" w:color="auto" w:fill="FFFFFF"/>
                <w:lang w:val="en-GB" w:eastAsia="en-GB"/>
              </w:rPr>
            </w:pPr>
          </w:p>
        </w:tc>
      </w:tr>
      <w:tr w:rsidR="00D8098C" w:rsidRPr="00B853C6" w14:paraId="69A6C8B1" w14:textId="39D94CE4" w:rsidTr="005E0D45">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898"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77777777" w:rsidR="00D8098C" w:rsidRPr="00A1236D" w:rsidRDefault="00D8098C" w:rsidP="00426603">
            <w:pPr>
              <w:spacing w:beforeLines="40" w:before="96" w:afterLines="40" w:after="96" w:line="24" w:lineRule="atLeast"/>
              <w:textAlignment w:val="baseline"/>
              <w:rPr>
                <w:rFonts w:eastAsia="Times New Roman"/>
                <w:sz w:val="18"/>
                <w:szCs w:val="18"/>
                <w:shd w:val="clear" w:color="auto" w:fill="FFFFFF"/>
                <w:lang w:val="en-GB" w:eastAsia="en-GB"/>
              </w:rPr>
            </w:pPr>
          </w:p>
        </w:tc>
        <w:tc>
          <w:tcPr>
            <w:tcW w:w="4320" w:type="dxa"/>
            <w:shd w:val="clear" w:color="auto" w:fill="EEEEEE"/>
          </w:tcPr>
          <w:p w14:paraId="6067A95B" w14:textId="4C85ABCC" w:rsidR="00D8098C" w:rsidRDefault="00DC08A5"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DC08A5">
              <w:rPr>
                <w:rFonts w:eastAsia="Times New Roman"/>
                <w:sz w:val="18"/>
                <w:szCs w:val="18"/>
                <w:shd w:val="clear" w:color="auto" w:fill="FFFFFF"/>
                <w:lang w:val="en-GB" w:eastAsia="en-GB"/>
              </w:rPr>
              <w:t>No need for ethics committee review</w:t>
            </w:r>
          </w:p>
        </w:tc>
      </w:tr>
      <w:tr w:rsidR="00D8098C" w:rsidRPr="00B853C6" w14:paraId="23EA53EC" w14:textId="1D3E4E77" w:rsidTr="005E0D45">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965"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6898"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7A54DE1B" w14:textId="36CD23A8" w:rsidR="00D8098C" w:rsidRDefault="00DC08A5" w:rsidP="00426603">
            <w:pPr>
              <w:spacing w:beforeLines="40" w:before="96" w:afterLines="40" w:after="96" w:line="24" w:lineRule="atLeast"/>
              <w:rPr>
                <w:rFonts w:eastAsia="Times New Roman"/>
                <w:sz w:val="18"/>
                <w:szCs w:val="18"/>
                <w:lang w:val="en-GB" w:eastAsia="en-GB"/>
              </w:rPr>
            </w:pPr>
            <w:r w:rsidRPr="00DC08A5">
              <w:rPr>
                <w:rFonts w:eastAsia="Times New Roman"/>
                <w:sz w:val="18"/>
                <w:szCs w:val="18"/>
                <w:lang w:val="en-GB" w:eastAsia="en-GB"/>
              </w:rPr>
              <w:t>(1) The relevance assumption: The selected independent instrumental variables are directly related to the exposure factor of interest; (2) The independence assumption: The selected instrumental variables are unrelated to any confounding variables between exposure and outcome; (3) The exclusion restriction assumption: The selected instrumental variables do not influence the outcome unless through their association with the exposure</w:t>
            </w:r>
          </w:p>
        </w:tc>
      </w:tr>
      <w:tr w:rsidR="00D8098C" w:rsidRPr="00B853C6" w14:paraId="6209F8C8" w14:textId="78A53B40" w:rsidTr="005E0D45">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965"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6898"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00BFF7D3" w:rsidR="00D8098C" w:rsidRPr="00EF626F" w:rsidRDefault="00EF626F"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75DF0C4B" w14:textId="7D21BBAF" w:rsidR="00D8098C" w:rsidRDefault="00DC08A5" w:rsidP="00426603">
            <w:pPr>
              <w:spacing w:beforeLines="40" w:before="96" w:afterLines="40" w:after="96" w:line="24" w:lineRule="atLeast"/>
              <w:rPr>
                <w:rFonts w:eastAsia="Times New Roman"/>
                <w:sz w:val="18"/>
                <w:szCs w:val="18"/>
                <w:lang w:val="en-GB" w:eastAsia="en-GB"/>
              </w:rPr>
            </w:pPr>
            <w:r w:rsidRPr="00DC08A5">
              <w:rPr>
                <w:rFonts w:eastAsia="Times New Roman"/>
                <w:sz w:val="18"/>
                <w:szCs w:val="18"/>
                <w:lang w:val="en-GB" w:eastAsia="en-GB"/>
              </w:rPr>
              <w:t>In this study, SNPs meeting the genome-wide significance threshold (P&lt;5×10-9) and in linkage equilibrium (r2&lt;0.001, 10000 kb) were used as potential instruments to ensure the independence and relevance of the SNPs.</w:t>
            </w:r>
          </w:p>
        </w:tc>
      </w:tr>
      <w:tr w:rsidR="00D8098C" w:rsidRPr="00B853C6" w14:paraId="4346E621" w14:textId="11B8B572" w:rsidTr="005E0D45">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76159846"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642A4D4B" w14:textId="4880F3BA" w:rsidTr="005E0D45">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12F89F"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0378831" w14:textId="0868B0A4" w:rsidTr="005E0D45">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898" w:type="dxa"/>
            <w:shd w:val="clear" w:color="auto" w:fill="auto"/>
          </w:tcPr>
          <w:p w14:paraId="5CB03D9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7FB279BB" w:rsidR="00D8098C" w:rsidRPr="00DC08A5" w:rsidRDefault="00DC08A5"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tcPr>
          <w:p w14:paraId="334D44EB" w14:textId="595DA357" w:rsidR="00D8098C" w:rsidRDefault="00DC08A5" w:rsidP="00426603">
            <w:pPr>
              <w:spacing w:beforeLines="40" w:before="96" w:afterLines="40" w:after="96" w:line="24" w:lineRule="atLeast"/>
              <w:rPr>
                <w:rFonts w:eastAsia="Times New Roman"/>
                <w:sz w:val="18"/>
                <w:szCs w:val="18"/>
                <w:lang w:val="en-GB" w:eastAsia="en-GB"/>
              </w:rPr>
            </w:pPr>
            <w:r w:rsidRPr="00DC08A5">
              <w:rPr>
                <w:rFonts w:eastAsia="Times New Roman"/>
                <w:sz w:val="18"/>
                <w:szCs w:val="18"/>
                <w:lang w:val="en-GB" w:eastAsia="en-GB"/>
              </w:rPr>
              <w:t>To determine the relationship between hyperthyroidism and osteoporosis, we primarily employed the random-effects inverse-variance weighting (IVW) method as the main outcome measure. MR-Egger, weighted median, and weighted mode were used as supplementary tests in this analysis. MR-Egger intercept detection was used as the main method to detect horizontal pleiotropy, where an intercept not equal to 0 indicates the presence of horizontal pleiotropy between studies.</w:t>
            </w:r>
          </w:p>
        </w:tc>
      </w:tr>
      <w:tr w:rsidR="00D8098C" w:rsidRPr="00B853C6" w14:paraId="0D8F3A7E" w14:textId="14623463" w:rsidTr="005E0D45">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898"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808665"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7F037B8" w14:textId="6696FA54" w:rsidTr="005E0D45">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898"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90E44D4"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85043CE" w14:textId="4922F612" w:rsidTr="005E0D45">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965"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898" w:type="dxa"/>
            <w:shd w:val="clear" w:color="auto" w:fill="EEEEEE"/>
          </w:tcPr>
          <w:p w14:paraId="1E6D0B1E" w14:textId="77777777" w:rsidR="00D8098C" w:rsidRPr="00A1236D" w:rsidRDefault="00D8098C" w:rsidP="00426603">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77777777" w:rsidR="00D8098C" w:rsidRPr="00A1236D" w:rsidRDefault="00D8098C" w:rsidP="00426603">
            <w:pPr>
              <w:tabs>
                <w:tab w:val="left" w:pos="1620"/>
              </w:tabs>
              <w:spacing w:beforeLines="40" w:before="96" w:afterLines="40" w:after="96" w:line="24" w:lineRule="atLeast"/>
              <w:rPr>
                <w:rFonts w:eastAsia="Times New Roman"/>
                <w:sz w:val="18"/>
                <w:szCs w:val="18"/>
                <w:lang w:val="en-GB" w:eastAsia="en-GB"/>
              </w:rPr>
            </w:pPr>
          </w:p>
        </w:tc>
        <w:tc>
          <w:tcPr>
            <w:tcW w:w="4320" w:type="dxa"/>
            <w:shd w:val="clear" w:color="auto" w:fill="EEEEEE"/>
          </w:tcPr>
          <w:p w14:paraId="5D46DB2B" w14:textId="77777777" w:rsidR="00D8098C" w:rsidRDefault="00D8098C" w:rsidP="00426603">
            <w:pPr>
              <w:tabs>
                <w:tab w:val="left" w:pos="1620"/>
              </w:tabs>
              <w:spacing w:beforeLines="40" w:before="96" w:afterLines="40" w:after="96" w:line="24" w:lineRule="atLeast"/>
              <w:rPr>
                <w:rFonts w:eastAsia="Times New Roman"/>
                <w:sz w:val="18"/>
                <w:szCs w:val="18"/>
                <w:lang w:val="en-GB" w:eastAsia="en-GB"/>
              </w:rPr>
            </w:pPr>
          </w:p>
        </w:tc>
      </w:tr>
      <w:tr w:rsidR="00D8098C" w:rsidRPr="00B853C6" w14:paraId="383932D9" w14:textId="2C1AFE56" w:rsidTr="005E0D45">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965"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6898" w:type="dxa"/>
            <w:shd w:val="clear" w:color="auto" w:fill="auto"/>
          </w:tcPr>
          <w:p w14:paraId="13C6445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239DCED7" w:rsidR="00D8098C" w:rsidRPr="001D7300" w:rsidRDefault="001D730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229BFDFD" w14:textId="4821D80F" w:rsidR="00D8098C" w:rsidRDefault="001D7300" w:rsidP="00426603">
            <w:pPr>
              <w:spacing w:beforeLines="40" w:before="96" w:afterLines="40" w:after="96" w:line="24" w:lineRule="atLeast"/>
              <w:rPr>
                <w:rFonts w:eastAsia="Times New Roman"/>
                <w:sz w:val="18"/>
                <w:szCs w:val="18"/>
                <w:lang w:val="en-GB" w:eastAsia="en-GB"/>
              </w:rPr>
            </w:pPr>
            <w:r w:rsidRPr="001D7300">
              <w:rPr>
                <w:rFonts w:eastAsia="Times New Roman"/>
                <w:sz w:val="18"/>
                <w:szCs w:val="18"/>
                <w:lang w:val="en-GB" w:eastAsia="en-GB"/>
              </w:rPr>
              <w:t>According to the Single SNP analysis results of SNP by IVR and MR-Egger, it was found that the selected SNPs were strongly associated with hyperthyroidism, and genetic pleiotropy did not bias the results (Figure 1). Furthermore, using IVW, MR-Egger, weighted median, and weighted mode to detect the linear slope showed that the causal associations were consistent among the four detection methods (Figure 2). The funnel plot results indicated a very low risk of horizontal pleiotropy between hyperthyroidism, hypothyroidism, and osteoporosis (Figure 3). Through the Leave-one-out method to sequentially remove one SNP, with the remaining SNPs as IVs, it was found that no single SNP had a significant impact on the results, and all analyses were statistically significant</w:t>
            </w:r>
          </w:p>
        </w:tc>
      </w:tr>
      <w:tr w:rsidR="00D8098C" w:rsidRPr="00B853C6" w14:paraId="55C7A410" w14:textId="0BAB653A" w:rsidTr="005E0D45">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965"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6898"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61CE1D80" w:rsidR="00D8098C" w:rsidRPr="001D7300" w:rsidRDefault="001D730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5E0D45">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3B4EB30F" w:rsidR="00D8098C" w:rsidRPr="001D7300" w:rsidRDefault="001D730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tcPr>
          <w:p w14:paraId="79626260" w14:textId="712721D5" w:rsidR="00D8098C" w:rsidRDefault="001D7300" w:rsidP="00426603">
            <w:pPr>
              <w:spacing w:beforeLines="40" w:before="96" w:afterLines="40" w:after="96" w:line="24" w:lineRule="atLeast"/>
              <w:rPr>
                <w:rFonts w:eastAsia="Times New Roman"/>
                <w:sz w:val="18"/>
                <w:szCs w:val="18"/>
                <w:lang w:val="en-GB" w:eastAsia="en-GB"/>
              </w:rPr>
            </w:pPr>
            <w:r w:rsidRPr="001D7300">
              <w:rPr>
                <w:rFonts w:eastAsia="Times New Roman"/>
                <w:sz w:val="18"/>
                <w:szCs w:val="18"/>
                <w:lang w:val="en-GB" w:eastAsia="en-GB"/>
              </w:rPr>
              <w:t>We conducted data analysis using the “</w:t>
            </w:r>
            <w:proofErr w:type="spellStart"/>
            <w:r w:rsidRPr="001D7300">
              <w:rPr>
                <w:rFonts w:eastAsia="Times New Roman"/>
                <w:sz w:val="18"/>
                <w:szCs w:val="18"/>
                <w:lang w:val="en-GB" w:eastAsia="en-GB"/>
              </w:rPr>
              <w:t>TwoSampleMR</w:t>
            </w:r>
            <w:proofErr w:type="spellEnd"/>
            <w:r w:rsidRPr="001D7300">
              <w:rPr>
                <w:rFonts w:eastAsia="Times New Roman"/>
                <w:sz w:val="18"/>
                <w:szCs w:val="18"/>
                <w:lang w:val="en-GB" w:eastAsia="en-GB"/>
              </w:rPr>
              <w:t>” package in R Studio software (version 4.3.3) and MR Base (https://www.mrbase.org/).</w:t>
            </w:r>
          </w:p>
        </w:tc>
      </w:tr>
      <w:tr w:rsidR="00D8098C" w:rsidRPr="00B853C6" w14:paraId="6A631D93" w14:textId="2BD5AA8E" w:rsidTr="005E0D45">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040F15E5" w14:textId="3B11C618" w:rsidTr="005E0D45">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965"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6898"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7F47EED" w14:textId="4A481C08" w:rsidTr="005E0D45">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965"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6898"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5E0D45">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sidR="000A4CE8">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0DCE1720" w:rsidR="00D8098C" w:rsidRPr="001D7300" w:rsidRDefault="001D730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00D65497" w14:textId="0A2CF1BA" w:rsidR="00D8098C" w:rsidRDefault="001D7300" w:rsidP="00426603">
            <w:pPr>
              <w:spacing w:beforeLines="40" w:before="96" w:afterLines="40" w:after="96" w:line="24" w:lineRule="atLeast"/>
              <w:rPr>
                <w:rFonts w:eastAsia="Times New Roman"/>
                <w:sz w:val="18"/>
                <w:szCs w:val="18"/>
                <w:lang w:val="en-GB" w:eastAsia="en-GB"/>
              </w:rPr>
            </w:pPr>
            <w:r w:rsidRPr="001D7300">
              <w:rPr>
                <w:rFonts w:eastAsia="Times New Roman"/>
                <w:sz w:val="18"/>
                <w:szCs w:val="18"/>
                <w:lang w:val="en-GB" w:eastAsia="en-GB"/>
              </w:rPr>
              <w:t>Through screening, 16 strongly correlated SNPs were ultimately included as instruments in the study on the association between hyperthyroidism, hypothyroidism, and osteoporosis (F value &gt;10), indicating the strong correlation of the included SNPs and removing weak instrumental bias (Table 2). Analysis using the IVW method revealed significant statistical significance in the relationship between hyperthyroidism, hypothyroidism, and osteoporosis. However, results from MR-Egger method showed no statistical significance between the two</w:t>
            </w:r>
          </w:p>
        </w:tc>
      </w:tr>
      <w:tr w:rsidR="00D8098C" w:rsidRPr="00B853C6" w14:paraId="0765C344" w14:textId="3B2EDCCF" w:rsidTr="005E0D45">
        <w:tc>
          <w:tcPr>
            <w:tcW w:w="587" w:type="dxa"/>
            <w:shd w:val="clear" w:color="auto" w:fill="EEEEEE"/>
          </w:tcPr>
          <w:p w14:paraId="2404BFF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6545C2F1"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EEEEEE"/>
          </w:tcPr>
          <w:p w14:paraId="405491AF" w14:textId="3F437E24" w:rsidR="00D8098C" w:rsidRPr="00A1236D" w:rsidRDefault="00D8098C" w:rsidP="009E033F">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sidR="000A4CE8">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sidR="009E033F">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35A302A0" w:rsidR="00D8098C" w:rsidRPr="001D7300" w:rsidRDefault="005F52D3"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0FD9D468" w14:textId="650F52F6" w:rsidR="00D8098C" w:rsidRDefault="005F52D3" w:rsidP="00426603">
            <w:pPr>
              <w:spacing w:beforeLines="40" w:before="96" w:afterLines="40" w:after="96" w:line="24" w:lineRule="atLeast"/>
              <w:rPr>
                <w:rFonts w:eastAsia="Times New Roman"/>
                <w:sz w:val="18"/>
                <w:szCs w:val="18"/>
                <w:lang w:val="en-GB" w:eastAsia="en-GB"/>
              </w:rPr>
            </w:pPr>
            <w:r w:rsidRPr="005F52D3">
              <w:rPr>
                <w:rFonts w:eastAsia="Times New Roman"/>
                <w:sz w:val="18"/>
                <w:szCs w:val="18"/>
                <w:lang w:val="en-GB" w:eastAsia="en-GB"/>
              </w:rPr>
              <w:t>Table 2. Single Nucleotide Polymorphism (SNP) Information Table</w:t>
            </w:r>
          </w:p>
        </w:tc>
      </w:tr>
      <w:tr w:rsidR="00D8098C" w:rsidRPr="00B853C6" w14:paraId="48F10342" w14:textId="398F2C24" w:rsidTr="005E0D45">
        <w:tc>
          <w:tcPr>
            <w:tcW w:w="587" w:type="dxa"/>
            <w:shd w:val="clear" w:color="auto" w:fill="auto"/>
          </w:tcPr>
          <w:p w14:paraId="6600AF4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435099F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898" w:type="dxa"/>
            <w:shd w:val="clear" w:color="auto" w:fill="auto"/>
          </w:tcPr>
          <w:p w14:paraId="062EB56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49D40FD"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1930A8C" w14:textId="221D5A9E" w:rsidTr="005E0D45">
        <w:tc>
          <w:tcPr>
            <w:tcW w:w="587" w:type="dxa"/>
            <w:shd w:val="clear" w:color="auto" w:fill="EEEEEE"/>
          </w:tcPr>
          <w:p w14:paraId="6116DD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453F787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898" w:type="dxa"/>
            <w:shd w:val="clear" w:color="auto" w:fill="EEEEEE"/>
          </w:tcPr>
          <w:p w14:paraId="2EFD572E" w14:textId="5230C0F8" w:rsidR="00D8098C" w:rsidRPr="00A1236D" w:rsidRDefault="00D8098C" w:rsidP="00426603">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sidR="009E033F">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5B2A1A71"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2CFCA59" w14:textId="5AC9CE3E" w:rsidTr="005E0D45">
        <w:tc>
          <w:tcPr>
            <w:tcW w:w="587" w:type="dxa"/>
            <w:shd w:val="clear" w:color="auto" w:fill="auto"/>
          </w:tcPr>
          <w:p w14:paraId="110872B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965" w:type="dxa"/>
            <w:shd w:val="clear" w:color="auto" w:fill="auto"/>
          </w:tcPr>
          <w:p w14:paraId="0C26298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6898" w:type="dxa"/>
            <w:shd w:val="clear" w:color="auto" w:fill="auto"/>
          </w:tcPr>
          <w:p w14:paraId="2F14FA3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035B33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AFA0083"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6845A2A" w14:textId="1DC0780C" w:rsidTr="005E0D45">
        <w:tc>
          <w:tcPr>
            <w:tcW w:w="587" w:type="dxa"/>
            <w:shd w:val="clear" w:color="auto" w:fill="EEEEEE"/>
          </w:tcPr>
          <w:p w14:paraId="0892A5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7CDB72A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EEEEEE"/>
          </w:tcPr>
          <w:p w14:paraId="09CB478B"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BCA1C07"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FAEFE68" w14:textId="09D82DE1" w:rsidTr="005E0D45">
        <w:tc>
          <w:tcPr>
            <w:tcW w:w="587" w:type="dxa"/>
            <w:shd w:val="clear" w:color="auto" w:fill="auto"/>
          </w:tcPr>
          <w:p w14:paraId="2E83DFB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142A3CE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auto"/>
          </w:tcPr>
          <w:p w14:paraId="336E75EE" w14:textId="144F95EC" w:rsidR="00D8098C" w:rsidRPr="00A1236D" w:rsidRDefault="00D8098C" w:rsidP="009E033F">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sidR="009E033F">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7CCBEEC8" w:rsidR="00D8098C" w:rsidRPr="005F52D3" w:rsidRDefault="005F52D3"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4564CEDB" w14:textId="4075A872" w:rsidR="00D8098C" w:rsidRDefault="005F52D3" w:rsidP="00426603">
            <w:pPr>
              <w:spacing w:beforeLines="40" w:before="96" w:afterLines="40" w:after="96" w:line="24" w:lineRule="atLeast"/>
              <w:rPr>
                <w:rFonts w:eastAsia="Times New Roman"/>
                <w:sz w:val="18"/>
                <w:szCs w:val="18"/>
                <w:lang w:val="en-GB" w:eastAsia="en-GB"/>
              </w:rPr>
            </w:pPr>
            <w:r w:rsidRPr="005F52D3">
              <w:rPr>
                <w:rFonts w:eastAsia="Times New Roman"/>
                <w:sz w:val="18"/>
                <w:szCs w:val="18"/>
                <w:lang w:val="en-GB" w:eastAsia="en-GB"/>
              </w:rPr>
              <w:t>Table 3. Results of the Two-Sample Mendelian Randomization Analysis</w:t>
            </w:r>
          </w:p>
        </w:tc>
      </w:tr>
      <w:tr w:rsidR="00D8098C" w:rsidRPr="00B853C6" w14:paraId="1FAC379E" w14:textId="0C198578" w:rsidTr="005E0D45">
        <w:tc>
          <w:tcPr>
            <w:tcW w:w="587" w:type="dxa"/>
            <w:shd w:val="clear" w:color="auto" w:fill="EEEEEE"/>
          </w:tcPr>
          <w:p w14:paraId="6762B88A"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514E816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898" w:type="dxa"/>
            <w:shd w:val="clear" w:color="auto" w:fill="EEEEEE"/>
          </w:tcPr>
          <w:p w14:paraId="4BC6AB7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4A2216FF"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00F87C74" w14:textId="30F32A00" w:rsidTr="005E0D45">
        <w:tc>
          <w:tcPr>
            <w:tcW w:w="587" w:type="dxa"/>
            <w:shd w:val="clear" w:color="auto" w:fill="auto"/>
          </w:tcPr>
          <w:p w14:paraId="2CDE5DE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69C50E8E"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898" w:type="dxa"/>
            <w:shd w:val="clear" w:color="auto" w:fill="auto"/>
          </w:tcPr>
          <w:p w14:paraId="47CC3AC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42ED6FC5" w:rsidR="00D8098C" w:rsidRPr="005F52D3" w:rsidRDefault="005F52D3"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tcPr>
          <w:p w14:paraId="7B9F0A4D" w14:textId="08252E09" w:rsidR="00D8098C" w:rsidRDefault="005F52D3" w:rsidP="00426603">
            <w:pPr>
              <w:spacing w:beforeLines="40" w:before="96" w:afterLines="40" w:after="96" w:line="24" w:lineRule="atLeast"/>
              <w:rPr>
                <w:rFonts w:eastAsia="Times New Roman"/>
                <w:sz w:val="18"/>
                <w:szCs w:val="18"/>
                <w:lang w:val="en-GB" w:eastAsia="en-GB"/>
              </w:rPr>
            </w:pPr>
            <w:r w:rsidRPr="005F52D3">
              <w:rPr>
                <w:rFonts w:eastAsia="Times New Roman"/>
                <w:sz w:val="18"/>
                <w:szCs w:val="18"/>
                <w:lang w:val="en-GB" w:eastAsia="en-GB"/>
              </w:rPr>
              <w:t xml:space="preserve"> </w:t>
            </w:r>
            <w:r w:rsidR="00C74DC0" w:rsidRPr="00C74DC0">
              <w:rPr>
                <w:rFonts w:eastAsia="Times New Roman"/>
                <w:sz w:val="18"/>
                <w:szCs w:val="18"/>
                <w:lang w:val="en-GB" w:eastAsia="en-GB"/>
              </w:rPr>
              <w:t>Figure 1. Single SNP Analysis Results. (a. Hyperthyroidism-Osteoporosis, b. Hypothyroidism-Osteoporosis)</w:t>
            </w:r>
          </w:p>
        </w:tc>
      </w:tr>
      <w:tr w:rsidR="00D8098C" w:rsidRPr="00B853C6" w14:paraId="62E6DFEA" w14:textId="107C6F5B" w:rsidTr="005E0D45">
        <w:tc>
          <w:tcPr>
            <w:tcW w:w="587" w:type="dxa"/>
            <w:shd w:val="clear" w:color="auto" w:fill="EEEEEE"/>
          </w:tcPr>
          <w:p w14:paraId="57CB278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12</w:t>
            </w:r>
          </w:p>
        </w:tc>
        <w:tc>
          <w:tcPr>
            <w:tcW w:w="1965" w:type="dxa"/>
            <w:shd w:val="clear" w:color="auto" w:fill="EEEEEE"/>
          </w:tcPr>
          <w:p w14:paraId="27B891D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898" w:type="dxa"/>
            <w:shd w:val="clear" w:color="auto" w:fill="EEEEEE"/>
          </w:tcPr>
          <w:p w14:paraId="6EC050C1"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48EE0AFA" w14:textId="55C0BF1C" w:rsidTr="005E0D45">
        <w:tc>
          <w:tcPr>
            <w:tcW w:w="587" w:type="dxa"/>
            <w:shd w:val="clear" w:color="auto" w:fill="auto"/>
          </w:tcPr>
          <w:p w14:paraId="4E2912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18A8B0E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auto"/>
          </w:tcPr>
          <w:p w14:paraId="1A97B45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E7081D1"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BDA55CD" w14:textId="6465618D" w:rsidTr="005E0D45">
        <w:tc>
          <w:tcPr>
            <w:tcW w:w="587" w:type="dxa"/>
            <w:shd w:val="clear" w:color="auto" w:fill="EEEEEE"/>
          </w:tcPr>
          <w:p w14:paraId="6F27FA7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6BC0019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EEEEEE"/>
          </w:tcPr>
          <w:p w14:paraId="400ADD58"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205C4ED8"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23F1C43D" w14:textId="6396118D" w:rsidTr="005E0D45">
        <w:tc>
          <w:tcPr>
            <w:tcW w:w="587" w:type="dxa"/>
            <w:shd w:val="clear" w:color="auto" w:fill="auto"/>
          </w:tcPr>
          <w:p w14:paraId="021A9BB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965" w:type="dxa"/>
            <w:shd w:val="clear" w:color="auto" w:fill="auto"/>
          </w:tcPr>
          <w:p w14:paraId="51D3F02D"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6898" w:type="dxa"/>
            <w:shd w:val="clear" w:color="auto" w:fill="auto"/>
          </w:tcPr>
          <w:p w14:paraId="4AB1D97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Pr>
          <w:p w14:paraId="50481D1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Pr>
          <w:p w14:paraId="0F2C43F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ABE2F1D" w14:textId="316B0F58" w:rsidTr="005E0D45">
        <w:tc>
          <w:tcPr>
            <w:tcW w:w="587" w:type="dxa"/>
            <w:shd w:val="clear" w:color="auto" w:fill="EEEEEE"/>
          </w:tcPr>
          <w:p w14:paraId="0D022F9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27E8FFD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EEEEEE"/>
          </w:tcPr>
          <w:p w14:paraId="30AA926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47AE206D" w:rsidR="00D8098C" w:rsidRPr="00C74DC0" w:rsidRDefault="00C74DC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73386906" w14:textId="3182D636" w:rsidR="00D8098C" w:rsidRDefault="00C74DC0" w:rsidP="00426603">
            <w:pPr>
              <w:spacing w:beforeLines="40" w:before="96" w:afterLines="40" w:after="96" w:line="24" w:lineRule="atLeast"/>
              <w:rPr>
                <w:rFonts w:eastAsia="Times New Roman"/>
                <w:sz w:val="18"/>
                <w:szCs w:val="18"/>
                <w:lang w:val="en-GB" w:eastAsia="en-GB"/>
              </w:rPr>
            </w:pPr>
            <w:r w:rsidRPr="00C74DC0">
              <w:rPr>
                <w:rFonts w:eastAsia="Times New Roman"/>
                <w:sz w:val="18"/>
                <w:szCs w:val="18"/>
                <w:lang w:val="en-GB" w:eastAsia="en-GB"/>
              </w:rPr>
              <w:t>Furthermore, using IVW, MR-Egger, weighted median, and weighted mode to detect the linear slope showed that the causal associations were consistent among the four detection methods (Figure 2).</w:t>
            </w:r>
          </w:p>
        </w:tc>
      </w:tr>
      <w:tr w:rsidR="00D8098C" w:rsidRPr="00B853C6" w14:paraId="3696A9F1" w14:textId="63B96DDA" w:rsidTr="005E0D45">
        <w:tc>
          <w:tcPr>
            <w:tcW w:w="587" w:type="dxa"/>
            <w:shd w:val="clear" w:color="auto" w:fill="auto"/>
          </w:tcPr>
          <w:p w14:paraId="0D2234E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7453E1FF"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auto"/>
          </w:tcPr>
          <w:p w14:paraId="5111E54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BB83735"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1650BAB8" w14:textId="79D11DE7" w:rsidTr="005E0D45">
        <w:tc>
          <w:tcPr>
            <w:tcW w:w="587" w:type="dxa"/>
            <w:shd w:val="clear" w:color="auto" w:fill="EEEEEE"/>
          </w:tcPr>
          <w:p w14:paraId="4D025CC4"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6EAD995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898" w:type="dxa"/>
            <w:shd w:val="clear" w:color="auto" w:fill="EEEEEE"/>
          </w:tcPr>
          <w:p w14:paraId="14E0FCD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3D621D06" w:rsidR="00D8098C" w:rsidRPr="00C74DC0" w:rsidRDefault="00C74DC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shd w:val="clear" w:color="auto" w:fill="EEEEEE"/>
          </w:tcPr>
          <w:p w14:paraId="66751F07" w14:textId="364AB18F" w:rsidR="00D8098C" w:rsidRDefault="00C74DC0" w:rsidP="00426603">
            <w:pPr>
              <w:spacing w:beforeLines="40" w:before="96" w:afterLines="40" w:after="96" w:line="24" w:lineRule="atLeast"/>
              <w:rPr>
                <w:rFonts w:eastAsia="Times New Roman"/>
                <w:sz w:val="18"/>
                <w:szCs w:val="18"/>
                <w:lang w:val="en-GB" w:eastAsia="en-GB"/>
              </w:rPr>
            </w:pPr>
            <w:r w:rsidRPr="00C74DC0">
              <w:rPr>
                <w:rFonts w:eastAsia="Times New Roman"/>
                <w:sz w:val="18"/>
                <w:szCs w:val="18"/>
                <w:lang w:val="en-GB" w:eastAsia="en-GB"/>
              </w:rPr>
              <w:t>The funnel plot results indicated a very low risk of horizontal pleiotropy between hyperthyroidism, hypothyroidism, and osteoporosis (Figure 3)</w:t>
            </w:r>
          </w:p>
        </w:tc>
      </w:tr>
      <w:tr w:rsidR="00D8098C" w:rsidRPr="00B853C6" w14:paraId="2034ACF7" w14:textId="19A8CB33" w:rsidTr="005E0D45">
        <w:tc>
          <w:tcPr>
            <w:tcW w:w="587" w:type="dxa"/>
            <w:shd w:val="clear" w:color="auto" w:fill="auto"/>
          </w:tcPr>
          <w:p w14:paraId="3217ECE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5AE90FE5"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898" w:type="dxa"/>
            <w:shd w:val="clear" w:color="auto" w:fill="auto"/>
          </w:tcPr>
          <w:p w14:paraId="3A13AF3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7B882C5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3E7CFBFC" w14:textId="3F99A047" w:rsidTr="005E0D45">
        <w:tc>
          <w:tcPr>
            <w:tcW w:w="587" w:type="dxa"/>
            <w:tcBorders>
              <w:bottom w:val="single" w:sz="6" w:space="0" w:color="7F7F7F"/>
            </w:tcBorders>
            <w:shd w:val="clear" w:color="auto" w:fill="EEEEEE"/>
          </w:tcPr>
          <w:p w14:paraId="1FDC421F"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tcBorders>
              <w:bottom w:val="single" w:sz="6" w:space="0" w:color="7F7F7F"/>
            </w:tcBorders>
            <w:shd w:val="clear" w:color="auto" w:fill="EEEEEE"/>
          </w:tcPr>
          <w:p w14:paraId="5FE1503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898" w:type="dxa"/>
            <w:tcBorders>
              <w:bottom w:val="single" w:sz="6" w:space="0" w:color="7F7F7F"/>
            </w:tcBorders>
            <w:shd w:val="clear" w:color="auto" w:fill="EEEEEE"/>
          </w:tcPr>
          <w:p w14:paraId="61CE32BA"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6A8A861A" w:rsidR="00D8098C" w:rsidRPr="00C74DC0" w:rsidRDefault="00C74DC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tcBorders>
              <w:bottom w:val="single" w:sz="6" w:space="0" w:color="7F7F7F"/>
            </w:tcBorders>
            <w:shd w:val="clear" w:color="auto" w:fill="EEEEEE"/>
          </w:tcPr>
          <w:p w14:paraId="03A6AB93" w14:textId="6B12CEAF" w:rsidR="00D8098C" w:rsidRDefault="00C74DC0" w:rsidP="00426603">
            <w:pPr>
              <w:spacing w:beforeLines="40" w:before="96" w:afterLines="40" w:after="96" w:line="24" w:lineRule="atLeast"/>
              <w:rPr>
                <w:rFonts w:eastAsia="Times New Roman"/>
                <w:sz w:val="18"/>
                <w:szCs w:val="18"/>
                <w:lang w:val="en-GB" w:eastAsia="en-GB"/>
              </w:rPr>
            </w:pPr>
            <w:r w:rsidRPr="00C74DC0">
              <w:rPr>
                <w:rFonts w:eastAsia="Times New Roman"/>
                <w:sz w:val="18"/>
                <w:szCs w:val="18"/>
                <w:lang w:val="en-GB" w:eastAsia="en-GB"/>
              </w:rPr>
              <w:t>Through the Leave-one-out method to sequentially remove one SNP, with the remaining SNPs as IVs, it was found that no single SNP had a significant impact on the results, and all analyses were statistically significant (Figure 4)</w:t>
            </w:r>
          </w:p>
        </w:tc>
      </w:tr>
      <w:tr w:rsidR="00D8098C" w:rsidRPr="00B853C6" w14:paraId="5B7D2773" w14:textId="7D8D257A" w:rsidTr="005E0D45">
        <w:tc>
          <w:tcPr>
            <w:tcW w:w="587" w:type="dxa"/>
            <w:tcBorders>
              <w:top w:val="single" w:sz="6" w:space="0" w:color="7F7F7F"/>
            </w:tcBorders>
            <w:shd w:val="clear" w:color="auto" w:fill="auto"/>
          </w:tcPr>
          <w:p w14:paraId="5BDBDA6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965" w:type="dxa"/>
            <w:tcBorders>
              <w:top w:val="single" w:sz="6" w:space="0" w:color="7F7F7F"/>
            </w:tcBorders>
            <w:shd w:val="clear" w:color="auto" w:fill="auto"/>
          </w:tcPr>
          <w:p w14:paraId="1C564B75"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6898" w:type="dxa"/>
            <w:tcBorders>
              <w:top w:val="single" w:sz="6" w:space="0" w:color="7F7F7F"/>
            </w:tcBorders>
            <w:shd w:val="clear" w:color="auto" w:fill="auto"/>
          </w:tcPr>
          <w:p w14:paraId="3599772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800AF05" w14:textId="4BEA2748" w:rsidTr="005E0D45">
        <w:tc>
          <w:tcPr>
            <w:tcW w:w="587" w:type="dxa"/>
            <w:shd w:val="clear" w:color="auto" w:fill="EEEEEE"/>
          </w:tcPr>
          <w:p w14:paraId="6B5F5286"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965" w:type="dxa"/>
            <w:shd w:val="clear" w:color="auto" w:fill="EEEEEE"/>
          </w:tcPr>
          <w:p w14:paraId="42EDC02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6898" w:type="dxa"/>
            <w:shd w:val="clear" w:color="auto" w:fill="EEEEEE"/>
          </w:tcPr>
          <w:p w14:paraId="35F1CAD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6F36086C" w:rsidR="00D8098C" w:rsidRPr="00C74DC0" w:rsidRDefault="00C74DC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shd w:val="clear" w:color="auto" w:fill="EEEEEE"/>
          </w:tcPr>
          <w:p w14:paraId="70F1DDE7" w14:textId="0F326A64" w:rsidR="00D8098C" w:rsidRDefault="00C74DC0" w:rsidP="00426603">
            <w:pPr>
              <w:spacing w:beforeLines="40" w:before="96" w:afterLines="40" w:after="96" w:line="24" w:lineRule="atLeast"/>
              <w:rPr>
                <w:rFonts w:eastAsia="Times New Roman"/>
                <w:sz w:val="18"/>
                <w:szCs w:val="18"/>
                <w:lang w:val="en-GB" w:eastAsia="en-GB"/>
              </w:rPr>
            </w:pPr>
            <w:r w:rsidRPr="00C74DC0">
              <w:rPr>
                <w:rFonts w:eastAsia="Times New Roman"/>
                <w:sz w:val="18"/>
                <w:szCs w:val="18"/>
                <w:lang w:val="en-GB" w:eastAsia="en-GB"/>
              </w:rPr>
              <w:t>The results of hypothyroidism showed that for every increase of 1 standard deviation, the risk of developing osteoporosis would increase by about 1%. These MR results suggest that hyperthyroidism and hypothyroidism are important risk factors for osteoporosis, emphasizing the importance of controlling the progression of hyperthyroidism and hypothyroidism in the prevention of osteoporosis</w:t>
            </w:r>
          </w:p>
        </w:tc>
      </w:tr>
      <w:tr w:rsidR="00D8098C" w:rsidRPr="00B853C6" w14:paraId="06BFAFA4" w14:textId="151FB6CE" w:rsidTr="005E0D45">
        <w:tc>
          <w:tcPr>
            <w:tcW w:w="587" w:type="dxa"/>
            <w:shd w:val="clear" w:color="auto" w:fill="auto"/>
          </w:tcPr>
          <w:p w14:paraId="6D471CC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965" w:type="dxa"/>
            <w:shd w:val="clear" w:color="auto" w:fill="auto"/>
          </w:tcPr>
          <w:p w14:paraId="5C27961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6898" w:type="dxa"/>
            <w:shd w:val="clear" w:color="auto" w:fill="auto"/>
          </w:tcPr>
          <w:p w14:paraId="75B6F41B"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026A7413" w:rsidR="00D8098C" w:rsidRPr="00C74DC0" w:rsidRDefault="00C74DC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10</w:t>
            </w:r>
          </w:p>
        </w:tc>
        <w:tc>
          <w:tcPr>
            <w:tcW w:w="4320" w:type="dxa"/>
          </w:tcPr>
          <w:p w14:paraId="7CB4BA33" w14:textId="52A76809" w:rsidR="00D8098C" w:rsidRDefault="00C74DC0" w:rsidP="00426603">
            <w:pPr>
              <w:spacing w:beforeLines="40" w:before="96" w:afterLines="40" w:after="96" w:line="24" w:lineRule="atLeast"/>
              <w:rPr>
                <w:rFonts w:eastAsia="Times New Roman"/>
                <w:sz w:val="18"/>
                <w:szCs w:val="18"/>
                <w:lang w:val="en-GB" w:eastAsia="en-GB"/>
              </w:rPr>
            </w:pPr>
            <w:r w:rsidRPr="00C74DC0">
              <w:rPr>
                <w:rFonts w:eastAsia="Times New Roman"/>
                <w:sz w:val="18"/>
                <w:szCs w:val="18"/>
                <w:lang w:val="en-GB" w:eastAsia="en-GB"/>
              </w:rPr>
              <w:t xml:space="preserve">Due to the database used in this study being from European countries, the applicability of the study conclusions to diverse populations worldwide still requires universal verification. Additionally, due to </w:t>
            </w:r>
            <w:r w:rsidRPr="00C74DC0">
              <w:rPr>
                <w:rFonts w:eastAsia="Times New Roman"/>
                <w:sz w:val="18"/>
                <w:szCs w:val="18"/>
                <w:lang w:val="en-GB" w:eastAsia="en-GB"/>
              </w:rPr>
              <w:lastRenderedPageBreak/>
              <w:t>limitations of the MR-Base platform, direct access to specific data of the study population is not possible, therefore impeding further research on this data. Mendelian Randomization studies can only make preliminary conclusions about causal relationships, and detailed mechanisms of action between hyperthyroidism and osteoporosis still require further investigation.</w:t>
            </w:r>
          </w:p>
        </w:tc>
      </w:tr>
      <w:tr w:rsidR="00D8098C" w:rsidRPr="00B853C6" w14:paraId="71F8B8B5" w14:textId="34C247AC" w:rsidTr="005E0D45">
        <w:tc>
          <w:tcPr>
            <w:tcW w:w="587" w:type="dxa"/>
            <w:shd w:val="clear" w:color="auto" w:fill="EEEEEE"/>
          </w:tcPr>
          <w:p w14:paraId="02C1D590"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16</w:t>
            </w:r>
          </w:p>
        </w:tc>
        <w:tc>
          <w:tcPr>
            <w:tcW w:w="1965" w:type="dxa"/>
            <w:shd w:val="clear" w:color="auto" w:fill="EEEEEE"/>
          </w:tcPr>
          <w:p w14:paraId="612AA484"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6898" w:type="dxa"/>
            <w:shd w:val="clear" w:color="auto" w:fill="EEEEEE"/>
          </w:tcPr>
          <w:p w14:paraId="3BF6466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2E6D51A" w14:textId="140D03A2" w:rsidTr="005E0D45">
        <w:tc>
          <w:tcPr>
            <w:tcW w:w="587" w:type="dxa"/>
            <w:shd w:val="clear" w:color="auto" w:fill="auto"/>
          </w:tcPr>
          <w:p w14:paraId="6DD2F4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50F26A2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898" w:type="dxa"/>
            <w:shd w:val="clear" w:color="auto" w:fill="auto"/>
          </w:tcPr>
          <w:p w14:paraId="7EDF9868" w14:textId="096ED659" w:rsidR="00D8098C" w:rsidRPr="00A1236D" w:rsidRDefault="00D8098C" w:rsidP="00685D3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and in comparison </w:t>
            </w:r>
            <w:r w:rsidR="00685D31">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5251245C" w14:textId="66FF6895" w:rsidR="00D8098C" w:rsidRDefault="00C74DC0" w:rsidP="00426603">
            <w:pPr>
              <w:spacing w:beforeLines="40" w:before="96" w:afterLines="40" w:after="96" w:line="24" w:lineRule="atLeast"/>
              <w:rPr>
                <w:rFonts w:eastAsia="Times New Roman"/>
                <w:sz w:val="18"/>
                <w:szCs w:val="18"/>
                <w:lang w:val="en-GB" w:eastAsia="en-GB"/>
              </w:rPr>
            </w:pPr>
            <w:r w:rsidRPr="00C74DC0">
              <w:rPr>
                <w:rFonts w:eastAsia="Times New Roman"/>
                <w:sz w:val="18"/>
                <w:szCs w:val="18"/>
                <w:lang w:val="en-GB" w:eastAsia="en-GB"/>
              </w:rPr>
              <w:t>If there is data from different races, we will also update the results in a timely manner</w:t>
            </w:r>
          </w:p>
        </w:tc>
      </w:tr>
      <w:tr w:rsidR="00D8098C" w:rsidRPr="00B853C6" w14:paraId="156B69E5" w14:textId="453FC5BE" w:rsidTr="005E0D45">
        <w:tc>
          <w:tcPr>
            <w:tcW w:w="587" w:type="dxa"/>
            <w:shd w:val="clear" w:color="auto" w:fill="EEEEEE"/>
          </w:tcPr>
          <w:p w14:paraId="4C8A221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EEEEEE"/>
          </w:tcPr>
          <w:p w14:paraId="6A4A5F1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898" w:type="dxa"/>
            <w:shd w:val="clear" w:color="auto" w:fill="EEEEEE"/>
          </w:tcPr>
          <w:p w14:paraId="422EB891" w14:textId="35DEA636"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sidR="00ED48A3">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08CEBCC1" w:rsidR="00D8098C" w:rsidRPr="00516C14" w:rsidRDefault="00516C14"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shd w:val="clear" w:color="auto" w:fill="EEEEEE"/>
          </w:tcPr>
          <w:p w14:paraId="3A91F000" w14:textId="2E6C625F" w:rsidR="00D8098C" w:rsidRDefault="00516C14" w:rsidP="00426603">
            <w:pPr>
              <w:spacing w:beforeLines="40" w:before="96" w:afterLines="40" w:after="96" w:line="24" w:lineRule="atLeast"/>
              <w:rPr>
                <w:rFonts w:eastAsia="Times New Roman"/>
                <w:sz w:val="18"/>
                <w:szCs w:val="18"/>
                <w:lang w:val="en-GB" w:eastAsia="en-GB"/>
              </w:rPr>
            </w:pPr>
            <w:r w:rsidRPr="00516C14">
              <w:rPr>
                <w:rFonts w:eastAsia="Times New Roman"/>
                <w:sz w:val="18"/>
                <w:szCs w:val="18"/>
                <w:lang w:val="en-GB" w:eastAsia="en-GB"/>
              </w:rPr>
              <w:t xml:space="preserve">The </w:t>
            </w:r>
            <w:proofErr w:type="spellStart"/>
            <w:r w:rsidRPr="00516C14">
              <w:rPr>
                <w:rFonts w:eastAsia="Times New Roman"/>
                <w:sz w:val="18"/>
                <w:szCs w:val="18"/>
                <w:lang w:val="en-GB" w:eastAsia="en-GB"/>
              </w:rPr>
              <w:t>signaling</w:t>
            </w:r>
            <w:proofErr w:type="spellEnd"/>
            <w:r w:rsidRPr="00516C14">
              <w:rPr>
                <w:rFonts w:eastAsia="Times New Roman"/>
                <w:sz w:val="18"/>
                <w:szCs w:val="18"/>
                <w:lang w:val="en-GB" w:eastAsia="en-GB"/>
              </w:rPr>
              <w:t xml:space="preserve"> pathways involved in the interaction between hyperthyroidism, hypothyroidism, and osteoporosis mainly include Human T-cell </w:t>
            </w:r>
            <w:proofErr w:type="spellStart"/>
            <w:r w:rsidRPr="00516C14">
              <w:rPr>
                <w:rFonts w:eastAsia="Times New Roman"/>
                <w:sz w:val="18"/>
                <w:szCs w:val="18"/>
                <w:lang w:val="en-GB" w:eastAsia="en-GB"/>
              </w:rPr>
              <w:t>Leukemia</w:t>
            </w:r>
            <w:proofErr w:type="spellEnd"/>
            <w:r w:rsidRPr="00516C14">
              <w:rPr>
                <w:rFonts w:eastAsia="Times New Roman"/>
                <w:sz w:val="18"/>
                <w:szCs w:val="18"/>
                <w:lang w:val="en-GB" w:eastAsia="en-GB"/>
              </w:rPr>
              <w:t xml:space="preserve"> Virus Type I infection, the AGE-RAGE </w:t>
            </w:r>
            <w:proofErr w:type="spellStart"/>
            <w:r w:rsidRPr="00516C14">
              <w:rPr>
                <w:rFonts w:eastAsia="Times New Roman"/>
                <w:sz w:val="18"/>
                <w:szCs w:val="18"/>
                <w:lang w:val="en-GB" w:eastAsia="en-GB"/>
              </w:rPr>
              <w:t>signaling</w:t>
            </w:r>
            <w:proofErr w:type="spellEnd"/>
            <w:r w:rsidRPr="00516C14">
              <w:rPr>
                <w:rFonts w:eastAsia="Times New Roman"/>
                <w:sz w:val="18"/>
                <w:szCs w:val="18"/>
                <w:lang w:val="en-GB" w:eastAsia="en-GB"/>
              </w:rPr>
              <w:t xml:space="preserve"> pathway in diabetic complications, Type I diabetes, and graft-versus-host disease. (20-23)</w:t>
            </w:r>
            <w:r w:rsidRPr="00516C14">
              <w:rPr>
                <w:rFonts w:ascii="宋体" w:eastAsia="宋体" w:hAnsi="宋体" w:cs="宋体" w:hint="eastAsia"/>
                <w:sz w:val="18"/>
                <w:szCs w:val="18"/>
                <w:lang w:val="en-GB" w:eastAsia="en-GB"/>
              </w:rPr>
              <w:t>；</w:t>
            </w:r>
            <w:r w:rsidRPr="00516C14">
              <w:rPr>
                <w:rFonts w:eastAsia="Times New Roman"/>
                <w:sz w:val="18"/>
                <w:szCs w:val="18"/>
                <w:lang w:val="en-GB" w:eastAsia="en-GB"/>
              </w:rPr>
              <w:t>TNF, AKT1, ALB, CD4, IL2 may be the main potential targets for treating osteoporosis induced by hyperthyroidism; while ALB, AKT1, TP53, TNF, CTNNB1 may be the main potential targets for treating age-related osteoporosis induced by hypothyroidism. The reason is that TNF (</w:t>
            </w:r>
            <w:proofErr w:type="spellStart"/>
            <w:r w:rsidRPr="00516C14">
              <w:rPr>
                <w:rFonts w:eastAsia="Times New Roman"/>
                <w:sz w:val="18"/>
                <w:szCs w:val="18"/>
                <w:lang w:val="en-GB" w:eastAsia="en-GB"/>
              </w:rPr>
              <w:t>tumor</w:t>
            </w:r>
            <w:proofErr w:type="spellEnd"/>
            <w:r w:rsidRPr="00516C14">
              <w:rPr>
                <w:rFonts w:eastAsia="Times New Roman"/>
                <w:sz w:val="18"/>
                <w:szCs w:val="18"/>
                <w:lang w:val="en-GB" w:eastAsia="en-GB"/>
              </w:rPr>
              <w:t xml:space="preserve"> necrosis factor) can directly act on osteoclast precursors, promoting </w:t>
            </w:r>
            <w:proofErr w:type="spellStart"/>
            <w:r w:rsidRPr="00516C14">
              <w:rPr>
                <w:rFonts w:eastAsia="Times New Roman"/>
                <w:sz w:val="18"/>
                <w:szCs w:val="18"/>
                <w:lang w:val="en-GB" w:eastAsia="en-GB"/>
              </w:rPr>
              <w:t>osteoclastogenesis</w:t>
            </w:r>
            <w:proofErr w:type="spellEnd"/>
            <w:r w:rsidRPr="00516C14">
              <w:rPr>
                <w:rFonts w:eastAsia="Times New Roman"/>
                <w:sz w:val="18"/>
                <w:szCs w:val="18"/>
                <w:lang w:val="en-GB" w:eastAsia="en-GB"/>
              </w:rPr>
              <w:t xml:space="preserve">. (24); AKT1, as a </w:t>
            </w:r>
            <w:proofErr w:type="spellStart"/>
            <w:r w:rsidRPr="00516C14">
              <w:rPr>
                <w:rFonts w:eastAsia="Times New Roman"/>
                <w:sz w:val="18"/>
                <w:szCs w:val="18"/>
                <w:lang w:val="en-GB" w:eastAsia="en-GB"/>
              </w:rPr>
              <w:t>signaling</w:t>
            </w:r>
            <w:proofErr w:type="spellEnd"/>
            <w:r w:rsidRPr="00516C14">
              <w:rPr>
                <w:rFonts w:eastAsia="Times New Roman"/>
                <w:sz w:val="18"/>
                <w:szCs w:val="18"/>
                <w:lang w:val="en-GB" w:eastAsia="en-GB"/>
              </w:rPr>
              <w:t xml:space="preserve"> mediator in osteoblasts, can control the differentiation of osteoblasts and osteoclasts. (25, 26); the central hydrophobic site of ALB is the binding site for thyroid hormones. (27)</w:t>
            </w:r>
            <w:r w:rsidRPr="00516C14">
              <w:rPr>
                <w:rFonts w:ascii="宋体" w:eastAsia="宋体" w:hAnsi="宋体" w:cs="宋体" w:hint="eastAsia"/>
                <w:sz w:val="18"/>
                <w:szCs w:val="18"/>
                <w:lang w:val="en-GB" w:eastAsia="en-GB"/>
              </w:rPr>
              <w:t>；</w:t>
            </w:r>
            <w:r w:rsidRPr="00516C14">
              <w:rPr>
                <w:rFonts w:eastAsia="Times New Roman"/>
                <w:sz w:val="18"/>
                <w:szCs w:val="18"/>
                <w:lang w:val="en-GB" w:eastAsia="en-GB"/>
              </w:rPr>
              <w:t>TP53 and CTNNB1 are the most up-regulated DEGs in the differential expression genes of osteoporosis, indicating that they may play important roles in osteoporosis. (28); Research has also shown that elevated levels of IL2 (Interleukin-2) and high levels of CD4 can lead to the development of osteoporosis. (29)</w:t>
            </w:r>
            <w:r w:rsidRPr="00516C14">
              <w:rPr>
                <w:rFonts w:ascii="宋体" w:eastAsia="宋体" w:hAnsi="宋体" w:cs="宋体" w:hint="eastAsia"/>
                <w:sz w:val="18"/>
                <w:szCs w:val="18"/>
                <w:lang w:val="en-GB" w:eastAsia="en-GB"/>
              </w:rPr>
              <w:t>。</w:t>
            </w:r>
            <w:r w:rsidRPr="00516C14">
              <w:rPr>
                <w:rFonts w:eastAsia="Times New Roman"/>
                <w:sz w:val="18"/>
                <w:szCs w:val="18"/>
                <w:lang w:val="en-GB" w:eastAsia="en-GB"/>
              </w:rPr>
              <w:t>Xu et al. conducted a meta-analysis of 12 cohort studies with a total of 275,086 participants, following up for 3 months to 13 years based on pre-determined inclusion and exclusion criteria. The results showed that patients with hyperthyroidism had a significantly increased risk of developing osteoporosis. (30)</w:t>
            </w:r>
            <w:r w:rsidRPr="00516C14">
              <w:rPr>
                <w:rFonts w:ascii="宋体" w:eastAsia="宋体" w:hAnsi="宋体" w:cs="宋体" w:hint="eastAsia"/>
                <w:sz w:val="18"/>
                <w:szCs w:val="18"/>
                <w:lang w:val="en-GB" w:eastAsia="en-GB"/>
              </w:rPr>
              <w:t>。</w:t>
            </w:r>
            <w:r w:rsidRPr="00516C14">
              <w:rPr>
                <w:rFonts w:eastAsia="Times New Roman"/>
                <w:sz w:val="18"/>
                <w:szCs w:val="18"/>
                <w:lang w:val="en-GB" w:eastAsia="en-GB"/>
              </w:rPr>
              <w:t>Some studies suggest that hypothyroidism leads to osteoporosis because 90% of hypothyroid subjects undergoing dual-energy X-</w:t>
            </w:r>
            <w:r w:rsidRPr="00516C14">
              <w:rPr>
                <w:rFonts w:eastAsia="Times New Roman"/>
                <w:sz w:val="18"/>
                <w:szCs w:val="18"/>
                <w:lang w:val="en-GB" w:eastAsia="en-GB"/>
              </w:rPr>
              <w:lastRenderedPageBreak/>
              <w:t>ray absorptiometry scans were found to have osteoporosis. (31)</w:t>
            </w:r>
          </w:p>
        </w:tc>
      </w:tr>
      <w:tr w:rsidR="00D8098C" w:rsidRPr="00B853C6" w14:paraId="203390A0" w14:textId="367D17C4" w:rsidTr="005E0D45">
        <w:tc>
          <w:tcPr>
            <w:tcW w:w="587" w:type="dxa"/>
            <w:shd w:val="clear" w:color="auto" w:fill="auto"/>
          </w:tcPr>
          <w:p w14:paraId="54CA3A2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965" w:type="dxa"/>
            <w:shd w:val="clear" w:color="auto" w:fill="auto"/>
          </w:tcPr>
          <w:p w14:paraId="6D25BA5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898" w:type="dxa"/>
            <w:shd w:val="clear" w:color="auto" w:fill="auto"/>
          </w:tcPr>
          <w:p w14:paraId="5B6A8315" w14:textId="77777777" w:rsidR="00D8098C" w:rsidRPr="00A1236D" w:rsidRDefault="00D8098C" w:rsidP="00426603">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77777777" w:rsidR="00D8098C" w:rsidRPr="00A1236D" w:rsidRDefault="00D8098C" w:rsidP="00426603">
            <w:pPr>
              <w:tabs>
                <w:tab w:val="left" w:pos="1350"/>
              </w:tabs>
              <w:spacing w:beforeLines="40" w:before="96" w:afterLines="40" w:after="96" w:line="24" w:lineRule="atLeast"/>
              <w:rPr>
                <w:rFonts w:eastAsia="Times New Roman"/>
                <w:sz w:val="18"/>
                <w:szCs w:val="18"/>
                <w:lang w:val="en-GB" w:eastAsia="en-GB"/>
              </w:rPr>
            </w:pPr>
          </w:p>
        </w:tc>
        <w:tc>
          <w:tcPr>
            <w:tcW w:w="4320" w:type="dxa"/>
          </w:tcPr>
          <w:p w14:paraId="78058AE6" w14:textId="1BFD561F" w:rsidR="00D8098C" w:rsidRDefault="00516C14" w:rsidP="00426603">
            <w:pPr>
              <w:tabs>
                <w:tab w:val="left" w:pos="1350"/>
              </w:tabs>
              <w:spacing w:beforeLines="40" w:before="96" w:afterLines="40" w:after="96" w:line="24" w:lineRule="atLeast"/>
              <w:rPr>
                <w:rFonts w:eastAsia="Times New Roman"/>
                <w:sz w:val="18"/>
                <w:szCs w:val="18"/>
                <w:lang w:val="en-GB" w:eastAsia="en-GB"/>
              </w:rPr>
            </w:pPr>
            <w:r w:rsidRPr="00516C14">
              <w:rPr>
                <w:rFonts w:eastAsia="Times New Roman"/>
                <w:sz w:val="18"/>
                <w:szCs w:val="18"/>
                <w:lang w:val="en-GB" w:eastAsia="en-GB"/>
              </w:rPr>
              <w:t>Indeed, this suggests that both hyperthyroidism and hypothyroidism are risk factors for the development of osteoporosis.</w:t>
            </w:r>
            <w:r w:rsidR="00AA0986">
              <w:t xml:space="preserve"> </w:t>
            </w:r>
            <w:r w:rsidR="00AA0986" w:rsidRPr="00AA0986">
              <w:rPr>
                <w:rFonts w:eastAsia="Times New Roman"/>
                <w:sz w:val="18"/>
                <w:szCs w:val="18"/>
                <w:lang w:val="en-GB" w:eastAsia="en-GB"/>
              </w:rPr>
              <w:t>According to research findings, for patients with hyperthyroidism or hypothyroidism, it is important to prevent osteoporosis early and regularly</w:t>
            </w:r>
          </w:p>
        </w:tc>
      </w:tr>
      <w:tr w:rsidR="00D8098C" w:rsidRPr="00B853C6" w14:paraId="71FDAFC1" w14:textId="00A47F15" w:rsidTr="005E0D45">
        <w:tc>
          <w:tcPr>
            <w:tcW w:w="587" w:type="dxa"/>
            <w:tcBorders>
              <w:bottom w:val="single" w:sz="6" w:space="0" w:color="7F7F7F"/>
            </w:tcBorders>
            <w:shd w:val="clear" w:color="auto" w:fill="EEEEEE"/>
          </w:tcPr>
          <w:p w14:paraId="7540155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965" w:type="dxa"/>
            <w:tcBorders>
              <w:bottom w:val="single" w:sz="6" w:space="0" w:color="7F7F7F"/>
            </w:tcBorders>
            <w:shd w:val="clear" w:color="auto" w:fill="EEEEEE"/>
          </w:tcPr>
          <w:p w14:paraId="3680059F"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6898" w:type="dxa"/>
            <w:tcBorders>
              <w:bottom w:val="single" w:sz="6" w:space="0" w:color="7F7F7F"/>
            </w:tcBorders>
            <w:shd w:val="clear" w:color="auto" w:fill="EEEEEE"/>
          </w:tcPr>
          <w:p w14:paraId="68647C3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41ABF5A9"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57884E75" w14:textId="6FD41AE6" w:rsidTr="005E0D45">
        <w:tc>
          <w:tcPr>
            <w:tcW w:w="587" w:type="dxa"/>
            <w:tcBorders>
              <w:top w:val="single" w:sz="6" w:space="0" w:color="7F7F7F"/>
            </w:tcBorders>
            <w:shd w:val="clear" w:color="auto" w:fill="auto"/>
          </w:tcPr>
          <w:p w14:paraId="2C4C694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965" w:type="dxa"/>
            <w:tcBorders>
              <w:top w:val="single" w:sz="6" w:space="0" w:color="7F7F7F"/>
            </w:tcBorders>
            <w:shd w:val="clear" w:color="auto" w:fill="auto"/>
          </w:tcPr>
          <w:p w14:paraId="0A6FFE3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6898" w:type="dxa"/>
            <w:tcBorders>
              <w:top w:val="single" w:sz="6" w:space="0" w:color="7F7F7F"/>
            </w:tcBorders>
            <w:shd w:val="clear" w:color="auto" w:fill="auto"/>
          </w:tcPr>
          <w:p w14:paraId="0577947E"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0014C6D1" w14:textId="2FC4D004" w:rsidTr="005E0D45">
        <w:tc>
          <w:tcPr>
            <w:tcW w:w="587" w:type="dxa"/>
            <w:shd w:val="clear" w:color="auto" w:fill="EEEEEE"/>
          </w:tcPr>
          <w:p w14:paraId="2336D08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965" w:type="dxa"/>
            <w:shd w:val="clear" w:color="auto" w:fill="EEEEEE"/>
          </w:tcPr>
          <w:p w14:paraId="08EB4FD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6898" w:type="dxa"/>
            <w:shd w:val="clear" w:color="auto" w:fill="EEEEEE"/>
          </w:tcPr>
          <w:p w14:paraId="4663DCA7"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77777777" w:rsidR="00D8098C" w:rsidRPr="00F0337F"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2C6CE5FF" w14:textId="1C480151" w:rsidR="00D8098C" w:rsidRDefault="00AA0986" w:rsidP="00426603">
            <w:pPr>
              <w:spacing w:beforeLines="40" w:before="96" w:afterLines="40" w:after="96" w:line="24" w:lineRule="atLeast"/>
              <w:rPr>
                <w:rFonts w:eastAsia="Times New Roman"/>
                <w:sz w:val="18"/>
                <w:szCs w:val="18"/>
                <w:lang w:val="en-GB" w:eastAsia="en-GB"/>
              </w:rPr>
            </w:pPr>
            <w:r w:rsidRPr="00AA0986">
              <w:rPr>
                <w:rFonts w:eastAsia="Times New Roman"/>
                <w:sz w:val="18"/>
                <w:szCs w:val="18"/>
                <w:lang w:val="en-GB" w:eastAsia="en-GB"/>
              </w:rPr>
              <w:t>This research received no external funding.</w:t>
            </w:r>
          </w:p>
        </w:tc>
      </w:tr>
      <w:tr w:rsidR="00D8098C" w:rsidRPr="00B853C6" w14:paraId="1B22CB41" w14:textId="102364C9" w:rsidTr="005E0D45">
        <w:tc>
          <w:tcPr>
            <w:tcW w:w="587" w:type="dxa"/>
            <w:shd w:val="clear" w:color="auto" w:fill="auto"/>
          </w:tcPr>
          <w:p w14:paraId="381BF2B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965" w:type="dxa"/>
            <w:shd w:val="clear" w:color="auto" w:fill="auto"/>
          </w:tcPr>
          <w:p w14:paraId="233BA94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6898" w:type="dxa"/>
            <w:shd w:val="clear" w:color="auto" w:fill="auto"/>
          </w:tcPr>
          <w:p w14:paraId="42D9085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77777777" w:rsidR="00D8098C" w:rsidRPr="00F0337F"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2D7E6561" w14:textId="77777777" w:rsidR="001127FF" w:rsidRPr="001127FF" w:rsidRDefault="001127FF" w:rsidP="001127FF">
            <w:pPr>
              <w:spacing w:beforeLines="40" w:before="96" w:afterLines="40" w:after="96" w:line="24" w:lineRule="atLeast"/>
              <w:rPr>
                <w:rFonts w:eastAsia="Times New Roman"/>
                <w:sz w:val="18"/>
                <w:szCs w:val="18"/>
                <w:lang w:val="en-GB" w:eastAsia="en-GB"/>
              </w:rPr>
            </w:pPr>
            <w:r w:rsidRPr="001127FF">
              <w:rPr>
                <w:rFonts w:eastAsia="Times New Roman"/>
                <w:sz w:val="18"/>
                <w:szCs w:val="18"/>
                <w:lang w:val="en-GB" w:eastAsia="en-GB"/>
              </w:rPr>
              <w:t>The original contributions presented in the study are included</w:t>
            </w:r>
          </w:p>
          <w:p w14:paraId="65040038" w14:textId="77777777" w:rsidR="001127FF" w:rsidRPr="001127FF" w:rsidRDefault="001127FF" w:rsidP="001127FF">
            <w:pPr>
              <w:spacing w:beforeLines="40" w:before="96" w:afterLines="40" w:after="96" w:line="24" w:lineRule="atLeast"/>
              <w:rPr>
                <w:rFonts w:eastAsia="Times New Roman"/>
                <w:sz w:val="18"/>
                <w:szCs w:val="18"/>
                <w:lang w:val="en-GB" w:eastAsia="en-GB"/>
              </w:rPr>
            </w:pPr>
            <w:r w:rsidRPr="001127FF">
              <w:rPr>
                <w:rFonts w:eastAsia="Times New Roman"/>
                <w:sz w:val="18"/>
                <w:szCs w:val="18"/>
                <w:lang w:val="en-GB" w:eastAsia="en-GB"/>
              </w:rPr>
              <w:t>in the article/Supplementary Material. Further inquiries can be</w:t>
            </w:r>
          </w:p>
          <w:p w14:paraId="38DE3AA7" w14:textId="65895735" w:rsidR="00D8098C" w:rsidRDefault="001127FF" w:rsidP="001127FF">
            <w:pPr>
              <w:spacing w:beforeLines="40" w:before="96" w:afterLines="40" w:after="96" w:line="24" w:lineRule="atLeast"/>
              <w:rPr>
                <w:rFonts w:eastAsia="Times New Roman"/>
                <w:sz w:val="18"/>
                <w:szCs w:val="18"/>
                <w:lang w:val="en-GB" w:eastAsia="en-GB"/>
              </w:rPr>
            </w:pPr>
            <w:r w:rsidRPr="001127FF">
              <w:rPr>
                <w:rFonts w:eastAsia="Times New Roman"/>
                <w:sz w:val="18"/>
                <w:szCs w:val="18"/>
                <w:lang w:val="en-GB" w:eastAsia="en-GB"/>
              </w:rPr>
              <w:t>directed to the corresponding authors.</w:t>
            </w:r>
          </w:p>
        </w:tc>
      </w:tr>
      <w:tr w:rsidR="00D8098C" w:rsidRPr="00B853C6" w14:paraId="1BFE6A86" w14:textId="26747AA0" w:rsidTr="005E0D45">
        <w:tc>
          <w:tcPr>
            <w:tcW w:w="587" w:type="dxa"/>
            <w:tcBorders>
              <w:bottom w:val="single" w:sz="6" w:space="0" w:color="7F7F7F"/>
            </w:tcBorders>
            <w:shd w:val="clear" w:color="auto" w:fill="EEEEEE"/>
          </w:tcPr>
          <w:p w14:paraId="20DC2C92"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965" w:type="dxa"/>
            <w:tcBorders>
              <w:bottom w:val="single" w:sz="6" w:space="0" w:color="7F7F7F"/>
            </w:tcBorders>
            <w:shd w:val="clear" w:color="auto" w:fill="EEEEEE"/>
          </w:tcPr>
          <w:p w14:paraId="39A69A1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6898" w:type="dxa"/>
            <w:tcBorders>
              <w:bottom w:val="single" w:sz="6" w:space="0" w:color="7F7F7F"/>
            </w:tcBorders>
            <w:shd w:val="clear" w:color="auto" w:fill="EEEEEE"/>
          </w:tcPr>
          <w:p w14:paraId="4772D91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77777777" w:rsidR="00D8098C" w:rsidRPr="00F0337F" w:rsidRDefault="00D8098C" w:rsidP="00426603">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5D9123A4" w14:textId="068CEF7A" w:rsidR="00D8098C" w:rsidRDefault="00AA0986" w:rsidP="00426603">
            <w:pPr>
              <w:spacing w:beforeLines="40" w:before="96" w:afterLines="40" w:after="96" w:line="24" w:lineRule="atLeast"/>
              <w:rPr>
                <w:rFonts w:eastAsia="Times New Roman"/>
                <w:sz w:val="18"/>
                <w:szCs w:val="18"/>
                <w:lang w:val="en-GB" w:eastAsia="en-GB"/>
              </w:rPr>
            </w:pPr>
            <w:r w:rsidRPr="00AA0986">
              <w:rPr>
                <w:rFonts w:eastAsia="Times New Roman"/>
                <w:sz w:val="18"/>
                <w:szCs w:val="18"/>
                <w:lang w:val="en-GB" w:eastAsia="en-GB"/>
              </w:rPr>
              <w:t>All authors declare no competing financial interest.</w:t>
            </w:r>
          </w:p>
        </w:tc>
      </w:tr>
    </w:tbl>
    <w:p w14:paraId="386115B2" w14:textId="17D6D8D3" w:rsidR="00000000"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71703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659584" w14:textId="77777777" w:rsidR="0071703D" w:rsidRDefault="0071703D">
      <w:pPr>
        <w:spacing w:line="240" w:lineRule="auto"/>
      </w:pPr>
      <w:r>
        <w:separator/>
      </w:r>
    </w:p>
  </w:endnote>
  <w:endnote w:type="continuationSeparator" w:id="0">
    <w:p w14:paraId="276F2352" w14:textId="77777777" w:rsidR="0071703D" w:rsidRDefault="007170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000000" w:rsidRDefault="00000000" w:rsidP="00A365E5">
    <w:pPr>
      <w:pStyle w:val="a3"/>
      <w:framePr w:wrap="none" w:vAnchor="text" w:hAnchor="margin" w:xAlign="right" w:y="1"/>
      <w:rPr>
        <w:rStyle w:val="a5"/>
      </w:rPr>
    </w:pPr>
  </w:p>
  <w:p w14:paraId="40A0897E" w14:textId="77777777" w:rsidR="00000000"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00000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000000"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566495" w14:textId="77777777" w:rsidR="0071703D" w:rsidRDefault="0071703D">
      <w:pPr>
        <w:spacing w:line="240" w:lineRule="auto"/>
      </w:pPr>
      <w:r>
        <w:separator/>
      </w:r>
    </w:p>
  </w:footnote>
  <w:footnote w:type="continuationSeparator" w:id="0">
    <w:p w14:paraId="4E1D2027" w14:textId="77777777" w:rsidR="0071703D" w:rsidRDefault="0071703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84D31"/>
    <w:rsid w:val="000A4CE8"/>
    <w:rsid w:val="001127FF"/>
    <w:rsid w:val="001D7300"/>
    <w:rsid w:val="002663E6"/>
    <w:rsid w:val="003D447D"/>
    <w:rsid w:val="003D47DD"/>
    <w:rsid w:val="004B5CBB"/>
    <w:rsid w:val="004E11D4"/>
    <w:rsid w:val="00514462"/>
    <w:rsid w:val="00516C14"/>
    <w:rsid w:val="005520ED"/>
    <w:rsid w:val="005A0D0D"/>
    <w:rsid w:val="005E0D45"/>
    <w:rsid w:val="005F52D3"/>
    <w:rsid w:val="00685D31"/>
    <w:rsid w:val="006912BF"/>
    <w:rsid w:val="006A41D0"/>
    <w:rsid w:val="006B08D5"/>
    <w:rsid w:val="0071703D"/>
    <w:rsid w:val="00804498"/>
    <w:rsid w:val="00914C56"/>
    <w:rsid w:val="00950729"/>
    <w:rsid w:val="009854A9"/>
    <w:rsid w:val="009E033F"/>
    <w:rsid w:val="00AA0986"/>
    <w:rsid w:val="00BB6328"/>
    <w:rsid w:val="00C74DC0"/>
    <w:rsid w:val="00D65199"/>
    <w:rsid w:val="00D8098C"/>
    <w:rsid w:val="00DC08A5"/>
    <w:rsid w:val="00EB5AB7"/>
    <w:rsid w:val="00ED48A3"/>
    <w:rsid w:val="00EF4B94"/>
    <w:rsid w:val="00EF626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3.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9</Pages>
  <Words>3842</Words>
  <Characters>21901</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文禹 段</cp:lastModifiedBy>
  <cp:revision>5</cp:revision>
  <cp:lastPrinted>2021-09-28T07:08:00Z</cp:lastPrinted>
  <dcterms:created xsi:type="dcterms:W3CDTF">2022-04-07T08:09:00Z</dcterms:created>
  <dcterms:modified xsi:type="dcterms:W3CDTF">2024-04-28T14:42:00Z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