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D20" w:rsidRDefault="004E4A73" w:rsidP="004E4A73">
      <w:pPr>
        <w:suppressLineNumbers/>
        <w:jc w:val="center"/>
        <w:rPr>
          <w:rFonts w:asciiTheme="majorBidi" w:eastAsia="Calibri" w:hAnsiTheme="majorBidi" w:cstheme="majorBidi"/>
          <w:b/>
          <w:sz w:val="20"/>
          <w:szCs w:val="20"/>
        </w:rPr>
      </w:pPr>
      <w:bookmarkStart w:id="0" w:name="_Toc144053180"/>
      <w:r w:rsidRPr="001D453E">
        <w:rPr>
          <w:rFonts w:asciiTheme="majorBidi" w:eastAsia="Calibri" w:hAnsiTheme="majorBidi" w:cstheme="majorBidi"/>
          <w:b/>
          <w:sz w:val="20"/>
          <w:szCs w:val="20"/>
        </w:rPr>
        <w:t>Game harvest in the most populated Amazonian sustainable-use protected area: insights from 5-years of community-based monitoring</w:t>
      </w:r>
    </w:p>
    <w:p w:rsidR="00A2268A" w:rsidRPr="00B31460" w:rsidRDefault="00A2268A" w:rsidP="00A2268A">
      <w:pPr>
        <w:suppressLineNumbers/>
        <w:jc w:val="center"/>
        <w:rPr>
          <w:rFonts w:asciiTheme="majorBidi" w:eastAsia="Calibri" w:hAnsiTheme="majorBidi" w:cstheme="majorBidi"/>
          <w:sz w:val="20"/>
          <w:szCs w:val="20"/>
          <w:lang w:val="pt-BR"/>
        </w:rPr>
      </w:pPr>
      <w:r w:rsidRPr="00B31460">
        <w:rPr>
          <w:rFonts w:asciiTheme="majorBidi" w:eastAsia="Calibri" w:hAnsiTheme="majorBidi" w:cstheme="majorBidi"/>
          <w:sz w:val="20"/>
          <w:szCs w:val="20"/>
          <w:lang w:val="pt-BR"/>
        </w:rPr>
        <w:t>Yasmin Maria Sampaio dos Reis</w:t>
      </w:r>
      <w:r w:rsidRPr="00B31460">
        <w:rPr>
          <w:rFonts w:asciiTheme="majorBidi" w:eastAsia="Calibri" w:hAnsiTheme="majorBidi" w:cstheme="majorBidi"/>
          <w:sz w:val="20"/>
          <w:szCs w:val="20"/>
          <w:vertAlign w:val="superscript"/>
          <w:lang w:val="pt-BR"/>
        </w:rPr>
        <w:t>1*</w:t>
      </w:r>
      <w:r w:rsidRPr="00B31460">
        <w:rPr>
          <w:rFonts w:asciiTheme="majorBidi" w:eastAsia="Calibri" w:hAnsiTheme="majorBidi" w:cstheme="majorBidi"/>
          <w:sz w:val="20"/>
          <w:szCs w:val="20"/>
          <w:lang w:val="pt-BR"/>
        </w:rPr>
        <w:t>, Maíra Benchimol</w:t>
      </w:r>
      <w:r w:rsidRPr="00B31460">
        <w:rPr>
          <w:rFonts w:asciiTheme="majorBidi" w:eastAsia="Calibri" w:hAnsiTheme="majorBidi" w:cstheme="majorBidi"/>
          <w:sz w:val="20"/>
          <w:szCs w:val="20"/>
          <w:vertAlign w:val="superscript"/>
          <w:lang w:val="pt-BR"/>
        </w:rPr>
        <w:t>2</w:t>
      </w:r>
    </w:p>
    <w:p w:rsidR="00A2268A" w:rsidRPr="00B31460" w:rsidRDefault="00A2268A" w:rsidP="00A2268A">
      <w:pPr>
        <w:suppressLineNumbers/>
        <w:jc w:val="both"/>
        <w:rPr>
          <w:rFonts w:asciiTheme="majorBidi" w:eastAsia="Calibri" w:hAnsiTheme="majorBidi" w:cstheme="majorBidi"/>
          <w:sz w:val="20"/>
          <w:szCs w:val="20"/>
          <w:lang w:val="pt-BR"/>
        </w:rPr>
      </w:pPr>
      <w:r w:rsidRPr="00B31460">
        <w:rPr>
          <w:rFonts w:asciiTheme="majorBidi" w:eastAsia="Calibri" w:hAnsiTheme="majorBidi" w:cstheme="majorBidi"/>
          <w:sz w:val="20"/>
          <w:szCs w:val="20"/>
          <w:vertAlign w:val="superscript"/>
          <w:lang w:val="pt-BR"/>
        </w:rPr>
        <w:t>1,2</w:t>
      </w:r>
      <w:r w:rsidRPr="00B31460">
        <w:rPr>
          <w:rFonts w:asciiTheme="majorBidi" w:eastAsia="Calibri" w:hAnsiTheme="majorBidi" w:cstheme="majorBidi"/>
          <w:sz w:val="20"/>
          <w:szCs w:val="20"/>
          <w:lang w:val="pt-BR"/>
        </w:rPr>
        <w:t xml:space="preserve">Applied </w:t>
      </w:r>
      <w:proofErr w:type="spellStart"/>
      <w:r w:rsidRPr="00B31460">
        <w:rPr>
          <w:rFonts w:asciiTheme="majorBidi" w:eastAsia="Calibri" w:hAnsiTheme="majorBidi" w:cstheme="majorBidi"/>
          <w:sz w:val="20"/>
          <w:szCs w:val="20"/>
          <w:lang w:val="pt-BR"/>
        </w:rPr>
        <w:t>Ecology</w:t>
      </w:r>
      <w:proofErr w:type="spellEnd"/>
      <w:r w:rsidRPr="00B31460">
        <w:rPr>
          <w:rFonts w:asciiTheme="majorBidi" w:eastAsia="Calibri" w:hAnsiTheme="majorBidi" w:cstheme="majorBidi"/>
          <w:sz w:val="20"/>
          <w:szCs w:val="20"/>
          <w:lang w:val="pt-BR"/>
        </w:rPr>
        <w:t xml:space="preserve"> &amp; </w:t>
      </w:r>
      <w:proofErr w:type="spellStart"/>
      <w:r w:rsidRPr="00B31460">
        <w:rPr>
          <w:rFonts w:asciiTheme="majorBidi" w:eastAsia="Calibri" w:hAnsiTheme="majorBidi" w:cstheme="majorBidi"/>
          <w:sz w:val="20"/>
          <w:szCs w:val="20"/>
          <w:lang w:val="pt-BR"/>
        </w:rPr>
        <w:t>Conservation</w:t>
      </w:r>
      <w:proofErr w:type="spellEnd"/>
      <w:r w:rsidRPr="00B31460">
        <w:rPr>
          <w:rFonts w:asciiTheme="majorBidi" w:eastAsia="Calibri" w:hAnsiTheme="majorBidi" w:cstheme="majorBidi"/>
          <w:sz w:val="20"/>
          <w:szCs w:val="20"/>
          <w:lang w:val="pt-BR"/>
        </w:rPr>
        <w:t xml:space="preserve"> </w:t>
      </w:r>
      <w:proofErr w:type="spellStart"/>
      <w:r w:rsidRPr="00B31460">
        <w:rPr>
          <w:rFonts w:asciiTheme="majorBidi" w:eastAsia="Calibri" w:hAnsiTheme="majorBidi" w:cstheme="majorBidi"/>
          <w:sz w:val="20"/>
          <w:szCs w:val="20"/>
          <w:lang w:val="pt-BR"/>
        </w:rPr>
        <w:t>Lab</w:t>
      </w:r>
      <w:proofErr w:type="spellEnd"/>
      <w:r w:rsidRPr="00B31460">
        <w:rPr>
          <w:rFonts w:asciiTheme="majorBidi" w:eastAsia="Calibri" w:hAnsiTheme="majorBidi" w:cstheme="majorBidi"/>
          <w:sz w:val="20"/>
          <w:szCs w:val="20"/>
          <w:lang w:val="pt-BR"/>
        </w:rPr>
        <w:t xml:space="preserve">, Programa de Pós-graduação em Ecologia e Conservação da Biodiversidade, Universidade Estadual de Santa Cruz, Rodovia Ilhéus-Itabuna, km 16, </w:t>
      </w:r>
      <w:proofErr w:type="gramStart"/>
      <w:r w:rsidRPr="00B31460">
        <w:rPr>
          <w:rFonts w:asciiTheme="majorBidi" w:eastAsia="Calibri" w:hAnsiTheme="majorBidi" w:cstheme="majorBidi"/>
          <w:sz w:val="20"/>
          <w:szCs w:val="20"/>
          <w:lang w:val="pt-BR"/>
        </w:rPr>
        <w:t>Salobrinho</w:t>
      </w:r>
      <w:proofErr w:type="gramEnd"/>
      <w:r w:rsidRPr="00B31460">
        <w:rPr>
          <w:rFonts w:asciiTheme="majorBidi" w:eastAsia="Calibri" w:hAnsiTheme="majorBidi" w:cstheme="majorBidi"/>
          <w:sz w:val="20"/>
          <w:szCs w:val="20"/>
          <w:lang w:val="pt-BR"/>
        </w:rPr>
        <w:t xml:space="preserve">, 45662-000 Ilhéus, Bahia, </w:t>
      </w:r>
      <w:proofErr w:type="spellStart"/>
      <w:r w:rsidRPr="00B31460">
        <w:rPr>
          <w:rFonts w:asciiTheme="majorBidi" w:eastAsia="Calibri" w:hAnsiTheme="majorBidi" w:cstheme="majorBidi"/>
          <w:sz w:val="20"/>
          <w:szCs w:val="20"/>
          <w:lang w:val="pt-BR"/>
        </w:rPr>
        <w:t>Brazil</w:t>
      </w:r>
      <w:proofErr w:type="spellEnd"/>
    </w:p>
    <w:p w:rsidR="00A2268A" w:rsidRPr="00B31460" w:rsidRDefault="00A2268A" w:rsidP="00A2268A">
      <w:pPr>
        <w:suppressLineNumbers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31460">
        <w:rPr>
          <w:rFonts w:asciiTheme="majorBidi" w:eastAsia="Calibri" w:hAnsiTheme="majorBidi" w:cstheme="majorBidi"/>
          <w:sz w:val="20"/>
          <w:szCs w:val="20"/>
        </w:rPr>
        <w:t xml:space="preserve">E-mail addresses: yasmin.sampaioreis@gmail.com (Y. Reis) ORCID: 0000-0001-7131-8487*, mairabs02@gmail.com (M. </w:t>
      </w:r>
      <w:proofErr w:type="spellStart"/>
      <w:r w:rsidRPr="00B31460">
        <w:rPr>
          <w:rFonts w:asciiTheme="majorBidi" w:eastAsia="Calibri" w:hAnsiTheme="majorBidi" w:cstheme="majorBidi"/>
          <w:sz w:val="20"/>
          <w:szCs w:val="20"/>
        </w:rPr>
        <w:t>Benchimol</w:t>
      </w:r>
      <w:proofErr w:type="spellEnd"/>
      <w:r w:rsidRPr="00B31460">
        <w:rPr>
          <w:rFonts w:asciiTheme="majorBidi" w:eastAsia="Calibri" w:hAnsiTheme="majorBidi" w:cstheme="majorBidi"/>
          <w:sz w:val="20"/>
          <w:szCs w:val="20"/>
        </w:rPr>
        <w:t>)</w:t>
      </w:r>
    </w:p>
    <w:p w:rsidR="00A2268A" w:rsidRPr="00B31460" w:rsidRDefault="00A2268A" w:rsidP="00A2268A">
      <w:pPr>
        <w:suppressLineNumbers/>
        <w:jc w:val="both"/>
        <w:rPr>
          <w:rFonts w:asciiTheme="majorBidi" w:eastAsia="Calibri" w:hAnsiTheme="majorBidi" w:cstheme="majorBidi"/>
          <w:sz w:val="20"/>
          <w:szCs w:val="20"/>
        </w:rPr>
      </w:pPr>
      <w:r w:rsidRPr="00B31460">
        <w:rPr>
          <w:rFonts w:asciiTheme="majorBidi" w:eastAsia="Calibri" w:hAnsiTheme="majorBidi" w:cstheme="majorBidi"/>
          <w:sz w:val="20"/>
          <w:szCs w:val="20"/>
        </w:rPr>
        <w:t>*Corresponding author.</w:t>
      </w:r>
    </w:p>
    <w:p w:rsidR="00A2268A" w:rsidRPr="00B31460" w:rsidRDefault="00A2268A" w:rsidP="00A2268A">
      <w:pPr>
        <w:suppressLineNumbers/>
        <w:jc w:val="both"/>
        <w:rPr>
          <w:rFonts w:asciiTheme="majorBidi" w:eastAsia="Calibri" w:hAnsiTheme="majorBidi" w:cstheme="majorBidi"/>
          <w:sz w:val="20"/>
          <w:szCs w:val="20"/>
        </w:rPr>
      </w:pPr>
      <w:r>
        <w:rPr>
          <w:rFonts w:asciiTheme="majorBidi" w:eastAsia="Calibri" w:hAnsiTheme="majorBidi" w:cstheme="majorBidi"/>
          <w:sz w:val="20"/>
          <w:szCs w:val="20"/>
        </w:rPr>
        <w:t>J</w:t>
      </w:r>
      <w:r w:rsidRPr="00C30810">
        <w:rPr>
          <w:rFonts w:asciiTheme="majorBidi" w:eastAsia="Calibri" w:hAnsiTheme="majorBidi" w:cstheme="majorBidi"/>
          <w:sz w:val="20"/>
          <w:szCs w:val="20"/>
        </w:rPr>
        <w:t>ournal name</w:t>
      </w:r>
      <w:r>
        <w:rPr>
          <w:rFonts w:asciiTheme="majorBidi" w:eastAsia="Calibri" w:hAnsiTheme="majorBidi" w:cstheme="majorBidi"/>
          <w:sz w:val="20"/>
          <w:szCs w:val="20"/>
        </w:rPr>
        <w:t xml:space="preserve">: </w:t>
      </w:r>
      <w:bookmarkStart w:id="1" w:name="_GoBack"/>
      <w:r w:rsidRPr="00C30810">
        <w:rPr>
          <w:rFonts w:asciiTheme="majorBidi" w:eastAsia="Calibri" w:hAnsiTheme="majorBidi" w:cstheme="majorBidi"/>
          <w:sz w:val="20"/>
          <w:szCs w:val="20"/>
        </w:rPr>
        <w:t>Human Ecology</w:t>
      </w:r>
      <w:bookmarkEnd w:id="1"/>
    </w:p>
    <w:p w:rsidR="00A2268A" w:rsidRPr="001D453E" w:rsidRDefault="00A2268A" w:rsidP="00A2268A">
      <w:pPr>
        <w:suppressLineNumbers/>
        <w:rPr>
          <w:rFonts w:asciiTheme="majorBidi" w:eastAsia="Calibri" w:hAnsiTheme="majorBidi" w:cstheme="majorBidi"/>
          <w:b/>
          <w:sz w:val="20"/>
          <w:szCs w:val="20"/>
        </w:rPr>
      </w:pPr>
    </w:p>
    <w:p w:rsidR="00D23823" w:rsidRPr="001D453E" w:rsidRDefault="00D23823" w:rsidP="00D23823">
      <w:pPr>
        <w:pStyle w:val="Ttulo1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  <w:r w:rsidRPr="001D453E">
        <w:rPr>
          <w:rFonts w:ascii="Times New Roman" w:eastAsia="Arial" w:hAnsi="Times New Roman" w:cs="Times New Roman"/>
          <w:b/>
          <w:color w:val="auto"/>
          <w:sz w:val="20"/>
          <w:szCs w:val="20"/>
        </w:rPr>
        <w:lastRenderedPageBreak/>
        <w:t>Supplementary data</w:t>
      </w:r>
      <w:bookmarkEnd w:id="0"/>
    </w:p>
    <w:p w:rsidR="00D23823" w:rsidRPr="001472AA" w:rsidRDefault="00D23823" w:rsidP="00D23823">
      <w:pPr>
        <w:keepNext/>
        <w:spacing w:after="0" w:line="360" w:lineRule="auto"/>
        <w:jc w:val="center"/>
        <w:rPr>
          <w:rFonts w:asciiTheme="majorBidi" w:eastAsia="Calibri" w:hAnsiTheme="majorBidi" w:cstheme="majorBidi"/>
        </w:rPr>
      </w:pPr>
      <w:r w:rsidRPr="001472AA">
        <w:rPr>
          <w:rFonts w:asciiTheme="majorBidi" w:eastAsia="Arial" w:hAnsiTheme="majorBidi" w:cstheme="majorBidi"/>
          <w:noProof/>
          <w:sz w:val="24"/>
          <w:szCs w:val="24"/>
        </w:rPr>
        <w:drawing>
          <wp:inline distT="0" distB="0" distL="0" distR="0" wp14:anchorId="789AABEC" wp14:editId="60C27631">
            <wp:extent cx="3820058" cy="5401429"/>
            <wp:effectExtent l="0" t="0" r="9525" b="889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CHA-CAÇ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540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823" w:rsidRPr="005B4C6D" w:rsidRDefault="00D23823" w:rsidP="00D23823">
      <w:pPr>
        <w:spacing w:after="0" w:line="240" w:lineRule="auto"/>
        <w:jc w:val="both"/>
        <w:rPr>
          <w:rFonts w:asciiTheme="majorBidi" w:eastAsia="Arial" w:hAnsiTheme="majorBidi" w:cstheme="majorBidi"/>
          <w:sz w:val="20"/>
          <w:szCs w:val="20"/>
        </w:rPr>
      </w:pPr>
      <w:r w:rsidRPr="005B4C6D">
        <w:rPr>
          <w:rFonts w:asciiTheme="majorBidi" w:eastAsia="Arial" w:hAnsiTheme="majorBidi" w:cstheme="majorBidi"/>
          <w:b/>
          <w:sz w:val="20"/>
          <w:szCs w:val="20"/>
        </w:rPr>
        <w:t>Fig. S1.</w:t>
      </w:r>
      <w:r w:rsidRPr="005B4C6D">
        <w:rPr>
          <w:rFonts w:asciiTheme="majorBidi" w:eastAsia="Arial" w:hAnsiTheme="majorBidi" w:cstheme="majorBidi"/>
          <w:sz w:val="20"/>
          <w:szCs w:val="20"/>
        </w:rPr>
        <w:t xml:space="preserve"> Hunting form used by families that participated in sub-protocol 2 (</w:t>
      </w:r>
      <w:r w:rsidRPr="005B4C6D">
        <w:rPr>
          <w:rFonts w:asciiTheme="majorBidi" w:eastAsia="Arial" w:hAnsiTheme="majorBidi" w:cstheme="majorBidi"/>
          <w:i/>
          <w:sz w:val="20"/>
          <w:szCs w:val="20"/>
        </w:rPr>
        <w:t>Hunting pressure on terrestrial game populations</w:t>
      </w:r>
      <w:r w:rsidRPr="005B4C6D">
        <w:rPr>
          <w:rFonts w:asciiTheme="majorBidi" w:eastAsia="Arial" w:hAnsiTheme="majorBidi" w:cstheme="majorBidi"/>
          <w:sz w:val="20"/>
          <w:szCs w:val="20"/>
        </w:rPr>
        <w:t xml:space="preserve">) of the </w:t>
      </w:r>
      <w:proofErr w:type="spellStart"/>
      <w:r w:rsidRPr="005B4C6D">
        <w:rPr>
          <w:rFonts w:asciiTheme="majorBidi" w:eastAsia="Arial" w:hAnsiTheme="majorBidi" w:cstheme="majorBidi"/>
          <w:sz w:val="20"/>
          <w:szCs w:val="20"/>
        </w:rPr>
        <w:t>Monitora</w:t>
      </w:r>
      <w:proofErr w:type="spellEnd"/>
      <w:r w:rsidRPr="005B4C6D">
        <w:rPr>
          <w:rFonts w:asciiTheme="majorBidi" w:eastAsia="Arial" w:hAnsiTheme="majorBidi" w:cstheme="majorBidi"/>
          <w:sz w:val="20"/>
          <w:szCs w:val="20"/>
        </w:rPr>
        <w:t xml:space="preserve"> Program across eight hub villages in the </w:t>
      </w:r>
      <w:proofErr w:type="spellStart"/>
      <w:r w:rsidRPr="005B4C6D">
        <w:rPr>
          <w:rFonts w:asciiTheme="majorBidi" w:eastAsia="Arial" w:hAnsiTheme="majorBidi" w:cstheme="majorBidi"/>
          <w:sz w:val="20"/>
          <w:szCs w:val="20"/>
        </w:rPr>
        <w:t>Tapajós-Arapiuns</w:t>
      </w:r>
      <w:proofErr w:type="spellEnd"/>
      <w:r w:rsidRPr="005B4C6D">
        <w:rPr>
          <w:rFonts w:asciiTheme="majorBidi" w:eastAsia="Arial" w:hAnsiTheme="majorBidi" w:cstheme="majorBidi"/>
          <w:sz w:val="20"/>
          <w:szCs w:val="20"/>
        </w:rPr>
        <w:t xml:space="preserve"> Extractive Reserve.</w:t>
      </w:r>
    </w:p>
    <w:p w:rsidR="00D23823" w:rsidRPr="001472AA" w:rsidRDefault="00D23823" w:rsidP="00D23823">
      <w:pPr>
        <w:spacing w:after="0" w:line="240" w:lineRule="auto"/>
        <w:jc w:val="center"/>
        <w:rPr>
          <w:rFonts w:asciiTheme="majorBidi" w:eastAsia="Arial" w:hAnsiTheme="majorBidi" w:cstheme="majorBidi"/>
          <w:iCs/>
          <w:sz w:val="24"/>
          <w:szCs w:val="24"/>
        </w:rPr>
      </w:pPr>
    </w:p>
    <w:p w:rsidR="00D23823" w:rsidRPr="001472AA" w:rsidRDefault="00D23823" w:rsidP="00D238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Arial" w:hAnsiTheme="majorBidi" w:cstheme="majorBidi"/>
          <w:sz w:val="24"/>
          <w:szCs w:val="24"/>
        </w:rPr>
      </w:pPr>
    </w:p>
    <w:p w:rsidR="00D23823" w:rsidRPr="001472AA" w:rsidRDefault="00D23823" w:rsidP="00D23823">
      <w:pPr>
        <w:spacing w:after="0" w:line="360" w:lineRule="auto"/>
        <w:jc w:val="both"/>
        <w:rPr>
          <w:rFonts w:asciiTheme="majorBidi" w:eastAsia="Arial" w:hAnsiTheme="majorBidi" w:cstheme="majorBidi"/>
          <w:sz w:val="24"/>
          <w:szCs w:val="24"/>
        </w:rPr>
        <w:sectPr w:rsidR="00D23823" w:rsidRPr="001472AA" w:rsidSect="00C74861">
          <w:headerReference w:type="default" r:id="rId7"/>
          <w:pgSz w:w="12240" w:h="15840"/>
          <w:pgMar w:top="1417" w:right="1701" w:bottom="1417" w:left="1701" w:header="708" w:footer="708" w:gutter="0"/>
          <w:cols w:space="720"/>
          <w:docGrid w:linePitch="299"/>
        </w:sectPr>
      </w:pPr>
    </w:p>
    <w:p w:rsidR="00D23823" w:rsidRPr="005B4C6D" w:rsidRDefault="00D23823" w:rsidP="00D23823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Arial" w:hAnsiTheme="majorBidi" w:cstheme="majorBidi"/>
          <w:color w:val="000000"/>
          <w:sz w:val="20"/>
          <w:szCs w:val="20"/>
        </w:rPr>
      </w:pPr>
      <w:r w:rsidRPr="005B4C6D">
        <w:rPr>
          <w:rFonts w:asciiTheme="majorBidi" w:eastAsia="Arial" w:hAnsiTheme="majorBidi" w:cstheme="majorBidi"/>
          <w:b/>
          <w:color w:val="000000"/>
          <w:sz w:val="20"/>
          <w:szCs w:val="20"/>
        </w:rPr>
        <w:lastRenderedPageBreak/>
        <w:t>Table S1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. Values of the </w:t>
      </w:r>
      <w:r w:rsidRPr="005B4C6D">
        <w:rPr>
          <w:rFonts w:asciiTheme="majorBidi" w:eastAsia="Arial" w:hAnsiTheme="majorBidi" w:cstheme="majorBidi"/>
          <w:i/>
          <w:iCs/>
          <w:color w:val="000000"/>
          <w:sz w:val="20"/>
          <w:szCs w:val="20"/>
        </w:rPr>
        <w:t>proxy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 of human intensity, hub village age and hunting events recorded per family in the hub and nearby villages that participated </w:t>
      </w:r>
      <w:r w:rsidRPr="005B4C6D">
        <w:rPr>
          <w:rFonts w:asciiTheme="majorBidi" w:eastAsia="Arial" w:hAnsiTheme="majorBidi" w:cstheme="majorBidi"/>
          <w:sz w:val="20"/>
          <w:szCs w:val="20"/>
        </w:rPr>
        <w:t>in sub-protocol 2 (</w:t>
      </w:r>
      <w:r w:rsidRPr="005B4C6D">
        <w:rPr>
          <w:rFonts w:asciiTheme="majorBidi" w:eastAsia="Arial" w:hAnsiTheme="majorBidi" w:cstheme="majorBidi"/>
          <w:i/>
          <w:sz w:val="20"/>
          <w:szCs w:val="20"/>
        </w:rPr>
        <w:t>Hunting pressure on terrestrial game populations</w:t>
      </w:r>
      <w:r w:rsidRPr="005B4C6D">
        <w:rPr>
          <w:rFonts w:asciiTheme="majorBidi" w:eastAsia="Arial" w:hAnsiTheme="majorBidi" w:cstheme="majorBidi"/>
          <w:sz w:val="20"/>
          <w:szCs w:val="20"/>
        </w:rPr>
        <w:t xml:space="preserve">) of the </w:t>
      </w:r>
      <w:proofErr w:type="spellStart"/>
      <w:r w:rsidRPr="005B4C6D">
        <w:rPr>
          <w:rFonts w:asciiTheme="majorBidi" w:eastAsia="Arial" w:hAnsiTheme="majorBidi" w:cstheme="majorBidi"/>
          <w:sz w:val="20"/>
          <w:szCs w:val="20"/>
        </w:rPr>
        <w:t>Monitora</w:t>
      </w:r>
      <w:proofErr w:type="spellEnd"/>
      <w:r w:rsidRPr="005B4C6D">
        <w:rPr>
          <w:rFonts w:asciiTheme="majorBidi" w:eastAsia="Arial" w:hAnsiTheme="majorBidi" w:cstheme="majorBidi"/>
          <w:sz w:val="20"/>
          <w:szCs w:val="20"/>
        </w:rPr>
        <w:t xml:space="preserve"> Program 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of the </w:t>
      </w:r>
      <w:proofErr w:type="spellStart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>Tapajós-Arapiuns</w:t>
      </w:r>
      <w:proofErr w:type="spellEnd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 Extractive Reserve, between 2015 and 2019.</w:t>
      </w:r>
    </w:p>
    <w:tbl>
      <w:tblPr>
        <w:tblW w:w="14657" w:type="dxa"/>
        <w:tblInd w:w="-686" w:type="dxa"/>
        <w:tblLook w:val="04A0" w:firstRow="1" w:lastRow="0" w:firstColumn="1" w:lastColumn="0" w:noHBand="0" w:noVBand="1"/>
      </w:tblPr>
      <w:tblGrid>
        <w:gridCol w:w="1373"/>
        <w:gridCol w:w="2255"/>
        <w:gridCol w:w="2255"/>
        <w:gridCol w:w="2255"/>
        <w:gridCol w:w="2255"/>
        <w:gridCol w:w="2023"/>
        <w:gridCol w:w="2241"/>
      </w:tblGrid>
      <w:tr w:rsidR="00D23823" w:rsidRPr="005B4C6D" w:rsidTr="000F77C0">
        <w:trPr>
          <w:trHeight w:val="289"/>
        </w:trPr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Hub village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Hub or nearby village</w:t>
            </w:r>
          </w:p>
        </w:tc>
        <w:tc>
          <w:tcPr>
            <w:tcW w:w="22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b/>
                <w:bCs/>
                <w:color w:val="000000"/>
                <w:sz w:val="20"/>
                <w:szCs w:val="20"/>
              </w:rPr>
              <w:t>Nº families</w:t>
            </w: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Hub village age</w:t>
            </w: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Proxy of human intensity</w:t>
            </w:r>
          </w:p>
        </w:tc>
        <w:tc>
          <w:tcPr>
            <w:tcW w:w="20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Successful hunting events </w:t>
            </w:r>
          </w:p>
        </w:tc>
        <w:tc>
          <w:tcPr>
            <w:tcW w:w="22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Unsuccessful hunting events</w:t>
            </w:r>
          </w:p>
        </w:tc>
      </w:tr>
      <w:tr w:rsidR="00D23823" w:rsidRPr="005B4C6D" w:rsidTr="000F77C0">
        <w:trPr>
          <w:trHeight w:val="27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Anã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Anã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615.64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302</w:t>
            </w:r>
          </w:p>
        </w:tc>
      </w:tr>
      <w:tr w:rsidR="00D23823" w:rsidRPr="005B4C6D" w:rsidTr="000F77C0">
        <w:trPr>
          <w:trHeight w:val="27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Anã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Maripá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</w:tr>
      <w:tr w:rsidR="00D23823" w:rsidRPr="005B4C6D" w:rsidTr="000F77C0">
        <w:trPr>
          <w:trHeight w:val="27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Boim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Boim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869.68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109</w:t>
            </w:r>
          </w:p>
        </w:tc>
      </w:tr>
      <w:tr w:rsidR="00D23823" w:rsidRPr="005B4C6D" w:rsidTr="000F77C0">
        <w:trPr>
          <w:trHeight w:val="27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Boim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Rosário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</w:tr>
      <w:tr w:rsidR="00D23823" w:rsidRPr="005B4C6D" w:rsidTr="000F77C0">
        <w:trPr>
          <w:trHeight w:val="27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Boim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Tucumatuba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D23823" w:rsidRPr="005B4C6D" w:rsidTr="000F77C0">
        <w:trPr>
          <w:trHeight w:val="27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Cametá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Cametá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1025.60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1383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503</w:t>
            </w:r>
          </w:p>
        </w:tc>
      </w:tr>
      <w:tr w:rsidR="00D23823" w:rsidRPr="005B4C6D" w:rsidTr="000F77C0">
        <w:trPr>
          <w:trHeight w:val="27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Cametá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Pinhel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208</w:t>
            </w:r>
          </w:p>
        </w:tc>
      </w:tr>
      <w:tr w:rsidR="00D23823" w:rsidRPr="005B4C6D" w:rsidTr="000F77C0">
        <w:trPr>
          <w:trHeight w:val="27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Escrivão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Escrivão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393.74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111</w:t>
            </w:r>
          </w:p>
        </w:tc>
      </w:tr>
      <w:tr w:rsidR="00D23823" w:rsidRPr="005B4C6D" w:rsidTr="000F77C0">
        <w:trPr>
          <w:trHeight w:val="27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Pascoal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Pascoal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272.93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</w:t>
            </w:r>
          </w:p>
        </w:tc>
      </w:tr>
      <w:tr w:rsidR="00D23823" w:rsidRPr="005B4C6D" w:rsidTr="000F77C0">
        <w:trPr>
          <w:trHeight w:val="27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Pascoal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Mentai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</w:tr>
      <w:tr w:rsidR="00D23823" w:rsidRPr="005B4C6D" w:rsidTr="000F77C0">
        <w:trPr>
          <w:trHeight w:val="27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Prainha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Prainha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318.67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</w:t>
            </w:r>
          </w:p>
        </w:tc>
      </w:tr>
      <w:tr w:rsidR="00D23823" w:rsidRPr="005B4C6D" w:rsidTr="000F77C0">
        <w:trPr>
          <w:trHeight w:val="27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São Pedro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São Pedro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738.00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81</w:t>
            </w:r>
          </w:p>
        </w:tc>
      </w:tr>
      <w:tr w:rsidR="00D23823" w:rsidRPr="005B4C6D" w:rsidTr="000F77C0">
        <w:trPr>
          <w:trHeight w:val="289"/>
        </w:trPr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São Tomé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São Tomé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670.60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166</w:t>
            </w:r>
          </w:p>
        </w:tc>
      </w:tr>
      <w:tr w:rsidR="00D23823" w:rsidRPr="005B4C6D" w:rsidTr="000F77C0">
        <w:trPr>
          <w:trHeight w:val="289"/>
        </w:trPr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4163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1597</w:t>
            </w:r>
          </w:p>
        </w:tc>
      </w:tr>
    </w:tbl>
    <w:p w:rsidR="00D23823" w:rsidRPr="001472AA" w:rsidRDefault="00D23823" w:rsidP="00D23823">
      <w:pPr>
        <w:rPr>
          <w:rFonts w:asciiTheme="majorBidi" w:eastAsia="Calibri" w:hAnsiTheme="majorBidi" w:cstheme="majorBidi"/>
        </w:rPr>
      </w:pPr>
    </w:p>
    <w:p w:rsidR="00D23823" w:rsidRPr="001472AA" w:rsidRDefault="00D23823" w:rsidP="00D23823">
      <w:pPr>
        <w:rPr>
          <w:rFonts w:asciiTheme="majorBidi" w:eastAsia="Calibri" w:hAnsiTheme="majorBidi" w:cstheme="majorBidi"/>
        </w:rPr>
      </w:pPr>
    </w:p>
    <w:p w:rsidR="00D23823" w:rsidRPr="001472AA" w:rsidRDefault="00D23823" w:rsidP="00D23823">
      <w:pPr>
        <w:rPr>
          <w:rFonts w:asciiTheme="majorBidi" w:eastAsia="Calibri" w:hAnsiTheme="majorBidi" w:cstheme="majorBidi"/>
        </w:rPr>
      </w:pPr>
    </w:p>
    <w:p w:rsidR="00D23823" w:rsidRPr="001472AA" w:rsidRDefault="00D23823" w:rsidP="00D23823">
      <w:pPr>
        <w:rPr>
          <w:rFonts w:asciiTheme="majorBidi" w:eastAsia="Calibri" w:hAnsiTheme="majorBidi" w:cstheme="majorBidi"/>
        </w:rPr>
      </w:pPr>
    </w:p>
    <w:p w:rsidR="00D23823" w:rsidRPr="001472AA" w:rsidRDefault="00D23823" w:rsidP="00D23823">
      <w:pPr>
        <w:rPr>
          <w:rFonts w:asciiTheme="majorBidi" w:eastAsia="Calibri" w:hAnsiTheme="majorBidi" w:cstheme="majorBidi"/>
        </w:rPr>
      </w:pPr>
    </w:p>
    <w:p w:rsidR="00D23823" w:rsidRPr="001472AA" w:rsidRDefault="00D23823" w:rsidP="00D23823">
      <w:pPr>
        <w:rPr>
          <w:rFonts w:asciiTheme="majorBidi" w:eastAsia="Calibri" w:hAnsiTheme="majorBidi" w:cstheme="majorBidi"/>
        </w:rPr>
      </w:pPr>
    </w:p>
    <w:p w:rsidR="00D23823" w:rsidRPr="001472AA" w:rsidRDefault="00D23823" w:rsidP="00D23823">
      <w:pPr>
        <w:rPr>
          <w:rFonts w:asciiTheme="majorBidi" w:eastAsia="Calibri" w:hAnsiTheme="majorBidi" w:cstheme="majorBidi"/>
        </w:rPr>
      </w:pPr>
    </w:p>
    <w:p w:rsidR="00D23823" w:rsidRPr="005B4C6D" w:rsidRDefault="00D23823" w:rsidP="00D23823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Arial" w:hAnsiTheme="majorBidi" w:cstheme="majorBidi"/>
          <w:color w:val="000000"/>
          <w:sz w:val="20"/>
          <w:szCs w:val="20"/>
        </w:rPr>
      </w:pPr>
      <w:r w:rsidRPr="005B4C6D">
        <w:rPr>
          <w:rFonts w:asciiTheme="majorBidi" w:eastAsia="Arial" w:hAnsiTheme="majorBidi" w:cstheme="majorBidi"/>
          <w:b/>
          <w:color w:val="000000"/>
          <w:sz w:val="20"/>
          <w:szCs w:val="20"/>
        </w:rPr>
        <w:lastRenderedPageBreak/>
        <w:t>Table S2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. Successful hunting events per hub village monitored through the </w:t>
      </w:r>
      <w:r w:rsidRPr="005B4C6D">
        <w:rPr>
          <w:rFonts w:asciiTheme="majorBidi" w:eastAsia="Arial" w:hAnsiTheme="majorBidi" w:cstheme="majorBidi"/>
          <w:sz w:val="20"/>
          <w:szCs w:val="20"/>
        </w:rPr>
        <w:t>sub-protocol 2 (</w:t>
      </w:r>
      <w:r w:rsidRPr="005B4C6D">
        <w:rPr>
          <w:rFonts w:asciiTheme="majorBidi" w:eastAsia="Arial" w:hAnsiTheme="majorBidi" w:cstheme="majorBidi"/>
          <w:i/>
          <w:sz w:val="20"/>
          <w:szCs w:val="20"/>
        </w:rPr>
        <w:t>Hunting pressure on terrestrial game populations</w:t>
      </w:r>
      <w:r w:rsidRPr="005B4C6D">
        <w:rPr>
          <w:rFonts w:asciiTheme="majorBidi" w:eastAsia="Arial" w:hAnsiTheme="majorBidi" w:cstheme="majorBidi"/>
          <w:sz w:val="20"/>
          <w:szCs w:val="20"/>
        </w:rPr>
        <w:t xml:space="preserve">) of the </w:t>
      </w:r>
      <w:proofErr w:type="spellStart"/>
      <w:r w:rsidRPr="005B4C6D">
        <w:rPr>
          <w:rFonts w:asciiTheme="majorBidi" w:eastAsia="Arial" w:hAnsiTheme="majorBidi" w:cstheme="majorBidi"/>
          <w:sz w:val="20"/>
          <w:szCs w:val="20"/>
        </w:rPr>
        <w:t>Monitora</w:t>
      </w:r>
      <w:proofErr w:type="spellEnd"/>
      <w:r w:rsidRPr="005B4C6D">
        <w:rPr>
          <w:rFonts w:asciiTheme="majorBidi" w:eastAsia="Arial" w:hAnsiTheme="majorBidi" w:cstheme="majorBidi"/>
          <w:sz w:val="20"/>
          <w:szCs w:val="20"/>
        </w:rPr>
        <w:t xml:space="preserve"> Program 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in the </w:t>
      </w:r>
      <w:proofErr w:type="spellStart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>Tapajós-Arapiuns</w:t>
      </w:r>
      <w:proofErr w:type="spellEnd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 Extractive Reserve, between 2015 and 2019.</w:t>
      </w:r>
    </w:p>
    <w:p w:rsidR="00D23823" w:rsidRPr="005B4C6D" w:rsidRDefault="00D23823" w:rsidP="00D23823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0"/>
          <w:szCs w:val="20"/>
        </w:rPr>
      </w:pPr>
    </w:p>
    <w:tbl>
      <w:tblPr>
        <w:tblStyle w:val="4"/>
        <w:tblW w:w="1116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49"/>
        <w:gridCol w:w="960"/>
        <w:gridCol w:w="960"/>
        <w:gridCol w:w="960"/>
        <w:gridCol w:w="960"/>
        <w:gridCol w:w="960"/>
        <w:gridCol w:w="960"/>
        <w:gridCol w:w="960"/>
      </w:tblGrid>
      <w:tr w:rsidR="00D23823" w:rsidRPr="005B4C6D" w:rsidTr="000F77C0">
        <w:trPr>
          <w:trHeight w:val="315"/>
          <w:jc w:val="center"/>
        </w:trPr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Village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2015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2016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2017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Total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Mean</w:t>
            </w:r>
          </w:p>
        </w:tc>
      </w:tr>
      <w:tr w:rsidR="00D23823" w:rsidRPr="005B4C6D" w:rsidTr="000F77C0">
        <w:trPr>
          <w:trHeight w:val="300"/>
          <w:jc w:val="center"/>
        </w:trPr>
        <w:tc>
          <w:tcPr>
            <w:tcW w:w="4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Anã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Anã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Maripá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79</w:t>
            </w:r>
          </w:p>
        </w:tc>
      </w:tr>
      <w:tr w:rsidR="00D23823" w:rsidRPr="005B4C6D" w:rsidTr="000F77C0">
        <w:trPr>
          <w:trHeight w:val="300"/>
          <w:jc w:val="center"/>
        </w:trPr>
        <w:tc>
          <w:tcPr>
            <w:tcW w:w="4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Boim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Boim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Rosário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Tucumatuba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87</w:t>
            </w:r>
          </w:p>
        </w:tc>
      </w:tr>
      <w:tr w:rsidR="00D23823" w:rsidRPr="005B4C6D" w:rsidTr="000F77C0">
        <w:trPr>
          <w:trHeight w:val="300"/>
          <w:jc w:val="center"/>
        </w:trPr>
        <w:tc>
          <w:tcPr>
            <w:tcW w:w="4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Cametá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Cametá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Pinhel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368.8</w:t>
            </w:r>
          </w:p>
        </w:tc>
      </w:tr>
      <w:tr w:rsidR="00D23823" w:rsidRPr="005B4C6D" w:rsidTr="000F77C0">
        <w:trPr>
          <w:trHeight w:val="300"/>
          <w:jc w:val="center"/>
        </w:trPr>
        <w:tc>
          <w:tcPr>
            <w:tcW w:w="4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Escrivão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Escrivão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70.8</w:t>
            </w:r>
          </w:p>
        </w:tc>
      </w:tr>
      <w:tr w:rsidR="00D23823" w:rsidRPr="005B4C6D" w:rsidTr="000F77C0">
        <w:trPr>
          <w:trHeight w:val="300"/>
          <w:jc w:val="center"/>
        </w:trPr>
        <w:tc>
          <w:tcPr>
            <w:tcW w:w="4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Pascoal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Pascoal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Mentai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46.2</w:t>
            </w:r>
          </w:p>
        </w:tc>
      </w:tr>
      <w:tr w:rsidR="00D23823" w:rsidRPr="005B4C6D" w:rsidTr="000F77C0">
        <w:trPr>
          <w:trHeight w:val="300"/>
          <w:jc w:val="center"/>
        </w:trPr>
        <w:tc>
          <w:tcPr>
            <w:tcW w:w="4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Prainha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Prainha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98</w:t>
            </w:r>
          </w:p>
        </w:tc>
      </w:tr>
      <w:tr w:rsidR="00D23823" w:rsidRPr="005B4C6D" w:rsidTr="000F77C0">
        <w:trPr>
          <w:trHeight w:val="300"/>
          <w:jc w:val="center"/>
        </w:trPr>
        <w:tc>
          <w:tcPr>
            <w:tcW w:w="4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São Pedro (São Pedro)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390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97.5</w:t>
            </w:r>
          </w:p>
        </w:tc>
      </w:tr>
      <w:tr w:rsidR="00D23823" w:rsidRPr="005B4C6D" w:rsidTr="000F77C0">
        <w:trPr>
          <w:trHeight w:val="315"/>
          <w:jc w:val="center"/>
        </w:trPr>
        <w:tc>
          <w:tcPr>
            <w:tcW w:w="44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São Tomé (São Tomé)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96.5</w:t>
            </w:r>
          </w:p>
        </w:tc>
      </w:tr>
      <w:tr w:rsidR="00D23823" w:rsidRPr="005B4C6D" w:rsidTr="000F77C0">
        <w:trPr>
          <w:trHeight w:val="300"/>
          <w:jc w:val="center"/>
        </w:trPr>
        <w:tc>
          <w:tcPr>
            <w:tcW w:w="4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4163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832.6</w:t>
            </w:r>
          </w:p>
        </w:tc>
      </w:tr>
      <w:tr w:rsidR="00D23823" w:rsidRPr="005B4C6D" w:rsidTr="000F77C0">
        <w:trPr>
          <w:trHeight w:val="315"/>
          <w:jc w:val="center"/>
        </w:trPr>
        <w:tc>
          <w:tcPr>
            <w:tcW w:w="44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85.4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45.6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206.5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174.1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75.0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520.4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 </w:t>
            </w:r>
          </w:p>
        </w:tc>
      </w:tr>
    </w:tbl>
    <w:p w:rsidR="00D23823" w:rsidRPr="001472AA" w:rsidRDefault="00D23823" w:rsidP="00D23823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Calibri" w:hAnsiTheme="majorBidi" w:cstheme="majorBidi"/>
          <w:sz w:val="18"/>
          <w:szCs w:val="18"/>
          <w:lang w:val="pt-BR"/>
        </w:rPr>
      </w:pPr>
    </w:p>
    <w:p w:rsidR="00D23823" w:rsidRPr="005B4C6D" w:rsidRDefault="00D23823" w:rsidP="00D23823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0"/>
          <w:szCs w:val="20"/>
        </w:rPr>
      </w:pPr>
      <w:r w:rsidRPr="005B4C6D">
        <w:rPr>
          <w:rFonts w:asciiTheme="majorBidi" w:eastAsia="Arial" w:hAnsiTheme="majorBidi" w:cstheme="majorBidi"/>
          <w:b/>
          <w:color w:val="000000"/>
          <w:sz w:val="20"/>
          <w:szCs w:val="20"/>
        </w:rPr>
        <w:t>Table S3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>. Number of individuals (</w:t>
      </w:r>
      <w:proofErr w:type="spellStart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>i</w:t>
      </w:r>
      <w:proofErr w:type="spellEnd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) and overall biomass (Kg) harvested by game taxon in the villages that participated </w:t>
      </w:r>
      <w:r w:rsidRPr="005B4C6D">
        <w:rPr>
          <w:rFonts w:asciiTheme="majorBidi" w:eastAsia="Arial" w:hAnsiTheme="majorBidi" w:cstheme="majorBidi"/>
          <w:sz w:val="20"/>
          <w:szCs w:val="20"/>
        </w:rPr>
        <w:t>in sub-protocol 2 (</w:t>
      </w:r>
      <w:r w:rsidRPr="005B4C6D">
        <w:rPr>
          <w:rFonts w:asciiTheme="majorBidi" w:eastAsia="Arial" w:hAnsiTheme="majorBidi" w:cstheme="majorBidi"/>
          <w:i/>
          <w:sz w:val="20"/>
          <w:szCs w:val="20"/>
        </w:rPr>
        <w:t>Hunting pressure on terrestrial game populations</w:t>
      </w:r>
      <w:r w:rsidRPr="005B4C6D">
        <w:rPr>
          <w:rFonts w:asciiTheme="majorBidi" w:eastAsia="Arial" w:hAnsiTheme="majorBidi" w:cstheme="majorBidi"/>
          <w:sz w:val="20"/>
          <w:szCs w:val="20"/>
        </w:rPr>
        <w:t xml:space="preserve">) of the </w:t>
      </w:r>
      <w:proofErr w:type="spellStart"/>
      <w:r w:rsidRPr="005B4C6D">
        <w:rPr>
          <w:rFonts w:asciiTheme="majorBidi" w:eastAsia="Arial" w:hAnsiTheme="majorBidi" w:cstheme="majorBidi"/>
          <w:sz w:val="20"/>
          <w:szCs w:val="20"/>
        </w:rPr>
        <w:t>Monitora</w:t>
      </w:r>
      <w:proofErr w:type="spellEnd"/>
      <w:r w:rsidRPr="005B4C6D">
        <w:rPr>
          <w:rFonts w:asciiTheme="majorBidi" w:eastAsia="Arial" w:hAnsiTheme="majorBidi" w:cstheme="majorBidi"/>
          <w:sz w:val="20"/>
          <w:szCs w:val="20"/>
        </w:rPr>
        <w:t xml:space="preserve"> Program i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n the </w:t>
      </w:r>
      <w:proofErr w:type="spellStart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>Tapajós-Arapiuns</w:t>
      </w:r>
      <w:proofErr w:type="spellEnd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 Extractive Reserve from 2015 to 2019.</w:t>
      </w:r>
    </w:p>
    <w:p w:rsidR="00D23823" w:rsidRDefault="00D23823" w:rsidP="00D23823">
      <w:pPr>
        <w:spacing w:after="0" w:line="360" w:lineRule="auto"/>
        <w:jc w:val="both"/>
        <w:rPr>
          <w:rFonts w:asciiTheme="majorBidi" w:eastAsia="Calibri" w:hAnsiTheme="majorBidi" w:cstheme="majorBidi"/>
          <w:noProof/>
        </w:rPr>
      </w:pPr>
      <w:r w:rsidRPr="0066034F">
        <w:rPr>
          <w:noProof/>
        </w:rPr>
        <w:drawing>
          <wp:inline distT="0" distB="0" distL="0" distR="0" wp14:anchorId="32F730FC" wp14:editId="501EF0B0">
            <wp:extent cx="8258810" cy="2946323"/>
            <wp:effectExtent l="0" t="0" r="0" b="6985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294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823" w:rsidRPr="001472AA" w:rsidRDefault="00D23823" w:rsidP="00D23823">
      <w:pPr>
        <w:spacing w:after="0" w:line="360" w:lineRule="auto"/>
        <w:jc w:val="both"/>
        <w:rPr>
          <w:rFonts w:asciiTheme="majorBidi" w:eastAsia="Arial" w:hAnsiTheme="majorBidi" w:cstheme="majorBidi"/>
          <w:sz w:val="20"/>
          <w:szCs w:val="20"/>
        </w:rPr>
      </w:pPr>
      <w:r w:rsidRPr="001472AA">
        <w:rPr>
          <w:rFonts w:asciiTheme="majorBidi" w:eastAsia="Arial" w:hAnsiTheme="majorBidi" w:cstheme="majorBidi"/>
          <w:sz w:val="20"/>
          <w:szCs w:val="20"/>
        </w:rPr>
        <w:t xml:space="preserve"> </w:t>
      </w:r>
      <w:r w:rsidRPr="001472AA">
        <w:rPr>
          <w:rFonts w:asciiTheme="majorBidi" w:eastAsia="Calibri" w:hAnsiTheme="majorBidi" w:cstheme="majorBidi"/>
        </w:rPr>
        <w:t xml:space="preserve"> </w:t>
      </w:r>
    </w:p>
    <w:p w:rsidR="00D23823" w:rsidRPr="001472AA" w:rsidRDefault="00D23823" w:rsidP="00D23823">
      <w:pPr>
        <w:rPr>
          <w:rFonts w:asciiTheme="majorBidi" w:eastAsia="Arial" w:hAnsiTheme="majorBidi" w:cstheme="majorBidi"/>
          <w:sz w:val="20"/>
          <w:szCs w:val="20"/>
        </w:rPr>
        <w:sectPr w:rsidR="00D23823" w:rsidRPr="001472AA" w:rsidSect="00C74861">
          <w:pgSz w:w="15840" w:h="12240" w:orient="landscape"/>
          <w:pgMar w:top="1701" w:right="1417" w:bottom="1701" w:left="1417" w:header="708" w:footer="708" w:gutter="0"/>
          <w:cols w:space="720"/>
        </w:sectPr>
      </w:pPr>
    </w:p>
    <w:p w:rsidR="00D23823" w:rsidRPr="005B4C6D" w:rsidRDefault="00D23823" w:rsidP="00D23823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Arial" w:hAnsiTheme="majorBidi" w:cstheme="majorBidi"/>
          <w:color w:val="000000"/>
          <w:sz w:val="20"/>
          <w:szCs w:val="20"/>
        </w:rPr>
      </w:pPr>
      <w:r w:rsidRPr="005B4C6D">
        <w:rPr>
          <w:rFonts w:asciiTheme="majorBidi" w:eastAsia="Arial" w:hAnsiTheme="majorBidi" w:cstheme="majorBidi"/>
          <w:b/>
          <w:color w:val="000000"/>
          <w:sz w:val="20"/>
          <w:szCs w:val="20"/>
        </w:rPr>
        <w:lastRenderedPageBreak/>
        <w:t>Table S4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. Mean and standard deviation of the CPUE of overall game taxa and the six most hunted taxa in eight hub villages that participated </w:t>
      </w:r>
      <w:r w:rsidRPr="005B4C6D">
        <w:rPr>
          <w:rFonts w:asciiTheme="majorBidi" w:eastAsia="Arial" w:hAnsiTheme="majorBidi" w:cstheme="majorBidi"/>
          <w:sz w:val="20"/>
          <w:szCs w:val="20"/>
        </w:rPr>
        <w:t>in sub-protocol 2 (</w:t>
      </w:r>
      <w:r w:rsidRPr="005B4C6D">
        <w:rPr>
          <w:rFonts w:asciiTheme="majorBidi" w:eastAsia="Arial" w:hAnsiTheme="majorBidi" w:cstheme="majorBidi"/>
          <w:i/>
          <w:sz w:val="20"/>
          <w:szCs w:val="20"/>
        </w:rPr>
        <w:t>Hunting pressure on terrestrial game populations</w:t>
      </w:r>
      <w:r w:rsidRPr="005B4C6D">
        <w:rPr>
          <w:rFonts w:asciiTheme="majorBidi" w:eastAsia="Arial" w:hAnsiTheme="majorBidi" w:cstheme="majorBidi"/>
          <w:sz w:val="20"/>
          <w:szCs w:val="20"/>
        </w:rPr>
        <w:t xml:space="preserve">) of the </w:t>
      </w:r>
      <w:proofErr w:type="spellStart"/>
      <w:r w:rsidRPr="005B4C6D">
        <w:rPr>
          <w:rFonts w:asciiTheme="majorBidi" w:eastAsia="Arial" w:hAnsiTheme="majorBidi" w:cstheme="majorBidi"/>
          <w:sz w:val="20"/>
          <w:szCs w:val="20"/>
        </w:rPr>
        <w:t>Monitora</w:t>
      </w:r>
      <w:proofErr w:type="spellEnd"/>
      <w:r w:rsidRPr="005B4C6D">
        <w:rPr>
          <w:rFonts w:asciiTheme="majorBidi" w:eastAsia="Arial" w:hAnsiTheme="majorBidi" w:cstheme="majorBidi"/>
          <w:sz w:val="20"/>
          <w:szCs w:val="20"/>
        </w:rPr>
        <w:t xml:space="preserve"> Program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 in the </w:t>
      </w:r>
      <w:proofErr w:type="spellStart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>Tapajós-Arapiuns</w:t>
      </w:r>
      <w:proofErr w:type="spellEnd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 Extractive Reserve.</w:t>
      </w:r>
    </w:p>
    <w:tbl>
      <w:tblPr>
        <w:tblStyle w:val="2"/>
        <w:tblW w:w="14297" w:type="dxa"/>
        <w:tblInd w:w="-567" w:type="dxa"/>
        <w:tblLayout w:type="fixed"/>
        <w:tblLook w:val="0400" w:firstRow="0" w:lastRow="0" w:firstColumn="0" w:lastColumn="0" w:noHBand="0" w:noVBand="1"/>
      </w:tblPr>
      <w:tblGrid>
        <w:gridCol w:w="2337"/>
        <w:gridCol w:w="1520"/>
        <w:gridCol w:w="1820"/>
        <w:gridCol w:w="1694"/>
        <w:gridCol w:w="1560"/>
        <w:gridCol w:w="1646"/>
        <w:gridCol w:w="1780"/>
        <w:gridCol w:w="1940"/>
      </w:tblGrid>
      <w:tr w:rsidR="00D23823" w:rsidRPr="005B4C6D" w:rsidTr="000F77C0">
        <w:trPr>
          <w:trHeight w:val="300"/>
        </w:trPr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b/>
                <w:bCs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b/>
                <w:bCs/>
                <w:sz w:val="20"/>
                <w:szCs w:val="20"/>
              </w:rPr>
              <w:t>Hub village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b/>
                <w:bCs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b/>
                <w:bCs/>
                <w:sz w:val="20"/>
                <w:szCs w:val="20"/>
              </w:rPr>
              <w:t>All game taxa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  <w:t>Cuniculus</w:t>
            </w:r>
            <w:proofErr w:type="spellEnd"/>
            <w:r w:rsidRPr="005B4C6D"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5B4C6D"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  <w:t>paca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  <w:t>Dasypus</w:t>
            </w:r>
            <w:proofErr w:type="spellEnd"/>
            <w:r w:rsidRPr="005B4C6D">
              <w:rPr>
                <w:rFonts w:asciiTheme="majorBidi" w:eastAsia="Arial" w:hAnsiTheme="majorBidi" w:cstheme="majorBidi"/>
                <w:b/>
                <w:bCs/>
                <w:sz w:val="20"/>
                <w:szCs w:val="20"/>
              </w:rPr>
              <w:t xml:space="preserve"> spp.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  <w:t>Mazama</w:t>
            </w:r>
            <w:proofErr w:type="spellEnd"/>
            <w:r w:rsidRPr="005B4C6D">
              <w:rPr>
                <w:rFonts w:asciiTheme="majorBidi" w:eastAsia="Arial" w:hAnsiTheme="majorBidi" w:cstheme="majorBidi"/>
                <w:b/>
                <w:bCs/>
                <w:sz w:val="20"/>
                <w:szCs w:val="20"/>
              </w:rPr>
              <w:t xml:space="preserve"> spp.</w:t>
            </w:r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  <w:t>Dicotyles</w:t>
            </w:r>
            <w:proofErr w:type="spellEnd"/>
            <w:r w:rsidRPr="005B4C6D"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5B4C6D"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  <w:t>tajacu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  <w:t>Tayassu</w:t>
            </w:r>
            <w:proofErr w:type="spellEnd"/>
            <w:r w:rsidRPr="005B4C6D"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5B4C6D"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  <w:t>pecari</w:t>
            </w:r>
            <w:proofErr w:type="spellEnd"/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  <w:t>Tapirus</w:t>
            </w:r>
            <w:proofErr w:type="spellEnd"/>
            <w:r w:rsidRPr="005B4C6D"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5B4C6D">
              <w:rPr>
                <w:rFonts w:asciiTheme="majorBidi" w:eastAsia="Arial" w:hAnsiTheme="majorBidi" w:cstheme="majorBidi"/>
                <w:b/>
                <w:bCs/>
                <w:i/>
                <w:sz w:val="20"/>
                <w:szCs w:val="20"/>
              </w:rPr>
              <w:t>terrestris</w:t>
            </w:r>
            <w:proofErr w:type="spellEnd"/>
          </w:p>
        </w:tc>
      </w:tr>
      <w:tr w:rsidR="00D23823" w:rsidRPr="005B4C6D" w:rsidTr="000F77C0">
        <w:trPr>
          <w:trHeight w:val="300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Anã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Anã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Maripá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 ± 4.2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 ± 4.6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2.4 ± 2.7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6.5 ± 6.5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5.6 ± 3.3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7.4 ± 0.0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</w:p>
        </w:tc>
      </w:tr>
      <w:tr w:rsidR="00D23823" w:rsidRPr="005B4C6D" w:rsidTr="000F77C0">
        <w:trPr>
          <w:trHeight w:val="300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Boim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Boim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Rosário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Tucumatuba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 ± 6.2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 ± 1.9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 ± 1.4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7.4 ± 4.6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4.0 ± 1.6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 ± 2.4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43.0 ± 32.9</w:t>
            </w:r>
          </w:p>
        </w:tc>
      </w:tr>
      <w:tr w:rsidR="00D23823" w:rsidRPr="005B4C6D" w:rsidTr="000F77C0">
        <w:trPr>
          <w:trHeight w:val="300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Cametá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Cametá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Pinhel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 ± 2.8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1.60 ± 1.7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 ± 1.8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 ± 1.7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 ± 1.9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 ± 1.6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18.2 ± 8.5</w:t>
            </w:r>
          </w:p>
        </w:tc>
      </w:tr>
      <w:tr w:rsidR="00D23823" w:rsidRPr="005B4C6D" w:rsidTr="000F77C0">
        <w:trPr>
          <w:trHeight w:val="300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Escrivão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Escrivão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 ± 2.4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 ± 2.6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 ± 1.3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6.6 ± 4.0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 ± 0.3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 ± 1.2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 ± 0.0</w:t>
            </w:r>
          </w:p>
        </w:tc>
      </w:tr>
      <w:tr w:rsidR="00D23823" w:rsidRPr="005B4C6D" w:rsidTr="000F77C0">
        <w:trPr>
          <w:trHeight w:val="300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Pascoal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Pascoal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Mentai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 ± 4.0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 ± 4.7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 ± 3.7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8.0 ± 5.5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6.6 ± 0.8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9.9 ± 6.7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</w:p>
        </w:tc>
      </w:tr>
      <w:tr w:rsidR="00D23823" w:rsidRPr="005B4C6D" w:rsidTr="000F77C0">
        <w:trPr>
          <w:trHeight w:val="300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Prainha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Prainha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 ± 4.4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 ± 7.4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 ± 2.4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7.1 ± 11.6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 ± 1.7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 ± 0.6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17.6 ± 11.3</w:t>
            </w:r>
          </w:p>
        </w:tc>
      </w:tr>
      <w:tr w:rsidR="00D23823" w:rsidRPr="005B4C6D" w:rsidTr="000F77C0">
        <w:trPr>
          <w:trHeight w:val="300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São Pedro (São Pedro)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 ± 2.7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 ± 2.4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 ± 2.4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5.3 ± 3.3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 ± 3.7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7.0 ± 2.8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</w:p>
        </w:tc>
      </w:tr>
      <w:tr w:rsidR="00D23823" w:rsidRPr="005B4C6D" w:rsidTr="000F77C0">
        <w:trPr>
          <w:trHeight w:val="300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São Tomé (São Tomé)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 ± 2.2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 ± 1.1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 ± 0.8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5.7 ± 3.0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 ± 1.9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8.3 ± 0.0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</w:p>
        </w:tc>
      </w:tr>
      <w:tr w:rsidR="00D23823" w:rsidRPr="005B4C6D" w:rsidTr="000F77C0">
        <w:trPr>
          <w:trHeight w:val="300"/>
        </w:trPr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Mean </w:t>
            </w: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 SD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 ± 0.5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 ± 0.7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 ± 0.7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6.2 ± 1.5</w:t>
            </w:r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4.6 ± 1.1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5.8 ± 2.6</w:t>
            </w:r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20.2 ± 14.7</w:t>
            </w:r>
          </w:p>
        </w:tc>
      </w:tr>
    </w:tbl>
    <w:p w:rsidR="00D23823" w:rsidRDefault="00D23823" w:rsidP="00D23823">
      <w:pPr>
        <w:rPr>
          <w:rFonts w:asciiTheme="majorBidi" w:eastAsia="Arial" w:hAnsiTheme="majorBidi" w:cstheme="majorBidi"/>
          <w:sz w:val="20"/>
          <w:szCs w:val="20"/>
        </w:rPr>
      </w:pPr>
    </w:p>
    <w:p w:rsidR="00D23823" w:rsidRPr="005B4C6D" w:rsidRDefault="00D23823" w:rsidP="00D23823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Arial" w:hAnsiTheme="majorBidi" w:cstheme="majorBidi"/>
          <w:color w:val="000000"/>
          <w:sz w:val="20"/>
          <w:szCs w:val="20"/>
        </w:rPr>
      </w:pPr>
      <w:r w:rsidRPr="005B4C6D">
        <w:rPr>
          <w:rFonts w:asciiTheme="majorBidi" w:eastAsia="Arial" w:hAnsiTheme="majorBidi" w:cstheme="majorBidi"/>
          <w:b/>
          <w:color w:val="000000"/>
          <w:sz w:val="20"/>
          <w:szCs w:val="20"/>
        </w:rPr>
        <w:t xml:space="preserve">Table </w:t>
      </w:r>
      <w:r>
        <w:rPr>
          <w:rFonts w:asciiTheme="majorBidi" w:eastAsia="Arial" w:hAnsiTheme="majorBidi" w:cstheme="majorBidi"/>
          <w:b/>
          <w:color w:val="000000"/>
          <w:sz w:val="20"/>
          <w:szCs w:val="20"/>
        </w:rPr>
        <w:t>S5</w:t>
      </w:r>
      <w:r w:rsidRPr="005B4C6D">
        <w:rPr>
          <w:rFonts w:asciiTheme="majorBidi" w:eastAsia="Arial" w:hAnsiTheme="majorBidi" w:cstheme="majorBidi"/>
          <w:b/>
          <w:color w:val="000000"/>
          <w:sz w:val="20"/>
          <w:szCs w:val="20"/>
        </w:rPr>
        <w:t xml:space="preserve">. 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Model selection table based on a candidate set of the ‘best’ models (ΔAIC ≤ 2.00) predicting patterns of composition (considering relative </w:t>
      </w:r>
      <w:r w:rsidRPr="001221FA">
        <w:rPr>
          <w:rFonts w:asciiTheme="majorBidi" w:eastAsia="Arial" w:hAnsiTheme="majorBidi" w:cstheme="majorBidi"/>
          <w:color w:val="000000"/>
          <w:sz w:val="20"/>
          <w:szCs w:val="20"/>
        </w:rPr>
        <w:t>frequency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 and relative biomass) and CPUE for all game taxa in eight hub villages at the </w:t>
      </w:r>
      <w:proofErr w:type="spellStart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>Tapajós-Arapiuns</w:t>
      </w:r>
      <w:proofErr w:type="spellEnd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 Extractive Reserve. Models are ranked by the </w:t>
      </w:r>
      <w:proofErr w:type="spellStart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>AICc</w:t>
      </w:r>
      <w:proofErr w:type="spellEnd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 and </w:t>
      </w:r>
      <w:proofErr w:type="spellStart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>ΔAICc</w:t>
      </w:r>
      <w:proofErr w:type="spellEnd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 values.</w:t>
      </w:r>
    </w:p>
    <w:tbl>
      <w:tblPr>
        <w:tblStyle w:val="6"/>
        <w:tblW w:w="920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533"/>
        <w:gridCol w:w="1134"/>
        <w:gridCol w:w="1134"/>
        <w:gridCol w:w="1134"/>
        <w:gridCol w:w="1134"/>
        <w:gridCol w:w="1134"/>
      </w:tblGrid>
      <w:tr w:rsidR="00D23823" w:rsidRPr="005B4C6D" w:rsidTr="000F77C0">
        <w:trPr>
          <w:trHeight w:val="306"/>
          <w:jc w:val="center"/>
        </w:trPr>
        <w:tc>
          <w:tcPr>
            <w:tcW w:w="353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b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b/>
                <w:sz w:val="20"/>
                <w:szCs w:val="20"/>
              </w:rPr>
              <w:t>Model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b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b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b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b/>
                <w:sz w:val="20"/>
                <w:szCs w:val="20"/>
              </w:rPr>
              <w:t>logLik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b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b/>
                <w:sz w:val="20"/>
                <w:szCs w:val="20"/>
              </w:rPr>
              <w:t>AICc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b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b/>
                <w:sz w:val="20"/>
                <w:szCs w:val="20"/>
              </w:rPr>
              <w:t>ΔAICc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b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b/>
                <w:sz w:val="20"/>
                <w:szCs w:val="20"/>
              </w:rPr>
              <w:t>weight</w:t>
            </w:r>
          </w:p>
        </w:tc>
      </w:tr>
      <w:tr w:rsidR="00D23823" w:rsidRPr="005B4C6D" w:rsidTr="000F77C0">
        <w:trPr>
          <w:trHeight w:val="291"/>
          <w:jc w:val="center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Composition (relative </w:t>
            </w:r>
            <w:r w:rsidRPr="001221FA">
              <w:rPr>
                <w:rFonts w:asciiTheme="majorBidi" w:eastAsia="Arial" w:hAnsiTheme="majorBidi" w:cstheme="majorBidi"/>
                <w:sz w:val="20"/>
                <w:szCs w:val="20"/>
              </w:rPr>
              <w:t>frequency</w:t>
            </w: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</w:tr>
      <w:tr w:rsidR="00D23823" w:rsidRPr="005B4C6D" w:rsidTr="000F77C0">
        <w:trPr>
          <w:trHeight w:val="291"/>
          <w:jc w:val="center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~ null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21.93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-37.07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0.28</w:t>
            </w:r>
          </w:p>
        </w:tc>
      </w:tr>
      <w:tr w:rsidR="00D23823" w:rsidRPr="005B4C6D" w:rsidTr="000F77C0">
        <w:trPr>
          <w:trHeight w:val="291"/>
          <w:jc w:val="center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~ human intensity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22.90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-36.42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0.20</w:t>
            </w:r>
          </w:p>
        </w:tc>
      </w:tr>
      <w:tr w:rsidR="00D23823" w:rsidRPr="005B4C6D" w:rsidTr="000F77C0">
        <w:trPr>
          <w:trHeight w:val="291"/>
          <w:jc w:val="center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~ village 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22.65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-35.92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0.16</w:t>
            </w:r>
          </w:p>
        </w:tc>
      </w:tr>
      <w:tr w:rsidR="00D23823" w:rsidRPr="005B4C6D" w:rsidTr="000F77C0">
        <w:trPr>
          <w:trHeight w:val="291"/>
          <w:jc w:val="center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Composition (relative biomass)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</w:tr>
      <w:tr w:rsidR="00D23823" w:rsidRPr="005B4C6D" w:rsidTr="000F77C0">
        <w:trPr>
          <w:trHeight w:val="291"/>
          <w:jc w:val="center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~ year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19.24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-29.09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0.34</w:t>
            </w:r>
          </w:p>
        </w:tc>
      </w:tr>
      <w:tr w:rsidR="00D23823" w:rsidRPr="005B4C6D" w:rsidTr="000F77C0">
        <w:trPr>
          <w:trHeight w:val="291"/>
          <w:jc w:val="center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~ null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17.40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-28.01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0.20</w:t>
            </w:r>
          </w:p>
        </w:tc>
      </w:tr>
      <w:tr w:rsidR="00D23823" w:rsidRPr="005B4C6D" w:rsidTr="000F77C0">
        <w:trPr>
          <w:trHeight w:val="291"/>
          <w:jc w:val="center"/>
        </w:trPr>
        <w:tc>
          <w:tcPr>
            <w:tcW w:w="353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CPUE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</w:p>
        </w:tc>
      </w:tr>
      <w:tr w:rsidR="00D23823" w:rsidRPr="005B4C6D" w:rsidTr="000F77C0">
        <w:trPr>
          <w:trHeight w:val="291"/>
          <w:jc w:val="center"/>
        </w:trPr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~ null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-33.84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74.72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0.48</w:t>
            </w:r>
          </w:p>
        </w:tc>
      </w:tr>
    </w:tbl>
    <w:p w:rsidR="00D23823" w:rsidRPr="00A70083" w:rsidRDefault="00D23823" w:rsidP="00D23823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D23823" w:rsidRPr="005B4C6D" w:rsidRDefault="00D23823" w:rsidP="00D23823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Arial" w:hAnsiTheme="majorBidi" w:cstheme="majorBidi"/>
          <w:color w:val="000000"/>
          <w:sz w:val="20"/>
          <w:szCs w:val="20"/>
        </w:rPr>
      </w:pPr>
      <w:r w:rsidRPr="005B4C6D">
        <w:rPr>
          <w:rFonts w:asciiTheme="majorBidi" w:eastAsia="Arial" w:hAnsiTheme="majorBidi" w:cstheme="majorBidi"/>
          <w:b/>
          <w:color w:val="000000"/>
          <w:sz w:val="20"/>
          <w:szCs w:val="20"/>
        </w:rPr>
        <w:t>Table S</w:t>
      </w:r>
      <w:r>
        <w:rPr>
          <w:rFonts w:asciiTheme="majorBidi" w:eastAsia="Arial" w:hAnsiTheme="majorBidi" w:cstheme="majorBidi"/>
          <w:b/>
          <w:color w:val="000000"/>
          <w:sz w:val="20"/>
          <w:szCs w:val="20"/>
        </w:rPr>
        <w:t>6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>. State-space models examining trends in hunting productivity in terms of catch per unit of effort (CPUE; kg hunter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  <w:vertAlign w:val="superscript"/>
        </w:rPr>
        <w:t>–1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 h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  <w:vertAlign w:val="superscript"/>
        </w:rPr>
        <w:t>–1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) of overall game taxa and the six most hunted taxa in eight hub villages that participated </w:t>
      </w:r>
      <w:r w:rsidRPr="005B4C6D">
        <w:rPr>
          <w:rFonts w:asciiTheme="majorBidi" w:eastAsia="Arial" w:hAnsiTheme="majorBidi" w:cstheme="majorBidi"/>
          <w:sz w:val="20"/>
          <w:szCs w:val="20"/>
        </w:rPr>
        <w:t>in sub-protocol 2 (</w:t>
      </w:r>
      <w:r w:rsidRPr="005B4C6D">
        <w:rPr>
          <w:rFonts w:asciiTheme="majorBidi" w:eastAsia="Arial" w:hAnsiTheme="majorBidi" w:cstheme="majorBidi"/>
          <w:i/>
          <w:sz w:val="20"/>
          <w:szCs w:val="20"/>
        </w:rPr>
        <w:t>Hunting pressure on terrestrial game populations</w:t>
      </w:r>
      <w:r w:rsidRPr="005B4C6D">
        <w:rPr>
          <w:rFonts w:asciiTheme="majorBidi" w:eastAsia="Arial" w:hAnsiTheme="majorBidi" w:cstheme="majorBidi"/>
          <w:sz w:val="20"/>
          <w:szCs w:val="20"/>
        </w:rPr>
        <w:t xml:space="preserve">) of the </w:t>
      </w:r>
      <w:proofErr w:type="spellStart"/>
      <w:r w:rsidRPr="005B4C6D">
        <w:rPr>
          <w:rFonts w:asciiTheme="majorBidi" w:eastAsia="Arial" w:hAnsiTheme="majorBidi" w:cstheme="majorBidi"/>
          <w:sz w:val="20"/>
          <w:szCs w:val="20"/>
        </w:rPr>
        <w:t>Monitora</w:t>
      </w:r>
      <w:proofErr w:type="spellEnd"/>
      <w:r w:rsidRPr="005B4C6D">
        <w:rPr>
          <w:rFonts w:asciiTheme="majorBidi" w:eastAsia="Arial" w:hAnsiTheme="majorBidi" w:cstheme="majorBidi"/>
          <w:sz w:val="20"/>
          <w:szCs w:val="20"/>
        </w:rPr>
        <w:t xml:space="preserve"> Program</w:t>
      </w:r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 in the </w:t>
      </w:r>
      <w:proofErr w:type="spellStart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>Tapajós-Arapiuns</w:t>
      </w:r>
      <w:proofErr w:type="spellEnd"/>
      <w:r w:rsidRPr="005B4C6D">
        <w:rPr>
          <w:rFonts w:asciiTheme="majorBidi" w:eastAsia="Arial" w:hAnsiTheme="majorBidi" w:cstheme="majorBidi"/>
          <w:color w:val="000000"/>
          <w:sz w:val="20"/>
          <w:szCs w:val="20"/>
        </w:rPr>
        <w:t xml:space="preserve"> Extractive Reserve from 2016 to 2019.</w:t>
      </w:r>
    </w:p>
    <w:tbl>
      <w:tblPr>
        <w:tblStyle w:val="1"/>
        <w:tblW w:w="876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002"/>
        <w:gridCol w:w="1366"/>
        <w:gridCol w:w="963"/>
        <w:gridCol w:w="889"/>
        <w:gridCol w:w="1268"/>
        <w:gridCol w:w="1391"/>
        <w:gridCol w:w="889"/>
      </w:tblGrid>
      <w:tr w:rsidR="00D23823" w:rsidRPr="005B4C6D" w:rsidTr="000F77C0">
        <w:trPr>
          <w:trHeight w:val="300"/>
          <w:jc w:val="center"/>
        </w:trPr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CPUE trend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MTS</w:t>
            </w: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2.5% BCI</w:t>
            </w:r>
          </w:p>
        </w:tc>
        <w:tc>
          <w:tcPr>
            <w:tcW w:w="1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97.5% BCI</w:t>
            </w: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center"/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color w:val="000000"/>
                <w:sz w:val="20"/>
                <w:szCs w:val="20"/>
              </w:rPr>
              <w:t>Rhat</w:t>
            </w:r>
            <w:proofErr w:type="spellEnd"/>
          </w:p>
        </w:tc>
      </w:tr>
      <w:tr w:rsidR="00D23823" w:rsidRPr="005B4C6D" w:rsidTr="000F77C0">
        <w:trPr>
          <w:trHeight w:val="300"/>
          <w:jc w:val="center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All game species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-0.007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0.026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-0.067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0.039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1.003</w:t>
            </w:r>
          </w:p>
        </w:tc>
      </w:tr>
      <w:tr w:rsidR="00D23823" w:rsidRPr="005B4C6D" w:rsidTr="000F77C0">
        <w:trPr>
          <w:trHeight w:val="300"/>
          <w:jc w:val="center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i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i/>
                <w:sz w:val="20"/>
                <w:szCs w:val="20"/>
              </w:rPr>
              <w:t>Cuniculus</w:t>
            </w:r>
            <w:proofErr w:type="spellEnd"/>
            <w:r w:rsidRPr="005B4C6D">
              <w:rPr>
                <w:rFonts w:asciiTheme="majorBidi" w:eastAsia="Arial" w:hAnsiTheme="majorBidi" w:cstheme="majorBidi"/>
                <w:i/>
                <w:sz w:val="20"/>
                <w:szCs w:val="20"/>
              </w:rPr>
              <w:t xml:space="preserve"> </w:t>
            </w:r>
            <w:proofErr w:type="spellStart"/>
            <w:r w:rsidRPr="005B4C6D">
              <w:rPr>
                <w:rFonts w:asciiTheme="majorBidi" w:eastAsia="Arial" w:hAnsiTheme="majorBidi" w:cstheme="majorBidi"/>
                <w:i/>
                <w:sz w:val="20"/>
                <w:szCs w:val="20"/>
              </w:rPr>
              <w:t>paca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-0.005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0.068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-0.157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0.15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1.001</w:t>
            </w:r>
          </w:p>
        </w:tc>
      </w:tr>
      <w:tr w:rsidR="00D23823" w:rsidRPr="005B4C6D" w:rsidTr="000F77C0">
        <w:trPr>
          <w:trHeight w:val="300"/>
          <w:jc w:val="center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i/>
                <w:sz w:val="20"/>
                <w:szCs w:val="20"/>
              </w:rPr>
              <w:t>Dasypus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 spp.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-0.007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0.039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-0.086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0.079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1.001</w:t>
            </w:r>
          </w:p>
        </w:tc>
      </w:tr>
      <w:tr w:rsidR="00D23823" w:rsidRPr="005B4C6D" w:rsidTr="000F77C0">
        <w:trPr>
          <w:trHeight w:val="300"/>
          <w:jc w:val="center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i/>
                <w:sz w:val="20"/>
                <w:szCs w:val="20"/>
              </w:rPr>
              <w:t>Mazama</w:t>
            </w:r>
            <w:proofErr w:type="spellEnd"/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 xml:space="preserve"> spp.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-0.003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-0.064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0.059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1.002</w:t>
            </w:r>
          </w:p>
        </w:tc>
      </w:tr>
      <w:tr w:rsidR="00D23823" w:rsidRPr="005B4C6D" w:rsidTr="000F77C0">
        <w:trPr>
          <w:trHeight w:val="300"/>
          <w:jc w:val="center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i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i/>
                <w:sz w:val="20"/>
                <w:szCs w:val="20"/>
              </w:rPr>
              <w:t>Dycoteles</w:t>
            </w:r>
            <w:proofErr w:type="spellEnd"/>
            <w:r w:rsidRPr="005B4C6D">
              <w:rPr>
                <w:rFonts w:asciiTheme="majorBidi" w:eastAsia="Arial" w:hAnsiTheme="majorBidi" w:cstheme="majorBidi"/>
                <w:i/>
                <w:sz w:val="20"/>
                <w:szCs w:val="20"/>
              </w:rPr>
              <w:t xml:space="preserve"> </w:t>
            </w:r>
            <w:proofErr w:type="spellStart"/>
            <w:r w:rsidRPr="005B4C6D">
              <w:rPr>
                <w:rFonts w:asciiTheme="majorBidi" w:eastAsia="Arial" w:hAnsiTheme="majorBidi" w:cstheme="majorBidi"/>
                <w:i/>
                <w:sz w:val="20"/>
                <w:szCs w:val="20"/>
              </w:rPr>
              <w:t>tajacu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0.011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0.016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-0.018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0.046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1.001</w:t>
            </w:r>
          </w:p>
        </w:tc>
      </w:tr>
      <w:tr w:rsidR="00D23823" w:rsidRPr="005B4C6D" w:rsidTr="000F77C0">
        <w:trPr>
          <w:trHeight w:val="300"/>
          <w:jc w:val="center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i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i/>
                <w:sz w:val="20"/>
                <w:szCs w:val="20"/>
              </w:rPr>
              <w:t>Tayassu</w:t>
            </w:r>
            <w:proofErr w:type="spellEnd"/>
            <w:r w:rsidRPr="005B4C6D">
              <w:rPr>
                <w:rFonts w:asciiTheme="majorBidi" w:eastAsia="Arial" w:hAnsiTheme="majorBidi" w:cstheme="majorBidi"/>
                <w:i/>
                <w:sz w:val="20"/>
                <w:szCs w:val="20"/>
              </w:rPr>
              <w:t xml:space="preserve"> </w:t>
            </w:r>
            <w:proofErr w:type="spellStart"/>
            <w:r w:rsidRPr="005B4C6D">
              <w:rPr>
                <w:rFonts w:asciiTheme="majorBidi" w:eastAsia="Arial" w:hAnsiTheme="majorBidi" w:cstheme="majorBidi"/>
                <w:i/>
                <w:sz w:val="20"/>
                <w:szCs w:val="20"/>
              </w:rPr>
              <w:t>pecari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-0.003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-0.07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0.074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1.002</w:t>
            </w:r>
          </w:p>
        </w:tc>
      </w:tr>
      <w:tr w:rsidR="00D23823" w:rsidRPr="005B4C6D" w:rsidTr="000F77C0">
        <w:trPr>
          <w:trHeight w:val="300"/>
          <w:jc w:val="center"/>
        </w:trPr>
        <w:tc>
          <w:tcPr>
            <w:tcW w:w="20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i/>
                <w:sz w:val="20"/>
                <w:szCs w:val="20"/>
              </w:rPr>
            </w:pPr>
            <w:proofErr w:type="spellStart"/>
            <w:r w:rsidRPr="005B4C6D">
              <w:rPr>
                <w:rFonts w:asciiTheme="majorBidi" w:eastAsia="Arial" w:hAnsiTheme="majorBidi" w:cstheme="majorBidi"/>
                <w:i/>
                <w:sz w:val="20"/>
                <w:szCs w:val="20"/>
              </w:rPr>
              <w:t>Tapirus</w:t>
            </w:r>
            <w:proofErr w:type="spellEnd"/>
            <w:r w:rsidRPr="005B4C6D">
              <w:rPr>
                <w:rFonts w:asciiTheme="majorBidi" w:eastAsia="Arial" w:hAnsiTheme="majorBidi" w:cstheme="majorBidi"/>
                <w:i/>
                <w:sz w:val="20"/>
                <w:szCs w:val="20"/>
              </w:rPr>
              <w:t xml:space="preserve"> </w:t>
            </w:r>
            <w:proofErr w:type="spellStart"/>
            <w:r w:rsidRPr="005B4C6D">
              <w:rPr>
                <w:rFonts w:asciiTheme="majorBidi" w:eastAsia="Arial" w:hAnsiTheme="majorBidi" w:cstheme="majorBidi"/>
                <w:i/>
                <w:sz w:val="20"/>
                <w:szCs w:val="20"/>
              </w:rPr>
              <w:t>terrestris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-0.147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0.187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-0.529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0.222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823" w:rsidRPr="005B4C6D" w:rsidRDefault="00D23823" w:rsidP="000F77C0">
            <w:pPr>
              <w:spacing w:after="0" w:line="240" w:lineRule="auto"/>
              <w:jc w:val="right"/>
              <w:rPr>
                <w:rFonts w:asciiTheme="majorBidi" w:eastAsia="Arial" w:hAnsiTheme="majorBidi" w:cstheme="majorBidi"/>
                <w:sz w:val="20"/>
                <w:szCs w:val="20"/>
              </w:rPr>
            </w:pPr>
            <w:r w:rsidRPr="005B4C6D">
              <w:rPr>
                <w:rFonts w:asciiTheme="majorBidi" w:eastAsia="Arial" w:hAnsiTheme="majorBidi" w:cstheme="majorBidi"/>
                <w:sz w:val="20"/>
                <w:szCs w:val="20"/>
              </w:rPr>
              <w:t>1.001</w:t>
            </w:r>
          </w:p>
        </w:tc>
      </w:tr>
    </w:tbl>
    <w:p w:rsidR="00D23823" w:rsidRPr="001472AA" w:rsidRDefault="00D23823" w:rsidP="00D23823">
      <w:pPr>
        <w:rPr>
          <w:rFonts w:asciiTheme="majorBidi" w:eastAsia="Arial" w:hAnsiTheme="majorBidi" w:cstheme="majorBidi"/>
          <w:sz w:val="20"/>
          <w:szCs w:val="20"/>
        </w:rPr>
      </w:pPr>
    </w:p>
    <w:p w:rsidR="00D23823" w:rsidRDefault="00D23823" w:rsidP="00D23823"/>
    <w:p w:rsidR="003F506D" w:rsidRDefault="00800E19"/>
    <w:sectPr w:rsidR="003F50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E19" w:rsidRDefault="00800E19">
      <w:pPr>
        <w:spacing w:after="0" w:line="240" w:lineRule="auto"/>
      </w:pPr>
      <w:r>
        <w:separator/>
      </w:r>
    </w:p>
  </w:endnote>
  <w:endnote w:type="continuationSeparator" w:id="0">
    <w:p w:rsidR="00800E19" w:rsidRDefault="00800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E19" w:rsidRDefault="00800E19">
      <w:pPr>
        <w:spacing w:after="0" w:line="240" w:lineRule="auto"/>
      </w:pPr>
      <w:r>
        <w:separator/>
      </w:r>
    </w:p>
  </w:footnote>
  <w:footnote w:type="continuationSeparator" w:id="0">
    <w:p w:rsidR="00800E19" w:rsidRDefault="00800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3285573"/>
      <w:docPartObj>
        <w:docPartGallery w:val="Page Numbers (Top of Page)"/>
        <w:docPartUnique/>
      </w:docPartObj>
    </w:sdtPr>
    <w:sdtEndPr/>
    <w:sdtContent>
      <w:p w:rsidR="00D51496" w:rsidRDefault="00A32D20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7D0">
          <w:rPr>
            <w:noProof/>
          </w:rPr>
          <w:t>3</w:t>
        </w:r>
        <w:r>
          <w:fldChar w:fldCharType="end"/>
        </w:r>
      </w:p>
    </w:sdtContent>
  </w:sdt>
  <w:p w:rsidR="00D51496" w:rsidRDefault="00800E1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823"/>
    <w:rsid w:val="001D453E"/>
    <w:rsid w:val="004E4A73"/>
    <w:rsid w:val="006518B9"/>
    <w:rsid w:val="00763A9D"/>
    <w:rsid w:val="00800E19"/>
    <w:rsid w:val="00A2268A"/>
    <w:rsid w:val="00A32D20"/>
    <w:rsid w:val="00D23823"/>
    <w:rsid w:val="00D50267"/>
    <w:rsid w:val="00DE38FA"/>
    <w:rsid w:val="00E520D4"/>
    <w:rsid w:val="00F557D0"/>
    <w:rsid w:val="00FE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DA9A6"/>
  <w15:chartTrackingRefBased/>
  <w15:docId w15:val="{290BA777-A888-44DC-9F72-869E7B13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823"/>
  </w:style>
  <w:style w:type="paragraph" w:styleId="Ttulo1">
    <w:name w:val="heading 1"/>
    <w:basedOn w:val="Normal"/>
    <w:next w:val="Normal"/>
    <w:link w:val="Ttulo1Char"/>
    <w:qFormat/>
    <w:rsid w:val="00D238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238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D23823"/>
    <w:pPr>
      <w:tabs>
        <w:tab w:val="center" w:pos="4252"/>
        <w:tab w:val="right" w:pos="8504"/>
      </w:tabs>
      <w:spacing w:after="0" w:line="240" w:lineRule="auto"/>
    </w:pPr>
    <w:rPr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D23823"/>
    <w:rPr>
      <w:lang w:val="pt-BR"/>
    </w:rPr>
  </w:style>
  <w:style w:type="table" w:customStyle="1" w:styleId="6">
    <w:name w:val="6"/>
    <w:basedOn w:val="Tabelanormal"/>
    <w:rsid w:val="00D23823"/>
    <w:rPr>
      <w:rFonts w:ascii="Calibri" w:eastAsia="Calibri" w:hAnsi="Calibri" w:cs="Calibri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">
    <w:name w:val="4"/>
    <w:basedOn w:val="Tabelanormal"/>
    <w:rsid w:val="00D23823"/>
    <w:rPr>
      <w:rFonts w:ascii="Calibri" w:eastAsia="Calibri" w:hAnsi="Calibri" w:cs="Calibri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">
    <w:name w:val="2"/>
    <w:basedOn w:val="Tabelanormal"/>
    <w:rsid w:val="00D23823"/>
    <w:rPr>
      <w:rFonts w:ascii="Calibri" w:eastAsia="Calibri" w:hAnsi="Calibri" w:cs="Calibri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">
    <w:name w:val="1"/>
    <w:basedOn w:val="Tabelanormal"/>
    <w:rsid w:val="00D23823"/>
    <w:rPr>
      <w:rFonts w:ascii="Calibri" w:eastAsia="Calibri" w:hAnsi="Calibri" w:cs="Calibri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2024-04-12T19:34:00Z</dcterms:created>
  <dcterms:modified xsi:type="dcterms:W3CDTF">2024-04-12T19:53:00Z</dcterms:modified>
</cp:coreProperties>
</file>