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 xml:space="preserve">Additional file </w:t>
      </w:r>
      <w:r>
        <w:rPr>
          <w:rFonts w:hint="default" w:cs="Times New Roman"/>
          <w:b/>
          <w:sz w:val="28"/>
          <w:szCs w:val="28"/>
          <w:lang w:val="en-US"/>
        </w:rPr>
        <w:t>2:</w:t>
      </w: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 xml:space="preserve"> Table S</w:t>
      </w:r>
      <w:r>
        <w:rPr>
          <w:rFonts w:hint="default" w:cs="Times New Roman"/>
          <w:b/>
          <w:sz w:val="28"/>
          <w:szCs w:val="28"/>
          <w:lang w:val="en-US"/>
        </w:rPr>
        <w:t>2</w:t>
      </w:r>
    </w:p>
    <w:p>
      <w:pPr>
        <w:autoSpaceDE w:val="0"/>
        <w:autoSpaceDN w:val="0"/>
        <w:adjustRightInd w:val="0"/>
        <w:spacing w:before="240" w:after="0" w:line="48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Table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S2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: Primer Sequences used in the Study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tbl>
      <w:tblPr>
        <w:tblStyle w:val="4"/>
        <w:tblW w:w="944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4695"/>
        <w:gridCol w:w="1005"/>
        <w:gridCol w:w="1035"/>
        <w:gridCol w:w="133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Name</w:t>
            </w:r>
          </w:p>
        </w:tc>
        <w:tc>
          <w:tcPr>
            <w:tcW w:w="4695" w:type="dxa"/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Primer</w:t>
            </w:r>
          </w:p>
        </w:tc>
        <w:tc>
          <w:tcPr>
            <w:tcW w:w="1005" w:type="dxa"/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Gene</w:t>
            </w:r>
          </w:p>
        </w:tc>
        <w:tc>
          <w:tcPr>
            <w:tcW w:w="1035" w:type="dxa"/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 xml:space="preserve">Product </w:t>
            </w:r>
          </w:p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size</w:t>
            </w:r>
          </w:p>
        </w:tc>
        <w:tc>
          <w:tcPr>
            <w:tcW w:w="1335" w:type="dxa"/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tcBorders>
              <w:bottom w:val="nil"/>
            </w:tcBorders>
          </w:tcPr>
          <w:p>
            <w:pPr>
              <w:spacing w:after="0" w:line="480" w:lineRule="auto"/>
              <w:contextualSpacing/>
              <w:jc w:val="both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</w:rPr>
              <w:t>KPC (F)</w:t>
            </w:r>
          </w:p>
        </w:tc>
        <w:tc>
          <w:tcPr>
            <w:tcW w:w="4695" w:type="dxa"/>
            <w:tcBorders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5’-GCT CAG GCG CAA CTG TAA G-3’</w:t>
            </w:r>
          </w:p>
        </w:tc>
        <w:tc>
          <w:tcPr>
            <w:tcW w:w="1005" w:type="dxa"/>
            <w:tcBorders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bla</w:t>
            </w:r>
            <w:r>
              <w:rPr>
                <w:rFonts w:hint="default" w:ascii="Times New Roman" w:hAnsi="Times New Roman" w:cs="Times New Roman"/>
                <w:vertAlign w:val="subscript"/>
              </w:rPr>
              <w:t>KPC</w:t>
            </w:r>
          </w:p>
        </w:tc>
        <w:tc>
          <w:tcPr>
            <w:tcW w:w="1035" w:type="dxa"/>
            <w:tcBorders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en-US"/>
              </w:rPr>
              <w:t>0</w:t>
            </w:r>
            <w:r>
              <w:rPr>
                <w:rFonts w:hint="default" w:ascii="Times New Roman" w:hAnsi="Times New Roman" w:cs="Times New Roman"/>
              </w:rPr>
              <w:t>0bp</w:t>
            </w:r>
          </w:p>
        </w:tc>
        <w:tc>
          <w:tcPr>
            <w:tcW w:w="1335" w:type="dxa"/>
            <w:tcBorders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vertAlign w:val="superscript"/>
                <w:lang w:val="en-US"/>
              </w:rPr>
              <w:t>[</w:t>
            </w:r>
            <w:r>
              <w:rPr>
                <w:rFonts w:hint="default" w:ascii="Times New Roman" w:hAnsi="Times New Roman" w:cs="Times New Roman"/>
                <w:vertAlign w:val="superscript"/>
              </w:rPr>
              <w:t>15</w:t>
            </w:r>
            <w:r>
              <w:rPr>
                <w:rFonts w:hint="default" w:ascii="Times New Roman" w:hAnsi="Times New Roman" w:cs="Times New Roman"/>
                <w:vertAlign w:val="superscript"/>
                <w:lang w:val="en-US"/>
              </w:rPr>
              <w:t>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tcBorders>
              <w:top w:val="nil"/>
              <w:bottom w:val="nil"/>
            </w:tcBorders>
          </w:tcPr>
          <w:p>
            <w:pPr>
              <w:spacing w:after="0" w:line="480" w:lineRule="auto"/>
              <w:contextualSpacing/>
              <w:jc w:val="both"/>
              <w:rPr>
                <w:rFonts w:hint="default" w:ascii="Times New Roman" w:hAnsi="Times New Roman" w:cs="Times New Roman"/>
                <w:b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</w:rPr>
              <w:t>KPC (R)</w:t>
            </w:r>
          </w:p>
        </w:tc>
        <w:tc>
          <w:tcPr>
            <w:tcW w:w="4695" w:type="dxa"/>
            <w:tcBorders>
              <w:top w:val="nil"/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5’-AGC ACA GCG GCA GCA AGA AAG-3’</w:t>
            </w:r>
          </w:p>
        </w:tc>
        <w:tc>
          <w:tcPr>
            <w:tcW w:w="1005" w:type="dxa"/>
            <w:tcBorders>
              <w:top w:val="nil"/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35" w:type="dxa"/>
            <w:tcBorders>
              <w:top w:val="nil"/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nil"/>
              <w:bottom w:val="nil"/>
            </w:tcBorders>
          </w:tcPr>
          <w:p>
            <w:pPr>
              <w:pStyle w:val="5"/>
              <w:spacing w:line="480" w:lineRule="auto"/>
              <w:contextualSpacing/>
              <w:jc w:val="both"/>
              <w:rPr>
                <w:rFonts w:hint="default" w:ascii="Times New Roman" w:hAnsi="Times New Roman" w:cs="Times New Roman"/>
                <w:vertAlign w:val="superscript"/>
              </w:rPr>
            </w:pPr>
          </w:p>
        </w:tc>
      </w:tr>
    </w:tbl>
    <w:p>
      <w:pPr>
        <w:spacing w:after="0" w:line="480" w:lineRule="auto"/>
        <w:contextualSpacing/>
        <w:jc w:val="both"/>
        <w:rPr>
          <w:rFonts w:hint="default" w:ascii="Times New Roman" w:hAnsi="Times New Roman" w:cs="Times New Roman"/>
          <w:szCs w:val="24"/>
          <w:vertAlign w:val="baseline"/>
          <w:lang w:val="en-US"/>
        </w:rPr>
      </w:pPr>
      <w:r>
        <w:rPr>
          <w:rFonts w:hint="default" w:cs="Times New Roman"/>
          <w:szCs w:val="24"/>
          <w:lang w:val="en-US"/>
        </w:rPr>
        <w:t xml:space="preserve">G= guanosine, C= cytocine, A= adenosine, T= thymidine, </w:t>
      </w:r>
      <w:r>
        <w:rPr>
          <w:rFonts w:hint="default" w:ascii="Times New Roman" w:hAnsi="Times New Roman" w:cs="Times New Roman"/>
        </w:rPr>
        <w:t>bla</w:t>
      </w:r>
      <w:r>
        <w:rPr>
          <w:rFonts w:hint="default" w:ascii="Times New Roman" w:hAnsi="Times New Roman" w:cs="Times New Roman"/>
          <w:vertAlign w:val="subscript"/>
        </w:rPr>
        <w:t>KPC</w:t>
      </w:r>
      <w:r>
        <w:rPr>
          <w:rFonts w:hint="default" w:cs="Times New Roman"/>
          <w:vertAlign w:val="subscript"/>
          <w:lang w:val="en-US"/>
        </w:rPr>
        <w:t xml:space="preserve">= </w:t>
      </w:r>
      <w:r>
        <w:rPr>
          <w:rFonts w:hint="default" w:cs="Times New Roman"/>
          <w:i/>
          <w:iCs/>
          <w:vertAlign w:val="baseline"/>
          <w:lang w:val="en-US"/>
        </w:rPr>
        <w:t>Klebsiella pneumoniae</w:t>
      </w:r>
      <w:r>
        <w:rPr>
          <w:rFonts w:hint="default" w:cs="Times New Roman"/>
          <w:vertAlign w:val="baseline"/>
          <w:lang w:val="en-US"/>
        </w:rPr>
        <w:t xml:space="preserve"> carbapenemase beta-lactamase gene</w:t>
      </w: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E1574"/>
    <w:rsid w:val="00A24D28"/>
    <w:rsid w:val="0B1C66E2"/>
    <w:rsid w:val="12C35926"/>
    <w:rsid w:val="282E1574"/>
    <w:rsid w:val="3DF30A41"/>
    <w:rsid w:val="400D28B4"/>
    <w:rsid w:val="44F96FD7"/>
    <w:rsid w:val="45005967"/>
    <w:rsid w:val="50AD5D9F"/>
    <w:rsid w:val="5504317A"/>
    <w:rsid w:val="63D105B8"/>
    <w:rsid w:val="668D1F05"/>
    <w:rsid w:val="68A44BBF"/>
    <w:rsid w:val="788A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rPr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No Spacing"/>
    <w:qFormat/>
    <w:uiPriority w:val="1"/>
    <w:pPr>
      <w:spacing w:after="0" w:line="240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2020-06-29T10:15:00Z</dcterms:created>
  <dc:creator>AGHANYA ILODUBA N</dc:creator>
  <cp:lastModifiedBy>AGHANYA ILODUBA N</cp:lastModifiedBy>
  <dcterms:modified xsi:type="dcterms:W3CDTF">2020-12-07T07:40:01Z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