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bCs/>
          <w:i/>
          <w:iCs/>
          <w:sz w:val="36"/>
          <w:szCs w:val="36"/>
        </w:rPr>
      </w:pPr>
      <w:bookmarkStart w:id="0" w:name="_Hlk79654486"/>
      <w:r>
        <w:rPr>
          <w:rFonts w:ascii="Times New Roman" w:hAnsi="Times New Roman" w:eastAsia="宋体" w:cs="Times New Roman"/>
          <w:b/>
          <w:bCs/>
          <w:sz w:val="36"/>
          <w:szCs w:val="36"/>
        </w:rPr>
        <w:t>Identification</w:t>
      </w:r>
      <w:r>
        <w:rPr>
          <w:rFonts w:hint="eastAsia" w:ascii="Times New Roman" w:hAnsi="Times New Roman" w:eastAsia="宋体" w:cs="Times New Roman"/>
          <w:b/>
          <w:bCs/>
          <w:sz w:val="36"/>
          <w:szCs w:val="36"/>
        </w:rPr>
        <w:t>,</w:t>
      </w:r>
      <w:r>
        <w:rPr>
          <w:rFonts w:ascii="Times New Roman" w:hAnsi="Times New Roman" w:eastAsia="宋体" w:cs="Times New Roman"/>
          <w:b/>
          <w:bCs/>
          <w:sz w:val="36"/>
          <w:szCs w:val="36"/>
        </w:rPr>
        <w:t xml:space="preserve"> evolutionary and expression analysis under high-salt stress of ACC synthase gene family in </w:t>
      </w:r>
      <w:r>
        <w:rPr>
          <w:rFonts w:ascii="Times New Roman" w:hAnsi="Times New Roman" w:eastAsia="宋体" w:cs="Times New Roman"/>
          <w:b/>
          <w:bCs/>
          <w:i/>
          <w:iCs/>
          <w:sz w:val="36"/>
          <w:szCs w:val="36"/>
        </w:rPr>
        <w:t>G</w:t>
      </w:r>
      <w:r>
        <w:rPr>
          <w:rFonts w:hint="eastAsia" w:ascii="Times New Roman" w:hAnsi="Times New Roman" w:eastAsia="宋体" w:cs="Times New Roman"/>
          <w:b/>
          <w:bCs/>
          <w:i/>
          <w:iCs/>
          <w:sz w:val="36"/>
          <w:szCs w:val="36"/>
        </w:rPr>
        <w:t>ly</w:t>
      </w:r>
      <w:r>
        <w:rPr>
          <w:rFonts w:ascii="Times New Roman" w:hAnsi="Times New Roman" w:eastAsia="宋体" w:cs="Times New Roman"/>
          <w:b/>
          <w:bCs/>
          <w:i/>
          <w:iCs/>
          <w:sz w:val="36"/>
          <w:szCs w:val="36"/>
        </w:rPr>
        <w:t>cine max</w:t>
      </w:r>
    </w:p>
    <w:bookmarkEnd w:id="0"/>
    <w:p>
      <w:pPr>
        <w:rPr>
          <w:rFonts w:ascii="Times New Roman" w:hAnsi="Times New Roman" w:eastAsia="宋体" w:cs="Times New Roman"/>
        </w:rPr>
      </w:pP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Xingzheng Zhang</w:t>
      </w:r>
      <w:r>
        <w:rPr>
          <w:rFonts w:ascii="Times New Roman" w:hAnsi="Times New Roman" w:eastAsia="宋体" w:cs="Times New Roman"/>
          <w:sz w:val="18"/>
          <w:szCs w:val="18"/>
          <w:vertAlign w:val="superscript"/>
        </w:rPr>
        <w:t>1</w:t>
      </w:r>
      <w:r>
        <w:rPr>
          <w:rFonts w:ascii="Times New Roman" w:hAnsi="Times New Roman" w:eastAsia="宋体" w:cs="Times New Roman"/>
          <w:sz w:val="18"/>
          <w:szCs w:val="18"/>
          <w:vertAlign w:val="superscript"/>
        </w:rPr>
        <w:sym w:font="Wingdings 2" w:char="F085"/>
      </w:r>
      <w:r>
        <w:rPr>
          <w:rFonts w:ascii="Times New Roman" w:hAnsi="Times New Roman" w:eastAsia="宋体" w:cs="Times New Roman"/>
          <w:sz w:val="18"/>
          <w:szCs w:val="18"/>
        </w:rPr>
        <w:t>, Xin Liu</w:t>
      </w:r>
      <w:r>
        <w:rPr>
          <w:rFonts w:ascii="Times New Roman" w:hAnsi="Times New Roman" w:eastAsia="宋体" w:cs="Times New Roman"/>
          <w:sz w:val="18"/>
          <w:szCs w:val="18"/>
          <w:vertAlign w:val="superscript"/>
        </w:rPr>
        <w:t>1</w:t>
      </w:r>
      <w:r>
        <w:rPr>
          <w:rFonts w:ascii="Times New Roman" w:hAnsi="Times New Roman" w:eastAsia="宋体" w:cs="Times New Roman"/>
          <w:sz w:val="18"/>
          <w:szCs w:val="18"/>
          <w:vertAlign w:val="superscript"/>
        </w:rPr>
        <w:sym w:font="Wingdings 2" w:char="F085"/>
      </w:r>
      <w:r>
        <w:rPr>
          <w:rFonts w:ascii="Times New Roman" w:hAnsi="Times New Roman" w:eastAsia="宋体" w:cs="Times New Roman"/>
          <w:sz w:val="18"/>
          <w:szCs w:val="18"/>
        </w:rPr>
        <w:t>, Jing Yang</w:t>
      </w:r>
      <w:r>
        <w:rPr>
          <w:rFonts w:ascii="Times New Roman" w:hAnsi="Times New Roman" w:eastAsia="宋体" w:cs="Times New Roman"/>
          <w:sz w:val="18"/>
          <w:szCs w:val="18"/>
          <w:vertAlign w:val="superscript"/>
        </w:rPr>
        <w:t>2</w:t>
      </w:r>
      <w:r>
        <w:rPr>
          <w:rFonts w:ascii="Times New Roman" w:hAnsi="Times New Roman" w:eastAsia="宋体" w:cs="Times New Roman"/>
          <w:sz w:val="18"/>
          <w:szCs w:val="18"/>
          <w:vertAlign w:val="superscript"/>
        </w:rPr>
        <w:sym w:font="Wingdings 2" w:char="F085"/>
      </w:r>
      <w:r>
        <w:rPr>
          <w:rFonts w:ascii="Times New Roman" w:hAnsi="Times New Roman" w:eastAsia="宋体" w:cs="Times New Roman"/>
          <w:sz w:val="18"/>
          <w:szCs w:val="18"/>
        </w:rPr>
        <w:t>, Yiwen Sun</w:t>
      </w:r>
      <w:r>
        <w:rPr>
          <w:rFonts w:ascii="Times New Roman" w:hAnsi="Times New Roman" w:eastAsia="宋体" w:cs="Times New Roman"/>
          <w:sz w:val="18"/>
          <w:szCs w:val="18"/>
          <w:vertAlign w:val="superscript"/>
        </w:rPr>
        <w:t>1</w:t>
      </w:r>
      <w:r>
        <w:rPr>
          <w:rFonts w:ascii="Times New Roman" w:hAnsi="Times New Roman" w:eastAsia="宋体" w:cs="Times New Roman"/>
          <w:sz w:val="18"/>
          <w:szCs w:val="18"/>
        </w:rPr>
        <w:t>, Haojie Huang</w:t>
      </w:r>
      <w:r>
        <w:rPr>
          <w:rFonts w:ascii="Times New Roman" w:hAnsi="Times New Roman" w:eastAsia="宋体" w:cs="Times New Roman"/>
          <w:sz w:val="18"/>
          <w:szCs w:val="18"/>
          <w:vertAlign w:val="superscript"/>
        </w:rPr>
        <w:t>1</w:t>
      </w:r>
      <w:r>
        <w:rPr>
          <w:rFonts w:ascii="Times New Roman" w:hAnsi="Times New Roman" w:eastAsia="宋体" w:cs="Times New Roman"/>
          <w:sz w:val="18"/>
          <w:szCs w:val="18"/>
        </w:rPr>
        <w:t>, Hongli He</w:t>
      </w:r>
      <w:r>
        <w:rPr>
          <w:rFonts w:ascii="Times New Roman" w:hAnsi="Times New Roman" w:eastAsia="宋体" w:cs="Times New Roman"/>
          <w:sz w:val="18"/>
          <w:szCs w:val="18"/>
          <w:vertAlign w:val="superscript"/>
        </w:rPr>
        <w:t>1</w:t>
      </w:r>
      <w:r>
        <w:rPr>
          <w:rFonts w:ascii="Times New Roman" w:hAnsi="Times New Roman" w:eastAsia="宋体" w:cs="Times New Roman"/>
          <w:sz w:val="18"/>
          <w:szCs w:val="18"/>
        </w:rPr>
        <w:t>, Jingpei Piao</w:t>
      </w:r>
      <w:r>
        <w:rPr>
          <w:rFonts w:ascii="Times New Roman" w:hAnsi="Times New Roman" w:eastAsia="宋体" w:cs="Times New Roman"/>
          <w:sz w:val="18"/>
          <w:szCs w:val="18"/>
          <w:vertAlign w:val="superscript"/>
        </w:rPr>
        <w:t>1</w:t>
      </w:r>
      <w:r>
        <w:rPr>
          <w:rFonts w:ascii="Times New Roman" w:hAnsi="Times New Roman" w:eastAsia="宋体" w:cs="Times New Roman"/>
          <w:sz w:val="18"/>
          <w:szCs w:val="18"/>
        </w:rPr>
        <w:t>, Jie Shen</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，Xuqiang Qiao</w:t>
      </w:r>
      <w:r>
        <w:rPr>
          <w:rFonts w:ascii="Times New Roman" w:hAnsi="Times New Roman" w:eastAsia="宋体" w:cs="Times New Roman"/>
          <w:sz w:val="18"/>
          <w:szCs w:val="18"/>
          <w:vertAlign w:val="superscript"/>
        </w:rPr>
        <w:t>4</w:t>
      </w:r>
      <w:r>
        <w:rPr>
          <w:rFonts w:ascii="Times New Roman" w:hAnsi="Times New Roman" w:eastAsia="宋体" w:cs="Times New Roman"/>
          <w:sz w:val="18"/>
          <w:szCs w:val="18"/>
          <w:vertAlign w:val="superscript"/>
        </w:rPr>
        <w:sym w:font="Wingdings" w:char="F02A"/>
      </w:r>
      <w:r>
        <w:rPr>
          <w:rFonts w:ascii="Times New Roman" w:hAnsi="Times New Roman" w:eastAsia="宋体" w:cs="Times New Roman"/>
          <w:sz w:val="18"/>
          <w:szCs w:val="18"/>
        </w:rPr>
        <w:t xml:space="preserve"> Yunqing Cheng</w:t>
      </w:r>
      <w:r>
        <w:rPr>
          <w:rFonts w:ascii="Times New Roman" w:hAnsi="Times New Roman" w:eastAsia="宋体" w:cs="Times New Roman"/>
          <w:sz w:val="18"/>
          <w:szCs w:val="18"/>
          <w:vertAlign w:val="superscript"/>
        </w:rPr>
        <w:t>1</w:t>
      </w:r>
      <w:r>
        <w:rPr>
          <w:rFonts w:ascii="Times New Roman" w:hAnsi="Times New Roman" w:eastAsia="宋体" w:cs="Times New Roman"/>
          <w:sz w:val="18"/>
          <w:szCs w:val="18"/>
          <w:vertAlign w:val="superscript"/>
        </w:rPr>
        <w:sym w:font="Wingdings" w:char="F02A"/>
      </w:r>
      <w:bookmarkStart w:id="3" w:name="_GoBack"/>
      <w:bookmarkEnd w:id="3"/>
    </w:p>
    <w:p>
      <w:pPr>
        <w:jc w:val="center"/>
        <w:rPr>
          <w:rFonts w:ascii="Times New Roman" w:hAnsi="Times New Roman" w:eastAsia="宋体" w:cs="Times New Roman"/>
        </w:rPr>
      </w:pPr>
    </w:p>
    <w:p>
      <w:pPr>
        <w:jc w:val="left"/>
        <w:rPr>
          <w:rFonts w:ascii="Times New Roman" w:hAnsi="Times New Roman" w:eastAsia="宋体" w:cs="Times New Roman"/>
          <w:sz w:val="18"/>
          <w:szCs w:val="18"/>
        </w:rPr>
      </w:pPr>
      <w:bookmarkStart w:id="1" w:name="_Hlk142942211"/>
      <w:r>
        <w:rPr>
          <w:rFonts w:ascii="Times New Roman" w:hAnsi="Times New Roman" w:eastAsia="宋体" w:cs="Times New Roman"/>
          <w:sz w:val="18"/>
          <w:szCs w:val="18"/>
        </w:rPr>
        <w:t>1. Jilin Provincial Key Laboratory of Plant Resource Science and Green Production, Jilin Normal University, Siping, Jilin Province, 136000, China</w:t>
      </w:r>
    </w:p>
    <w:p>
      <w:pPr>
        <w:jc w:val="left"/>
        <w:rPr>
          <w:rFonts w:ascii="Times New Roman" w:hAnsi="Times New Roman" w:eastAsia="宋体" w:cs="Times New Roman"/>
          <w:sz w:val="18"/>
          <w:szCs w:val="18"/>
        </w:rPr>
      </w:pPr>
      <w:r>
        <w:rPr>
          <w:rFonts w:ascii="Times New Roman" w:hAnsi="Times New Roman" w:eastAsia="宋体" w:cs="Times New Roman"/>
          <w:sz w:val="18"/>
          <w:szCs w:val="18"/>
        </w:rPr>
        <w:t>2. Jilin Provincial Key Laboratory of Agricultural Biotechnology, Jilin Academy of Agricultural Sciences, Changchun 130033, China</w:t>
      </w:r>
    </w:p>
    <w:p>
      <w:pPr>
        <w:jc w:val="left"/>
        <w:rPr>
          <w:rFonts w:ascii="Times New Roman" w:hAnsi="Times New Roman" w:eastAsia="宋体" w:cs="Times New Roman"/>
          <w:sz w:val="18"/>
          <w:szCs w:val="18"/>
        </w:rPr>
      </w:pPr>
      <w:r>
        <w:rPr>
          <w:rFonts w:ascii="Times New Roman" w:hAnsi="Times New Roman" w:eastAsia="宋体" w:cs="Times New Roman"/>
          <w:sz w:val="18"/>
          <w:szCs w:val="18"/>
        </w:rPr>
        <w:t>3. Jilin Normal University, Boda College, Siping, Jilin, 136000, China</w:t>
      </w:r>
    </w:p>
    <w:p>
      <w:pPr>
        <w:jc w:val="left"/>
        <w:rPr>
          <w:rFonts w:ascii="Times New Roman" w:hAnsi="Times New Roman" w:eastAsia="宋体" w:cs="Times New Roman"/>
          <w:sz w:val="18"/>
          <w:szCs w:val="18"/>
        </w:rPr>
      </w:pPr>
      <w:r>
        <w:rPr>
          <w:rFonts w:ascii="Times New Roman" w:hAnsi="Times New Roman" w:eastAsia="宋体" w:cs="Times New Roman"/>
          <w:sz w:val="18"/>
          <w:szCs w:val="18"/>
        </w:rPr>
        <w:t>4. Ludong University, College of Agriculture, Yantai, Shandong, 264025, China</w:t>
      </w:r>
    </w:p>
    <w:p>
      <w:pPr>
        <w:jc w:val="left"/>
        <w:rPr>
          <w:rFonts w:ascii="Times New Roman" w:hAnsi="Times New Roman" w:eastAsia="宋体" w:cs="Times New Roman"/>
          <w:sz w:val="18"/>
          <w:szCs w:val="18"/>
        </w:rPr>
      </w:pPr>
      <w:r>
        <w:rPr>
          <w:rFonts w:ascii="Times New Roman" w:hAnsi="Times New Roman" w:eastAsia="宋体" w:cs="Times New Roman"/>
          <w:sz w:val="18"/>
          <w:szCs w:val="18"/>
          <w:vertAlign w:val="superscript"/>
        </w:rPr>
        <w:sym w:font="Wingdings 2" w:char="F085"/>
      </w:r>
      <w:r>
        <w:rPr>
          <w:rFonts w:ascii="Times New Roman" w:hAnsi="Times New Roman" w:eastAsia="宋体" w:cs="Times New Roman"/>
          <w:sz w:val="18"/>
          <w:szCs w:val="18"/>
        </w:rPr>
        <w:t xml:space="preserve"> </w:t>
      </w:r>
      <w:bookmarkStart w:id="2" w:name="OLE_LINK31"/>
      <w:r>
        <w:rPr>
          <w:rFonts w:ascii="Times New Roman" w:hAnsi="Times New Roman" w:eastAsia="宋体" w:cs="Times New Roman"/>
          <w:sz w:val="18"/>
          <w:szCs w:val="18"/>
        </w:rPr>
        <w:t>These authors contribute equally</w:t>
      </w:r>
      <w:bookmarkEnd w:id="2"/>
      <w:r>
        <w:rPr>
          <w:rFonts w:ascii="Times New Roman" w:hAnsi="Times New Roman" w:eastAsia="宋体" w:cs="Times New Roman"/>
          <w:sz w:val="18"/>
          <w:szCs w:val="18"/>
        </w:rPr>
        <w:t xml:space="preserve"> to this work (the first two, the experiment, the third, the revision)</w:t>
      </w:r>
    </w:p>
    <w:p>
      <w:pPr>
        <w:jc w:val="left"/>
        <w:rPr>
          <w:rFonts w:ascii="Times New Roman" w:hAnsi="Times New Roman" w:eastAsia="宋体" w:cs="Times New Roman"/>
          <w:sz w:val="18"/>
          <w:szCs w:val="18"/>
        </w:rPr>
      </w:pPr>
      <w:r>
        <w:rPr>
          <w:rFonts w:ascii="Times New Roman" w:hAnsi="Times New Roman" w:eastAsia="宋体" w:cs="Times New Roman"/>
          <w:sz w:val="18"/>
          <w:szCs w:val="18"/>
          <w:vertAlign w:val="superscript"/>
        </w:rPr>
        <w:sym w:font="Wingdings" w:char="F02A"/>
      </w:r>
      <w:r>
        <w:rPr>
          <w:rFonts w:ascii="Times New Roman" w:hAnsi="Times New Roman" w:eastAsia="宋体" w:cs="Times New Roman"/>
          <w:sz w:val="18"/>
          <w:szCs w:val="18"/>
        </w:rPr>
        <w:t xml:space="preserve"> Correspondence</w:t>
      </w:r>
    </w:p>
    <w:p>
      <w:pPr>
        <w:jc w:val="left"/>
        <w:rPr>
          <w:rFonts w:ascii="Times New Roman" w:hAnsi="Times New Roman" w:eastAsia="宋体" w:cs="Times New Roman"/>
          <w:sz w:val="18"/>
          <w:szCs w:val="18"/>
        </w:rPr>
      </w:pPr>
      <w:r>
        <w:rPr>
          <w:rFonts w:ascii="Times New Roman" w:hAnsi="Times New Roman" w:eastAsia="宋体" w:cs="Times New Roman"/>
          <w:sz w:val="18"/>
          <w:szCs w:val="18"/>
        </w:rPr>
        <w:t>Yunqing Cheng</w:t>
      </w:r>
    </w:p>
    <w:p>
      <w:pPr>
        <w:jc w:val="left"/>
        <w:rPr>
          <w:rFonts w:ascii="Times New Roman" w:hAnsi="Times New Roman" w:eastAsia="宋体" w:cs="Times New Roman"/>
          <w:sz w:val="18"/>
          <w:szCs w:val="18"/>
        </w:rPr>
      </w:pPr>
      <w:r>
        <w:rPr>
          <w:rFonts w:ascii="Times New Roman" w:hAnsi="Times New Roman" w:eastAsia="宋体" w:cs="Times New Roman"/>
          <w:sz w:val="18"/>
          <w:szCs w:val="18"/>
        </w:rPr>
        <w:t>chengyunqing1977@163.com</w:t>
      </w:r>
    </w:p>
    <w:p>
      <w:pPr>
        <w:jc w:val="left"/>
        <w:rPr>
          <w:rFonts w:ascii="Times New Roman" w:hAnsi="Times New Roman" w:eastAsia="宋体" w:cs="Times New Roman"/>
          <w:sz w:val="18"/>
          <w:szCs w:val="18"/>
        </w:rPr>
      </w:pPr>
      <w:r>
        <w:rPr>
          <w:rFonts w:ascii="Times New Roman" w:hAnsi="Times New Roman" w:eastAsia="宋体" w:cs="Times New Roman"/>
          <w:sz w:val="18"/>
          <w:szCs w:val="18"/>
        </w:rPr>
        <w:t>Jilin Provincial Key Laboratory of Plant Resource Science and Green Production, Jilin Normal University, Siping, Jilin, 136000, China</w:t>
      </w:r>
    </w:p>
    <w:p>
      <w:pPr>
        <w:jc w:val="left"/>
        <w:rPr>
          <w:rFonts w:ascii="Times New Roman" w:hAnsi="Times New Roman" w:eastAsia="宋体" w:cs="Times New Roman"/>
          <w:sz w:val="18"/>
          <w:szCs w:val="18"/>
        </w:rPr>
      </w:pPr>
      <w:r>
        <w:rPr>
          <w:rFonts w:ascii="Times New Roman" w:hAnsi="Times New Roman" w:eastAsia="宋体" w:cs="Times New Roman"/>
          <w:sz w:val="18"/>
          <w:szCs w:val="18"/>
        </w:rPr>
        <w:t>Xuqiang Qiao</w:t>
      </w:r>
    </w:p>
    <w:p>
      <w:pPr>
        <w:jc w:val="left"/>
        <w:rPr>
          <w:rFonts w:ascii="Times New Roman" w:hAnsi="Times New Roman" w:eastAsia="宋体" w:cs="Times New Roman"/>
          <w:sz w:val="18"/>
          <w:szCs w:val="18"/>
        </w:rPr>
      </w:pPr>
      <w:r>
        <w:fldChar w:fldCharType="begin"/>
      </w:r>
      <w:r>
        <w:instrText xml:space="preserve"> HYPERLINK "mailto:qiaoedu123@126.com" </w:instrText>
      </w:r>
      <w:r>
        <w:fldChar w:fldCharType="separate"/>
      </w:r>
      <w:r>
        <w:rPr>
          <w:rFonts w:ascii="Times New Roman" w:hAnsi="Times New Roman" w:eastAsia="宋体" w:cs="Times New Roman"/>
          <w:sz w:val="18"/>
          <w:szCs w:val="18"/>
        </w:rPr>
        <w:t>qiaoedu123@126.com</w:t>
      </w:r>
      <w:r>
        <w:rPr>
          <w:rFonts w:ascii="Times New Roman" w:hAnsi="Times New Roman" w:eastAsia="宋体" w:cs="Times New Roman"/>
          <w:sz w:val="18"/>
          <w:szCs w:val="18"/>
        </w:rPr>
        <w:fldChar w:fldCharType="end"/>
      </w:r>
    </w:p>
    <w:p>
      <w:pPr>
        <w:jc w:val="left"/>
        <w:rPr>
          <w:rFonts w:ascii="Times New Roman" w:hAnsi="Times New Roman" w:eastAsia="宋体" w:cs="Times New Roman"/>
          <w:sz w:val="18"/>
          <w:szCs w:val="18"/>
        </w:rPr>
      </w:pPr>
      <w:r>
        <w:rPr>
          <w:rFonts w:ascii="Times New Roman" w:hAnsi="Times New Roman" w:eastAsia="宋体" w:cs="Times New Roman"/>
          <w:sz w:val="18"/>
          <w:szCs w:val="18"/>
        </w:rPr>
        <w:t>Ludong University, College of Agriculture, Yantai, Shandong, 264025, China</w:t>
      </w:r>
    </w:p>
    <w:bookmarkEnd w:id="1"/>
    <w:p>
      <w:pPr>
        <w:jc w:val="left"/>
        <w:rPr>
          <w:rFonts w:ascii="Times New Roman" w:hAnsi="Times New Roman" w:eastAsia="宋体" w:cs="Times New Roman"/>
        </w:rPr>
      </w:pPr>
    </w:p>
    <w:p>
      <w:pPr>
        <w:spacing w:line="360" w:lineRule="auto"/>
        <w:rPr>
          <w:rFonts w:ascii="Times New Roman" w:hAnsi="Times New Roman" w:cs="Times New Roman"/>
          <w:bCs/>
        </w:rPr>
      </w:pPr>
      <w:r>
        <w:rPr>
          <w:rFonts w:hint="eastAsia" w:ascii="Times New Roman" w:hAnsi="Times New Roman" w:cs="Times New Roman"/>
          <w:bCs/>
        </w:rPr>
        <w:t>S</w:t>
      </w:r>
      <w:r>
        <w:rPr>
          <w:rFonts w:ascii="Times New Roman" w:hAnsi="Times New Roman" w:cs="Times New Roman"/>
          <w:bCs/>
        </w:rPr>
        <w:t xml:space="preserve">upplementary Table S1 Primers for </w:t>
      </w:r>
      <w:r>
        <w:rPr>
          <w:rFonts w:ascii="Times New Roman" w:hAnsi="Times New Roman" w:cs="Times New Roman"/>
          <w:bCs/>
          <w:i/>
          <w:iCs/>
        </w:rPr>
        <w:t>GmACS</w:t>
      </w:r>
      <w:r>
        <w:rPr>
          <w:rFonts w:ascii="Times New Roman" w:hAnsi="Times New Roman" w:cs="Times New Roman"/>
          <w:bCs/>
        </w:rPr>
        <w:t xml:space="preserve"> genes expression analysis used in q</w:t>
      </w:r>
      <w:r>
        <w:rPr>
          <w:rFonts w:hint="eastAsia" w:ascii="Times New Roman" w:hAnsi="Times New Roman" w:cs="Times New Roman"/>
          <w:bCs/>
        </w:rPr>
        <w:t>R</w:t>
      </w:r>
      <w:r>
        <w:rPr>
          <w:rFonts w:ascii="Times New Roman" w:hAnsi="Times New Roman" w:cs="Times New Roman"/>
          <w:bCs/>
        </w:rPr>
        <w:t>T-PCR</w:t>
      </w:r>
    </w:p>
    <w:tbl>
      <w:tblPr>
        <w:tblStyle w:val="5"/>
        <w:tblW w:w="4887"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19"/>
        <w:gridCol w:w="581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tcBorders>
              <w:top w:val="single" w:color="auto" w:sz="4" w:space="0"/>
              <w:bottom w:val="single" w:color="auto" w:sz="4" w:space="0"/>
            </w:tcBorders>
            <w:vAlign w:val="center"/>
          </w:tcPr>
          <w:p>
            <w:pPr>
              <w:spacing w:line="276" w:lineRule="auto"/>
              <w:jc w:val="center"/>
              <w:rPr>
                <w:rFonts w:ascii="Times New Roman" w:hAnsi="Times New Roman" w:cs="Times New Roman"/>
                <w:b/>
              </w:rPr>
            </w:pPr>
            <w:r>
              <w:rPr>
                <w:rFonts w:hint="eastAsia" w:ascii="Times New Roman" w:hAnsi="Times New Roman" w:cs="Times New Roman"/>
                <w:b/>
              </w:rPr>
              <w:t>P</w:t>
            </w:r>
            <w:r>
              <w:rPr>
                <w:rFonts w:ascii="Times New Roman" w:hAnsi="Times New Roman" w:cs="Times New Roman"/>
                <w:b/>
              </w:rPr>
              <w:t>rimers</w:t>
            </w:r>
          </w:p>
        </w:tc>
        <w:tc>
          <w:tcPr>
            <w:tcW w:w="3488" w:type="pct"/>
            <w:tcBorders>
              <w:top w:val="single" w:color="auto" w:sz="4" w:space="0"/>
              <w:bottom w:val="single" w:color="auto" w:sz="4" w:space="0"/>
            </w:tcBorders>
            <w:vAlign w:val="center"/>
          </w:tcPr>
          <w:p>
            <w:pPr>
              <w:spacing w:line="276" w:lineRule="auto"/>
              <w:jc w:val="center"/>
              <w:rPr>
                <w:rFonts w:ascii="Times New Roman" w:hAnsi="Times New Roman" w:cs="Times New Roman"/>
                <w:b/>
              </w:rPr>
            </w:pPr>
            <w:r>
              <w:rPr>
                <w:rFonts w:ascii="Times New Roman" w:hAnsi="Times New Roman" w:cs="Times New Roman"/>
                <w:b/>
              </w:rPr>
              <w:t xml:space="preserve">Sequences </w:t>
            </w:r>
            <w:r>
              <w:rPr>
                <w:rFonts w:hint="eastAsia" w:ascii="Times New Roman" w:hAnsi="Times New Roman" w:cs="Times New Roman"/>
                <w:b/>
              </w:rPr>
              <w:t>(</w:t>
            </w:r>
            <w:r>
              <w:rPr>
                <w:rFonts w:ascii="Times New Roman" w:hAnsi="Times New Roman" w:cs="Times New Roman"/>
                <w:b/>
              </w:rPr>
              <w:t>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tcBorders>
              <w:top w:val="single" w:color="auto" w:sz="4" w:space="0"/>
            </w:tcBorders>
            <w:vAlign w:val="center"/>
          </w:tcPr>
          <w:p>
            <w:pPr>
              <w:spacing w:line="276" w:lineRule="auto"/>
              <w:jc w:val="center"/>
              <w:rPr>
                <w:rFonts w:ascii="Times New Roman" w:hAnsi="Times New Roman" w:cs="Times New Roman"/>
                <w:bCs/>
              </w:rPr>
            </w:pPr>
            <w:r>
              <w:rPr>
                <w:rFonts w:ascii="Times New Roman" w:hAnsi="Times New Roman" w:cs="Times New Roman"/>
                <w:bCs/>
                <w:i/>
                <w:iCs/>
              </w:rPr>
              <w:t>GmACS1</w:t>
            </w:r>
            <w:r>
              <w:rPr>
                <w:rFonts w:ascii="Times New Roman" w:hAnsi="Times New Roman" w:cs="Times New Roman"/>
                <w:bCs/>
              </w:rPr>
              <w:t>-F</w:t>
            </w:r>
          </w:p>
        </w:tc>
        <w:tc>
          <w:tcPr>
            <w:tcW w:w="3488" w:type="pct"/>
            <w:tcBorders>
              <w:top w:val="single" w:color="auto" w:sz="4" w:space="0"/>
            </w:tcBorders>
            <w:vAlign w:val="center"/>
          </w:tcPr>
          <w:p>
            <w:pPr>
              <w:spacing w:line="276" w:lineRule="auto"/>
              <w:jc w:val="center"/>
              <w:rPr>
                <w:rFonts w:ascii="Times New Roman" w:hAnsi="Times New Roman" w:cs="Times New Roman"/>
                <w:bCs/>
                <w:i/>
                <w:iCs/>
              </w:rPr>
            </w:pPr>
            <w:r>
              <w:rPr>
                <w:rFonts w:ascii="Times New Roman" w:hAnsi="Times New Roman" w:cs="Times New Roman"/>
                <w:bCs/>
                <w:i/>
                <w:iCs/>
              </w:rPr>
              <w:t>CATAAAGACCAACAGAGAGAGGCT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CTTCCCTTCCTTTTGGCTTATTC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GmACS2/16</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CGATGAGGTTCTGAATCCCAA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GmACS2/16</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TGGATTTGCCTTCGCTTTTG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GmACS3</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CTTCCCACAAGGACCAGGAC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GmACS3</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ATCAAGTCAAGAGATAGGGTGTTTT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GmACS4</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GTCGTCACTGACAACGGAGTCT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GmACS4</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TGAAATACCGGTTTTCAATAGCC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GmACS6/11</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TGATGAATTAACAAACTCCTCCG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GmACS6/11</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GCCATTGCTGTTCTGAATGAT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GmACS7</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ACCGGGAAATAAAAGAAGAAAATAT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GmACS7</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TCCATCTTTCTTCATCCCTACT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GmACS8/17</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GTGCATCAGTTCAGAAATATTGCTA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GmACS8/17</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AAGCAGAACATGATTAGTTCATTTG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GmACS9</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TATCAGGACCAACAGGGAGAGG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GmACS9</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ACCTAGTTCCCTTGATCCTTTGG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GmACS12</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AGAGAGCCCTTCTTCTTCATTCTC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GmACS12</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AAGAAGAGGGGGAGGGAGG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GmACS13</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GCCTGGTTGGTATAGGGTGTG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GmACS13</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GAATGGGGTGACATCATGTGAG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GmACS14</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CTTGCGTCGTCTTTTGAAGAAG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GmACS14</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GATTTCTTGGCTTCGGTGTTCT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GmACS15</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CCAAAACAACCACAAGGACGA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GmACS15</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AGGAGACACGTAAGCGGAGG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GmACS18</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ACAGAACCACCCTTCTTCTTCG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GmACS18</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GGAGGGTGGGTTCGGAGG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GmACS19</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CAACTTCCAAATCACGGAGGC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GmACS19</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CCGTCAGTGACGTCGTTTCG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GmACS20</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GCCTGGTTGGTATAGGGTGTG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GmACS20</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TGAGGCATTGGTGAATGAGGT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GmActin</w:t>
            </w:r>
            <w:r>
              <w:rPr>
                <w:rFonts w:ascii="Times New Roman" w:hAnsi="Times New Roman" w:cs="Times New Roman"/>
                <w:bCs/>
              </w:rPr>
              <w:t>-F</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GAGCTATGAATTGCCTGATGG</w:t>
            </w:r>
          </w:p>
        </w:tc>
      </w:tr>
      <w:tr>
        <w:tblPrEx>
          <w:tblCellMar>
            <w:top w:w="0" w:type="dxa"/>
            <w:left w:w="108" w:type="dxa"/>
            <w:bottom w:w="0" w:type="dxa"/>
            <w:right w:w="108" w:type="dxa"/>
          </w:tblCellMar>
        </w:tblPrEx>
        <w:tc>
          <w:tcPr>
            <w:tcW w:w="1512" w:type="pct"/>
            <w:vAlign w:val="center"/>
          </w:tcPr>
          <w:p>
            <w:pPr>
              <w:spacing w:line="276" w:lineRule="auto"/>
              <w:jc w:val="center"/>
              <w:rPr>
                <w:rFonts w:ascii="Times New Roman" w:hAnsi="Times New Roman" w:cs="Times New Roman"/>
                <w:bCs/>
              </w:rPr>
            </w:pPr>
            <w:r>
              <w:rPr>
                <w:rFonts w:ascii="Times New Roman" w:hAnsi="Times New Roman" w:cs="Times New Roman"/>
                <w:bCs/>
                <w:i/>
                <w:iCs/>
              </w:rPr>
              <w:t>GmActin</w:t>
            </w:r>
            <w:r>
              <w:rPr>
                <w:rFonts w:ascii="Times New Roman" w:hAnsi="Times New Roman" w:cs="Times New Roman"/>
                <w:bCs/>
              </w:rPr>
              <w:t>-R</w:t>
            </w:r>
          </w:p>
        </w:tc>
        <w:tc>
          <w:tcPr>
            <w:tcW w:w="3488" w:type="pct"/>
            <w:vAlign w:val="center"/>
          </w:tcPr>
          <w:p>
            <w:pPr>
              <w:spacing w:line="276" w:lineRule="auto"/>
              <w:jc w:val="center"/>
              <w:rPr>
                <w:rFonts w:ascii="Times New Roman" w:hAnsi="Times New Roman" w:cs="Times New Roman"/>
                <w:bCs/>
                <w:i/>
                <w:iCs/>
              </w:rPr>
            </w:pPr>
            <w:r>
              <w:rPr>
                <w:rFonts w:ascii="Times New Roman" w:hAnsi="Times New Roman" w:cs="Times New Roman"/>
                <w:bCs/>
                <w:i/>
                <w:iCs/>
              </w:rPr>
              <w:t>CGTTTCATGAATTCCAGTAGC</w:t>
            </w:r>
          </w:p>
        </w:tc>
      </w:tr>
    </w:tbl>
    <w:p>
      <w:pPr>
        <w:spacing w:line="276" w:lineRule="auto"/>
        <w:rPr>
          <w:rFonts w:ascii="Times New Roman" w:hAnsi="Times New Roman" w:cs="Times New Roman"/>
          <w:b/>
        </w:rPr>
      </w:pPr>
    </w:p>
    <w:p>
      <w:pPr>
        <w:jc w:val="left"/>
        <w:rPr>
          <w:rFonts w:ascii="Times New Roman" w:hAnsi="Times New Roman" w:eastAsia="宋体" w:cs="Times New Roman"/>
          <w:szCs w:val="21"/>
        </w:rPr>
      </w:pPr>
    </w:p>
    <w:p>
      <w:pPr>
        <w:jc w:val="left"/>
        <w:rPr>
          <w:rFonts w:ascii="Times New Roman" w:hAnsi="Times New Roman" w:eastAsia="宋体" w:cs="Times New Roman"/>
          <w:szCs w:val="21"/>
        </w:rPr>
      </w:pPr>
      <w:r>
        <w:rPr>
          <w:rFonts w:ascii="Times New Roman" w:hAnsi="Times New Roman" w:eastAsia="宋体" w:cs="Times New Roman"/>
          <w:szCs w:val="21"/>
        </w:rPr>
        <w:t>Supplementary Table S2 Conserved motifs in GmACSs protein sequences</w:t>
      </w:r>
    </w:p>
    <w:tbl>
      <w:tblPr>
        <w:tblStyle w:val="5"/>
        <w:tblW w:w="499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5530"/>
        <w:gridCol w:w="851"/>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single" w:color="auto" w:sz="8" w:space="0"/>
              <w:left w:val="nil"/>
              <w:bottom w:val="single" w:color="auto" w:sz="6"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Motif ID</w:t>
            </w:r>
          </w:p>
        </w:tc>
        <w:tc>
          <w:tcPr>
            <w:tcW w:w="3250" w:type="pct"/>
            <w:tcBorders>
              <w:top w:val="single" w:color="auto" w:sz="8" w:space="0"/>
              <w:left w:val="nil"/>
              <w:bottom w:val="single" w:color="auto" w:sz="6"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Motif Sequences</w:t>
            </w:r>
          </w:p>
        </w:tc>
        <w:tc>
          <w:tcPr>
            <w:tcW w:w="500" w:type="pct"/>
            <w:tcBorders>
              <w:top w:val="single" w:color="auto" w:sz="8" w:space="0"/>
              <w:left w:val="nil"/>
              <w:bottom w:val="single" w:color="auto" w:sz="6"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Sites</w:t>
            </w:r>
          </w:p>
        </w:tc>
        <w:tc>
          <w:tcPr>
            <w:tcW w:w="500" w:type="pct"/>
            <w:tcBorders>
              <w:top w:val="single" w:color="auto" w:sz="8" w:space="0"/>
              <w:left w:val="nil"/>
              <w:bottom w:val="single" w:color="auto" w:sz="6"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Width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single" w:color="auto" w:sz="6" w:space="0"/>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1</w:t>
            </w:r>
          </w:p>
        </w:tc>
        <w:tc>
          <w:tcPr>
            <w:tcW w:w="3250" w:type="pct"/>
            <w:tcBorders>
              <w:top w:val="single" w:color="auto" w:sz="6" w:space="0"/>
              <w:left w:val="nil"/>
              <w:bottom w:val="nil"/>
              <w:right w:val="nil"/>
            </w:tcBorders>
            <w:vAlign w:val="center"/>
          </w:tcPr>
          <w:p>
            <w:pPr>
              <w:jc w:val="left"/>
              <w:rPr>
                <w:rFonts w:ascii="Times New Roman" w:hAnsi="Times New Roman" w:eastAsia="宋体" w:cs="Times New Roman"/>
                <w:szCs w:val="21"/>
              </w:rPr>
            </w:pPr>
            <w:r>
              <w:rPr>
                <w:rFonts w:ascii="Times New Roman" w:hAnsi="Times New Roman" w:cs="Times New Roman"/>
                <w:szCs w:val="21"/>
              </w:rPr>
              <w:t>FQDYHGLPEFKNALADFMAQVRGNRVKFDPDRIVLTAGATGANEJLMFCLADPGDAFLVPTPYYPGFDRDLRWRTGVEJVPVHCDSSNNFQJTREALEQAYKKAKERNJKVKGVLITNPSNPLGTTMDRSTLNSLVDFINEKN</w:t>
            </w:r>
          </w:p>
        </w:tc>
        <w:tc>
          <w:tcPr>
            <w:tcW w:w="500" w:type="pct"/>
            <w:tcBorders>
              <w:top w:val="single" w:color="auto" w:sz="6" w:space="0"/>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c>
          <w:tcPr>
            <w:tcW w:w="500" w:type="pct"/>
            <w:tcBorders>
              <w:top w:val="single" w:color="auto" w:sz="6" w:space="0"/>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2</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REYCDRBRVHIVYSLSKDLGLPGFRVGIIYSYNDAVVAAARKMSSFGLVSSQTQYLLASMLSDKKFVENYJEENRKRLKKRHRMFVSGLEKVGIECL</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3</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EGEMELWRVIJHEVKJNISPGSSCHCSEPGWFRVCFANMSEETVEVALERIRAFVEA</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4</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LSKIATNDSHGEBSPYFLGWKAYDENPYHELKNPNGVIQMGLAENQLSFDLJEEW</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5</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IHLVSDEIYSGTVFSSPSFVSVAEILEE</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16</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6</w:t>
            </w:r>
          </w:p>
        </w:tc>
        <w:tc>
          <w:tcPr>
            <w:tcW w:w="3250" w:type="pct"/>
            <w:tcBorders>
              <w:top w:val="nil"/>
              <w:left w:val="nil"/>
              <w:bottom w:val="nil"/>
              <w:right w:val="nil"/>
            </w:tcBorders>
            <w:vAlign w:val="center"/>
          </w:tcPr>
          <w:p>
            <w:pPr>
              <w:widowControl/>
              <w:jc w:val="left"/>
              <w:rPr>
                <w:rFonts w:ascii="Times New Roman" w:hAnsi="Times New Roman" w:cs="Times New Roman"/>
                <w:szCs w:val="21"/>
              </w:rPr>
            </w:pPr>
            <w:r>
              <w:rPr>
                <w:rFonts w:ascii="Times New Roman" w:hAnsi="Times New Roman" w:cs="Times New Roman"/>
                <w:szCs w:val="21"/>
              </w:rPr>
              <w:t>KSNAGLFCWMBLRQLLKSPT</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7</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NPDAAICTPEGVNIFREIAL</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16</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8</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MKLIVPLQGVVQGRGGLFWGSLIPCALFYFLQLYLKRKRSNHPPPSPS</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9</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RRFDESVMSPHSPIPQSPLVKAT</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7</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10</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GKSPKRKKLWKSNLRLSFRD</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10</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11</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IHIIADEVFAGSSYGNEEFV</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12</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MTQSRKPRKPNPQAREAQZNP</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13</w:t>
            </w:r>
          </w:p>
        </w:tc>
        <w:tc>
          <w:tcPr>
            <w:tcW w:w="3250" w:type="pct"/>
            <w:tcBorders>
              <w:top w:val="nil"/>
              <w:left w:val="nil"/>
              <w:bottom w:val="nil"/>
              <w:right w:val="nil"/>
            </w:tcBorders>
            <w:vAlign w:val="center"/>
          </w:tcPr>
          <w:p>
            <w:pPr>
              <w:widowControl/>
              <w:jc w:val="left"/>
              <w:rPr>
                <w:rFonts w:ascii="Times New Roman" w:hAnsi="Times New Roman" w:cs="Times New Roman"/>
                <w:szCs w:val="21"/>
              </w:rPr>
            </w:pPr>
            <w:r>
              <w:rPr>
                <w:rFonts w:ascii="Times New Roman" w:hAnsi="Times New Roman" w:cs="Times New Roman"/>
                <w:szCs w:val="21"/>
              </w:rPr>
              <w:t>RNLGGSAVGGVPLGINGIVP</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14</w:t>
            </w:r>
          </w:p>
        </w:tc>
        <w:tc>
          <w:tcPr>
            <w:tcW w:w="3250" w:type="pct"/>
            <w:tcBorders>
              <w:top w:val="nil"/>
              <w:left w:val="nil"/>
              <w:bottom w:val="nil"/>
              <w:right w:val="nil"/>
            </w:tcBorders>
            <w:vAlign w:val="center"/>
          </w:tcPr>
          <w:p>
            <w:pPr>
              <w:jc w:val="left"/>
              <w:rPr>
                <w:rFonts w:ascii="Times New Roman" w:hAnsi="Times New Roman" w:cs="Times New Roman"/>
                <w:szCs w:val="21"/>
              </w:rPr>
            </w:pPr>
            <w:r>
              <w:rPr>
                <w:rFonts w:ascii="Times New Roman" w:hAnsi="Times New Roman" w:cs="Times New Roman"/>
                <w:szCs w:val="21"/>
              </w:rPr>
              <w:t>KDDDSTSFHRSLSSNHRHST</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00" w:type="pct"/>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0" w:type="pct"/>
            <w:tcBorders>
              <w:top w:val="nil"/>
              <w:left w:val="nil"/>
              <w:bottom w:val="single" w:color="auto" w:sz="8" w:space="0"/>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Motif 15</w:t>
            </w:r>
          </w:p>
        </w:tc>
        <w:tc>
          <w:tcPr>
            <w:tcW w:w="3250" w:type="pct"/>
            <w:tcBorders>
              <w:top w:val="nil"/>
              <w:left w:val="nil"/>
              <w:bottom w:val="single" w:color="auto" w:sz="8" w:space="0"/>
              <w:right w:val="nil"/>
            </w:tcBorders>
            <w:vAlign w:val="center"/>
          </w:tcPr>
          <w:p>
            <w:pPr>
              <w:jc w:val="left"/>
              <w:rPr>
                <w:rFonts w:ascii="Times New Roman" w:hAnsi="Times New Roman" w:cs="Times New Roman"/>
                <w:szCs w:val="21"/>
              </w:rPr>
            </w:pPr>
            <w:r>
              <w:rPr>
                <w:rFonts w:ascii="Times New Roman" w:hAnsi="Times New Roman" w:cs="Times New Roman"/>
                <w:szCs w:val="21"/>
              </w:rPr>
              <w:t>TLPRTSSRSNLSTRGSISRV</w:t>
            </w:r>
          </w:p>
        </w:tc>
        <w:tc>
          <w:tcPr>
            <w:tcW w:w="500" w:type="pct"/>
            <w:tcBorders>
              <w:top w:val="nil"/>
              <w:left w:val="nil"/>
              <w:bottom w:val="single" w:color="auto" w:sz="8" w:space="0"/>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500" w:type="pct"/>
            <w:tcBorders>
              <w:top w:val="nil"/>
              <w:left w:val="nil"/>
              <w:bottom w:val="single" w:color="auto" w:sz="8" w:space="0"/>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w:t>
            </w:r>
          </w:p>
        </w:tc>
      </w:tr>
    </w:tbl>
    <w:p>
      <w:pPr>
        <w:ind w:firstLine="210" w:firstLineChars="100"/>
        <w:rPr>
          <w:rFonts w:ascii="Times New Roman" w:hAnsi="Times New Roman" w:eastAsia="宋体" w:cs="Times New Roman"/>
          <w:szCs w:val="21"/>
        </w:rPr>
      </w:pPr>
    </w:p>
    <w:p>
      <w:pPr>
        <w:spacing w:line="360" w:lineRule="auto"/>
        <w:rPr>
          <w:rFonts w:ascii="Times New Roman" w:hAnsi="Times New Roman" w:cs="Times New Roman"/>
          <w:bCs/>
        </w:rPr>
      </w:pPr>
    </w:p>
    <w:p>
      <w:pPr>
        <w:spacing w:line="360" w:lineRule="auto"/>
        <w:rPr>
          <w:rFonts w:ascii="Times New Roman" w:hAnsi="Times New Roman" w:cs="Times New Roman"/>
          <w:bCs/>
        </w:rPr>
      </w:pPr>
    </w:p>
    <w:p>
      <w:pPr>
        <w:spacing w:line="360" w:lineRule="auto"/>
        <w:rPr>
          <w:rFonts w:ascii="Times New Roman" w:hAnsi="Times New Roman" w:cs="Times New Roman"/>
          <w:bCs/>
        </w:rPr>
      </w:pPr>
    </w:p>
    <w:p>
      <w:pPr>
        <w:spacing w:line="360" w:lineRule="auto"/>
        <w:rPr>
          <w:rFonts w:ascii="Times New Roman" w:hAnsi="Times New Roman" w:cs="Times New Roman"/>
          <w:bCs/>
        </w:rPr>
      </w:pPr>
    </w:p>
    <w:p>
      <w:pPr>
        <w:spacing w:line="360" w:lineRule="auto"/>
        <w:rPr>
          <w:rFonts w:ascii="Times New Roman" w:hAnsi="Times New Roman" w:cs="Times New Roman"/>
          <w:bCs/>
        </w:rPr>
      </w:pPr>
      <w:r>
        <w:drawing>
          <wp:inline distT="0" distB="0" distL="0" distR="0">
            <wp:extent cx="5274310" cy="382270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822700"/>
                    </a:xfrm>
                    <a:prstGeom prst="rect">
                      <a:avLst/>
                    </a:prstGeom>
                    <a:noFill/>
                    <a:ln>
                      <a:noFill/>
                    </a:ln>
                  </pic:spPr>
                </pic:pic>
              </a:graphicData>
            </a:graphic>
          </wp:inline>
        </w:drawing>
      </w:r>
    </w:p>
    <w:p>
      <w:pPr>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 xml:space="preserve">upplementary Figure S1 The transmembrane region prediction in GmACSs proteins using Bioedit. Four GmACS proteins (GmACS3, GmACS 12, GmACS15 and GmACS 18) in (A) found a characteristic transmembrane region in their N-terminal, respectively and the others in (B) did not found. </w:t>
      </w:r>
    </w:p>
    <w:p>
      <w:pPr>
        <w:spacing w:line="360" w:lineRule="auto"/>
        <w:rPr>
          <w:rFonts w:ascii="Times New Roman" w:hAnsi="Times New Roman" w:cs="Times New Roman"/>
          <w:bCs/>
        </w:rPr>
      </w:pPr>
    </w:p>
    <w:p>
      <w:pPr>
        <w:spacing w:line="360" w:lineRule="auto"/>
        <w:rPr>
          <w:rFonts w:ascii="Times New Roman" w:hAnsi="Times New Roman" w:cs="Times New Roman"/>
          <w:bCs/>
        </w:rPr>
      </w:pPr>
    </w:p>
    <w:p>
      <w:pPr>
        <w:spacing w:line="360" w:lineRule="auto"/>
        <w:rPr>
          <w:rFonts w:ascii="Times New Roman" w:hAnsi="Times New Roman" w:cs="Times New Roman"/>
          <w:bCs/>
        </w:rPr>
      </w:pPr>
    </w:p>
    <w:p>
      <w:pPr>
        <w:spacing w:line="360" w:lineRule="auto"/>
        <w:rPr>
          <w:rFonts w:ascii="Times New Roman" w:hAnsi="Times New Roman" w:cs="Times New Roman"/>
          <w:bCs/>
        </w:rPr>
      </w:pPr>
    </w:p>
    <w:p>
      <w:pPr>
        <w:rPr>
          <w:rFonts w:ascii="Times New Roman" w:hAnsi="Times New Roman" w:cs="Times New Roman"/>
        </w:rPr>
      </w:pPr>
    </w:p>
    <w:p>
      <w:pPr>
        <w:rPr>
          <w:rFonts w:ascii="Times New Roman" w:hAnsi="Times New Roman" w:cs="Times New Roman"/>
        </w:rPr>
      </w:pPr>
      <w:r>
        <w:drawing>
          <wp:inline distT="0" distB="0" distL="0" distR="0">
            <wp:extent cx="5253355" cy="3769995"/>
            <wp:effectExtent l="0" t="0" r="444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60389" cy="3775081"/>
                    </a:xfrm>
                    <a:prstGeom prst="rect">
                      <a:avLst/>
                    </a:prstGeom>
                    <a:noFill/>
                    <a:ln>
                      <a:noFill/>
                    </a:ln>
                  </pic:spPr>
                </pic:pic>
              </a:graphicData>
            </a:graphic>
          </wp:inline>
        </w:drawing>
      </w:r>
    </w:p>
    <w:p>
      <w:pPr>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upplementary Figure S2 Prediction of proteins (GmACS1 - GmACS4) association network. The predication carried out using STRING (</w:t>
      </w:r>
      <w:r>
        <w:rPr>
          <w:rFonts w:hint="eastAsia" w:ascii="Times New Roman" w:hAnsi="Times New Roman" w:cs="Times New Roman"/>
        </w:rPr>
        <w:t>str</w:t>
      </w:r>
      <w:r>
        <w:rPr>
          <w:rFonts w:ascii="Times New Roman" w:hAnsi="Times New Roman" w:cs="Times New Roman"/>
        </w:rPr>
        <w:t xml:space="preserve">ing-db.org) online tool. The nodes with diverse colors presented proteins. The lines represent protein-protein associations. And the cyan and purple line represent known interactions from curated database and experimentally determined, respectively. The green, red and blue lines represented predicted interactions with gene neighborhood, gene fusions and gene co-occurrence, respectively. The fluorescent green, black and mauve lines represented other associations including text mining, co-expression and protein homology, respectively. </w:t>
      </w:r>
    </w:p>
    <w:p>
      <w:pPr>
        <w:rPr>
          <w:rFonts w:ascii="Times New Roman" w:hAnsi="Times New Roman" w:cs="Times New Roman"/>
        </w:rPr>
      </w:pPr>
      <w:r>
        <w:drawing>
          <wp:inline distT="0" distB="0" distL="0" distR="0">
            <wp:extent cx="5274310" cy="377444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3774440"/>
                    </a:xfrm>
                    <a:prstGeom prst="rect">
                      <a:avLst/>
                    </a:prstGeom>
                    <a:noFill/>
                    <a:ln>
                      <a:noFill/>
                    </a:ln>
                  </pic:spPr>
                </pic:pic>
              </a:graphicData>
            </a:graphic>
          </wp:inline>
        </w:drawing>
      </w:r>
    </w:p>
    <w:p>
      <w:pPr>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upplementary Figure S3 Prediction of proteins (GmACS5 – GmACS8) association network. The predication carried out using STRING (</w:t>
      </w:r>
      <w:r>
        <w:rPr>
          <w:rFonts w:hint="eastAsia" w:ascii="Times New Roman" w:hAnsi="Times New Roman" w:cs="Times New Roman"/>
        </w:rPr>
        <w:t>str</w:t>
      </w:r>
      <w:r>
        <w:rPr>
          <w:rFonts w:ascii="Times New Roman" w:hAnsi="Times New Roman" w:cs="Times New Roman"/>
        </w:rPr>
        <w:t xml:space="preserve">ing-db.org) online tool. The nodes with diverse colors presented proteins. The lines represent protein-protein associations. And the cyan and purple line represent known interactions from curated database and experimentally determined, respectively. The green, red and blue lines represented predicted interactions with gene neighborhood, gene fusions and gene co-occurrence, respectively. The fluorescent green, black and mauve lines represented other associations including text mining, co-expression and protein homology, respectively. </w:t>
      </w:r>
    </w:p>
    <w:p>
      <w:pPr>
        <w:rPr>
          <w:rFonts w:ascii="Times New Roman" w:hAnsi="Times New Roman" w:cs="Times New Roman"/>
        </w:rPr>
      </w:pPr>
      <w:r>
        <w:drawing>
          <wp:inline distT="0" distB="0" distL="0" distR="0">
            <wp:extent cx="5274310" cy="3764915"/>
            <wp:effectExtent l="0" t="0" r="254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3764915"/>
                    </a:xfrm>
                    <a:prstGeom prst="rect">
                      <a:avLst/>
                    </a:prstGeom>
                    <a:noFill/>
                    <a:ln>
                      <a:noFill/>
                    </a:ln>
                  </pic:spPr>
                </pic:pic>
              </a:graphicData>
            </a:graphic>
          </wp:inline>
        </w:drawing>
      </w:r>
    </w:p>
    <w:p>
      <w:pPr>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upplementary Figure S4 Prediction of proteins (GmACS9 – GmACS12) association network. The predication carried out using STRING (</w:t>
      </w:r>
      <w:r>
        <w:rPr>
          <w:rFonts w:hint="eastAsia" w:ascii="Times New Roman" w:hAnsi="Times New Roman" w:cs="Times New Roman"/>
        </w:rPr>
        <w:t>str</w:t>
      </w:r>
      <w:r>
        <w:rPr>
          <w:rFonts w:ascii="Times New Roman" w:hAnsi="Times New Roman" w:cs="Times New Roman"/>
        </w:rPr>
        <w:t xml:space="preserve">ing-db.org) online tool. The nodes with diverse colors presented proteins. The lines represent protein-protein associations. And the cyan and purple line represent known interactions from curated database and experimentally determined, respectively. The green, red and blue lines represented predicted interactions with gene neighborhood, gene fusions and gene co-occurrence, respectively. The fluorescent green, black and mauve lines represented other associations including text mining, co-expression and protein homology, respectively. </w:t>
      </w:r>
    </w:p>
    <w:p>
      <w:pPr>
        <w:rPr>
          <w:rFonts w:ascii="Times New Roman" w:hAnsi="Times New Roman" w:cs="Times New Roman"/>
        </w:rPr>
      </w:pPr>
    </w:p>
    <w:p>
      <w:pPr>
        <w:rPr>
          <w:rFonts w:ascii="Times New Roman" w:hAnsi="Times New Roman" w:cs="Times New Roman"/>
        </w:rPr>
      </w:pPr>
      <w:r>
        <w:drawing>
          <wp:inline distT="0" distB="0" distL="0" distR="0">
            <wp:extent cx="5274310" cy="3764915"/>
            <wp:effectExtent l="0" t="0" r="254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764915"/>
                    </a:xfrm>
                    <a:prstGeom prst="rect">
                      <a:avLst/>
                    </a:prstGeom>
                    <a:noFill/>
                    <a:ln>
                      <a:noFill/>
                    </a:ln>
                  </pic:spPr>
                </pic:pic>
              </a:graphicData>
            </a:graphic>
          </wp:inline>
        </w:drawing>
      </w:r>
    </w:p>
    <w:p>
      <w:pPr>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upplementary Figure S5 Prediction of proteins (GmACS13 – GmACS16) association network. The predication carried out using STRING (</w:t>
      </w:r>
      <w:r>
        <w:rPr>
          <w:rFonts w:hint="eastAsia" w:ascii="Times New Roman" w:hAnsi="Times New Roman" w:cs="Times New Roman"/>
        </w:rPr>
        <w:t>str</w:t>
      </w:r>
      <w:r>
        <w:rPr>
          <w:rFonts w:ascii="Times New Roman" w:hAnsi="Times New Roman" w:cs="Times New Roman"/>
        </w:rPr>
        <w:t xml:space="preserve">ing-db.org) online tool. The nodes with diverse colors presented proteins. The lines represent protein-protein associations. And the cyan and purple line represent known interactions from curated database and experimentally determined, respectively. The green, red and blue lines represented predicted interactions with gene neighborhood, gene fusions and gene co-occurrence, respectively. The fluorescent green, black and mauve lines represented other associations including text mining, co-expression and protein homology, respectively. </w:t>
      </w:r>
    </w:p>
    <w:p>
      <w:pPr>
        <w:rPr>
          <w:rFonts w:ascii="Times New Roman" w:hAnsi="Times New Roman" w:cs="Times New Roman"/>
        </w:rPr>
      </w:pPr>
    </w:p>
    <w:p>
      <w:pPr>
        <w:rPr>
          <w:rFonts w:ascii="Times New Roman" w:hAnsi="Times New Roman" w:cs="Times New Roman"/>
        </w:rPr>
      </w:pPr>
      <w:r>
        <w:drawing>
          <wp:inline distT="0" distB="0" distL="0" distR="0">
            <wp:extent cx="5274310" cy="3787775"/>
            <wp:effectExtent l="0" t="0" r="254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3787775"/>
                    </a:xfrm>
                    <a:prstGeom prst="rect">
                      <a:avLst/>
                    </a:prstGeom>
                    <a:noFill/>
                    <a:ln>
                      <a:noFill/>
                    </a:ln>
                  </pic:spPr>
                </pic:pic>
              </a:graphicData>
            </a:graphic>
          </wp:inline>
        </w:drawing>
      </w:r>
    </w:p>
    <w:p>
      <w:pPr>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upplementary Figure S6 Prediction of proteins (GmACS17 – GmACS20) association network. The predication carried out using STRING (</w:t>
      </w:r>
      <w:r>
        <w:rPr>
          <w:rFonts w:hint="eastAsia" w:ascii="Times New Roman" w:hAnsi="Times New Roman" w:cs="Times New Roman"/>
        </w:rPr>
        <w:t>str</w:t>
      </w:r>
      <w:r>
        <w:rPr>
          <w:rFonts w:ascii="Times New Roman" w:hAnsi="Times New Roman" w:cs="Times New Roman"/>
        </w:rPr>
        <w:t xml:space="preserve">ing-db.org) online tool. The nodes with diverse colors presented proteins. The lines represent protein-protein associations. And the cyan and purple line represent known interactions from curated database and experimentally determined, respectively. The green, red and blue lines represented predicted interactions with gene neighborhood, gene fusions and gene co-occurrence, respectively. The fluorescent green, black and mauve lines represented other associations including text mining, co-expression and protein homology, respectively. </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0Y2VkYzQ0NTNlMDM2ZGM1ZThmNTJmZDA2YjU4ZTQifQ=="/>
  </w:docVars>
  <w:rsids>
    <w:rsidRoot w:val="00E225A3"/>
    <w:rsid w:val="000B6FF0"/>
    <w:rsid w:val="00126F6A"/>
    <w:rsid w:val="001368C5"/>
    <w:rsid w:val="001F73A5"/>
    <w:rsid w:val="002800BE"/>
    <w:rsid w:val="003D4D29"/>
    <w:rsid w:val="004542E6"/>
    <w:rsid w:val="004837E5"/>
    <w:rsid w:val="004A4CC4"/>
    <w:rsid w:val="00521399"/>
    <w:rsid w:val="005A34FF"/>
    <w:rsid w:val="005B1124"/>
    <w:rsid w:val="005C7F29"/>
    <w:rsid w:val="006335F4"/>
    <w:rsid w:val="006A641E"/>
    <w:rsid w:val="00703DD4"/>
    <w:rsid w:val="00715E89"/>
    <w:rsid w:val="00750F68"/>
    <w:rsid w:val="00780348"/>
    <w:rsid w:val="00835C8D"/>
    <w:rsid w:val="008648B7"/>
    <w:rsid w:val="008875F4"/>
    <w:rsid w:val="008A2BAE"/>
    <w:rsid w:val="00986228"/>
    <w:rsid w:val="00996DB2"/>
    <w:rsid w:val="00A42D9C"/>
    <w:rsid w:val="00A55F7B"/>
    <w:rsid w:val="00B10F9A"/>
    <w:rsid w:val="00B35CF5"/>
    <w:rsid w:val="00C70241"/>
    <w:rsid w:val="00C94E1B"/>
    <w:rsid w:val="00CA0B78"/>
    <w:rsid w:val="00D0377E"/>
    <w:rsid w:val="00D92BDC"/>
    <w:rsid w:val="00DB284E"/>
    <w:rsid w:val="00DD48C0"/>
    <w:rsid w:val="00DE0A3A"/>
    <w:rsid w:val="00E077CF"/>
    <w:rsid w:val="00E225A3"/>
    <w:rsid w:val="00E2753B"/>
    <w:rsid w:val="00F7477C"/>
    <w:rsid w:val="00FC2B9A"/>
    <w:rsid w:val="606E4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1008</Words>
  <Characters>5752</Characters>
  <Lines>47</Lines>
  <Paragraphs>13</Paragraphs>
  <TotalTime>0</TotalTime>
  <ScaleCrop>false</ScaleCrop>
  <LinksUpToDate>false</LinksUpToDate>
  <CharactersWithSpaces>6747</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2021-07-24T13:09:00Z</dcterms:created>
  <dc:creator>Windows 用户</dc:creator>
  <cp:lastModifiedBy>张兴政</cp:lastModifiedBy>
  <dcterms:modified xsi:type="dcterms:W3CDTF">2024-04-13T03:00:17Z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7A581E62F13448148E4D8F5B82642C6E_12</vt:lpwstr>
  </property>
</Properties>
</file>