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C63BDA" w14:textId="0361863D" w:rsidR="00D64D47" w:rsidRDefault="00D64D47" w:rsidP="00D64D47">
      <w:pPr>
        <w:spacing w:after="0" w:line="240" w:lineRule="auto"/>
        <w:rPr>
          <w:rFonts w:ascii="Arial" w:hAnsi="Arial" w:cs="Arial"/>
        </w:rPr>
      </w:pPr>
    </w:p>
    <w:p w14:paraId="511CEB47" w14:textId="77777777" w:rsidR="00D64D47" w:rsidRDefault="00D64D47" w:rsidP="00D64D47">
      <w:pPr>
        <w:spacing w:after="0" w:line="240" w:lineRule="auto"/>
        <w:rPr>
          <w:rFonts w:ascii="Arial" w:hAnsi="Arial" w:cs="Arial"/>
        </w:rPr>
      </w:pPr>
    </w:p>
    <w:p w14:paraId="4D77A423" w14:textId="77777777" w:rsidR="00D64D47" w:rsidRDefault="00D64D47" w:rsidP="00D64D47">
      <w:pPr>
        <w:spacing w:after="0" w:line="240" w:lineRule="auto"/>
        <w:rPr>
          <w:rFonts w:ascii="Arial" w:hAnsi="Arial" w:cs="Arial"/>
        </w:rPr>
      </w:pPr>
    </w:p>
    <w:p w14:paraId="215D0B60" w14:textId="77777777" w:rsidR="00D64D47" w:rsidRDefault="00D64D47" w:rsidP="00D64D47">
      <w:pPr>
        <w:spacing w:after="0" w:line="240" w:lineRule="auto"/>
        <w:rPr>
          <w:rFonts w:ascii="Arial" w:hAnsi="Arial" w:cs="Arial"/>
        </w:rPr>
      </w:pPr>
    </w:p>
    <w:p w14:paraId="13700EB5" w14:textId="77777777" w:rsidR="00D64D47" w:rsidRDefault="00D64D47" w:rsidP="00D64D47">
      <w:pPr>
        <w:spacing w:after="0" w:line="240" w:lineRule="auto"/>
        <w:rPr>
          <w:rFonts w:ascii="Arial" w:hAnsi="Arial" w:cs="Arial"/>
          <w:b/>
          <w:bCs/>
        </w:rPr>
      </w:pPr>
    </w:p>
    <w:p w14:paraId="5AF2C487" w14:textId="77777777" w:rsidR="00D64D47" w:rsidRDefault="00D64D47" w:rsidP="00D64D47">
      <w:pPr>
        <w:spacing w:after="0" w:line="240" w:lineRule="auto"/>
        <w:rPr>
          <w:rFonts w:ascii="Arial" w:hAnsi="Arial" w:cs="Arial"/>
          <w:b/>
          <w:bCs/>
          <w:sz w:val="28"/>
          <w:szCs w:val="28"/>
        </w:rPr>
      </w:pPr>
      <w:r w:rsidRPr="00573281">
        <w:rPr>
          <w:rFonts w:ascii="Arial" w:hAnsi="Arial" w:cs="Arial"/>
          <w:b/>
          <w:bCs/>
          <w:sz w:val="28"/>
          <w:szCs w:val="28"/>
        </w:rPr>
        <w:t>Article</w:t>
      </w:r>
    </w:p>
    <w:p w14:paraId="2E6A60EF" w14:textId="77777777" w:rsidR="00D64D47" w:rsidRDefault="00D64D47" w:rsidP="00D64D47">
      <w:pPr>
        <w:spacing w:after="0" w:line="240" w:lineRule="auto"/>
        <w:rPr>
          <w:rFonts w:ascii="Arial" w:hAnsi="Arial" w:cs="Arial"/>
          <w:b/>
          <w:bCs/>
        </w:rPr>
      </w:pPr>
    </w:p>
    <w:p w14:paraId="42158E43" w14:textId="77777777" w:rsidR="00D64D47" w:rsidRDefault="00D64D47" w:rsidP="00D64D47">
      <w:pPr>
        <w:spacing w:after="0" w:line="240" w:lineRule="auto"/>
        <w:rPr>
          <w:rFonts w:ascii="Arial" w:hAnsi="Arial" w:cs="Arial"/>
          <w:b/>
          <w:bCs/>
          <w:sz w:val="16"/>
          <w:szCs w:val="16"/>
        </w:rPr>
      </w:pPr>
    </w:p>
    <w:p w14:paraId="41D9E73B" w14:textId="23D284C1" w:rsidR="001E36B9" w:rsidRDefault="00F06717" w:rsidP="00D95755">
      <w:pPr>
        <w:rPr>
          <w:rFonts w:ascii="Arial" w:hAnsi="Arial" w:cs="Arial"/>
          <w:b/>
          <w:bCs/>
          <w:sz w:val="28"/>
          <w:szCs w:val="28"/>
        </w:rPr>
      </w:pPr>
      <w:r w:rsidRPr="00F06717">
        <w:rPr>
          <w:rFonts w:ascii="Arial" w:hAnsi="Arial" w:cs="Arial"/>
          <w:b/>
          <w:bCs/>
          <w:sz w:val="28"/>
          <w:szCs w:val="28"/>
        </w:rPr>
        <w:t>Agroeconomic and environmental implications of future labor market evolution</w:t>
      </w:r>
    </w:p>
    <w:p w14:paraId="1427C91B" w14:textId="77777777" w:rsidR="00D64D47" w:rsidRDefault="00D64D47" w:rsidP="00D64D47">
      <w:pPr>
        <w:spacing w:after="0" w:line="240" w:lineRule="auto"/>
        <w:rPr>
          <w:rFonts w:ascii="Arial" w:hAnsi="Arial" w:cs="Arial"/>
          <w:b/>
          <w:bCs/>
          <w:sz w:val="16"/>
          <w:szCs w:val="16"/>
        </w:rPr>
      </w:pPr>
    </w:p>
    <w:p w14:paraId="234161C9" w14:textId="77777777" w:rsidR="00D95755" w:rsidRDefault="00D95755" w:rsidP="00D64D47">
      <w:pPr>
        <w:rPr>
          <w:rFonts w:ascii="Arial" w:hAnsi="Arial" w:cs="Arial"/>
          <w:b/>
          <w:bCs/>
          <w:sz w:val="28"/>
          <w:szCs w:val="28"/>
        </w:rPr>
      </w:pPr>
    </w:p>
    <w:p w14:paraId="171D4B34" w14:textId="28677006" w:rsidR="00D64D47" w:rsidRPr="00573281" w:rsidRDefault="00D64D47" w:rsidP="00D64D47">
      <w:pPr>
        <w:rPr>
          <w:rFonts w:ascii="Arial" w:hAnsi="Arial" w:cs="Arial"/>
          <w:b/>
          <w:bCs/>
          <w:sz w:val="28"/>
          <w:szCs w:val="28"/>
        </w:rPr>
      </w:pPr>
      <w:r w:rsidRPr="00573281">
        <w:rPr>
          <w:rFonts w:ascii="Arial" w:hAnsi="Arial" w:cs="Arial"/>
          <w:b/>
          <w:bCs/>
          <w:sz w:val="28"/>
          <w:szCs w:val="28"/>
        </w:rPr>
        <w:t>Supplementary Information</w:t>
      </w:r>
    </w:p>
    <w:p w14:paraId="506B1FE6" w14:textId="77777777" w:rsidR="005B1301" w:rsidRDefault="005B1301">
      <w:pPr>
        <w:rPr>
          <w:rFonts w:ascii="Arial" w:hAnsi="Arial" w:cs="Arial"/>
        </w:rPr>
      </w:pPr>
    </w:p>
    <w:p w14:paraId="26DE48D7" w14:textId="77777777" w:rsidR="005B1301" w:rsidRDefault="005B1301">
      <w:pPr>
        <w:rPr>
          <w:rFonts w:ascii="Arial" w:hAnsi="Arial" w:cs="Arial"/>
        </w:rPr>
      </w:pPr>
    </w:p>
    <w:p w14:paraId="389D348D" w14:textId="0AF52B7C" w:rsidR="001E36B9" w:rsidRPr="001E36B9" w:rsidRDefault="001E36B9" w:rsidP="001E36B9">
      <w:pPr>
        <w:spacing w:line="276" w:lineRule="auto"/>
        <w:rPr>
          <w:rFonts w:ascii="Arial" w:hAnsi="Arial" w:cs="Arial"/>
          <w:sz w:val="24"/>
          <w:szCs w:val="24"/>
        </w:rPr>
      </w:pPr>
      <w:r w:rsidRPr="001E36B9">
        <w:rPr>
          <w:rFonts w:ascii="Arial" w:hAnsi="Arial" w:cs="Arial"/>
          <w:sz w:val="24"/>
          <w:szCs w:val="24"/>
        </w:rPr>
        <w:t>Di Sheng, James A. Edmonds, Pralit Patel, Stephanie T. Waldhoff, Brian C. O’Neill, Marshall A. Wise, Xin Zhao *</w:t>
      </w:r>
      <w:r w:rsidRPr="001E36B9" w:rsidDel="0095358A">
        <w:rPr>
          <w:rFonts w:ascii="Arial" w:hAnsi="Arial" w:cs="Arial"/>
          <w:sz w:val="24"/>
          <w:szCs w:val="24"/>
        </w:rPr>
        <w:t xml:space="preserve"> </w:t>
      </w:r>
    </w:p>
    <w:p w14:paraId="0E3EBB2A" w14:textId="77777777" w:rsidR="001E36B9" w:rsidRPr="001E36B9" w:rsidRDefault="001E36B9" w:rsidP="001E36B9">
      <w:pPr>
        <w:spacing w:line="276" w:lineRule="auto"/>
        <w:rPr>
          <w:rFonts w:ascii="Arial" w:hAnsi="Arial" w:cs="Arial"/>
          <w:sz w:val="24"/>
          <w:szCs w:val="24"/>
        </w:rPr>
      </w:pPr>
    </w:p>
    <w:p w14:paraId="01F5D3E7" w14:textId="4AD62C91" w:rsidR="001E36B9" w:rsidRPr="001E36B9" w:rsidRDefault="001E36B9" w:rsidP="001E36B9">
      <w:pPr>
        <w:spacing w:line="276" w:lineRule="auto"/>
        <w:rPr>
          <w:rFonts w:ascii="Arial" w:hAnsi="Arial" w:cs="Arial"/>
          <w:sz w:val="24"/>
          <w:szCs w:val="24"/>
        </w:rPr>
      </w:pPr>
      <w:r w:rsidRPr="001E36B9">
        <w:rPr>
          <w:rFonts w:ascii="Arial" w:hAnsi="Arial" w:cs="Arial"/>
          <w:sz w:val="24"/>
          <w:szCs w:val="24"/>
        </w:rPr>
        <w:t>Joint Global Change Research Institute, Pacific Northwest National Laboratory, 5825 University Research Ct, College Park, MD 20740.</w:t>
      </w:r>
    </w:p>
    <w:p w14:paraId="4ECEEDC1" w14:textId="77777777" w:rsidR="001E36B9" w:rsidRPr="001E36B9" w:rsidRDefault="001E36B9" w:rsidP="001E36B9">
      <w:pPr>
        <w:spacing w:line="276" w:lineRule="auto"/>
        <w:rPr>
          <w:rFonts w:ascii="Arial" w:eastAsiaTheme="minorEastAsia" w:hAnsi="Arial" w:cs="Arial"/>
          <w:sz w:val="24"/>
          <w:szCs w:val="24"/>
        </w:rPr>
      </w:pPr>
      <w:r w:rsidRPr="001E36B9">
        <w:rPr>
          <w:rFonts w:ascii="Arial" w:eastAsiaTheme="minorEastAsia" w:hAnsi="Arial" w:cs="Arial"/>
          <w:sz w:val="24"/>
          <w:szCs w:val="24"/>
        </w:rPr>
        <w:t>* Corresponding Authors: Xin Zhao (</w:t>
      </w:r>
      <w:hyperlink r:id="rId8" w:history="1">
        <w:r w:rsidRPr="001E36B9">
          <w:rPr>
            <w:rStyle w:val="Hyperlink"/>
            <w:rFonts w:ascii="Arial" w:eastAsiaTheme="minorEastAsia" w:hAnsi="Arial" w:cs="Arial"/>
            <w:sz w:val="24"/>
            <w:szCs w:val="24"/>
          </w:rPr>
          <w:t>xin.zhao@pnnl.gov</w:t>
        </w:r>
      </w:hyperlink>
      <w:r w:rsidRPr="001E36B9">
        <w:rPr>
          <w:rFonts w:ascii="Arial" w:eastAsiaTheme="minorEastAsia" w:hAnsi="Arial" w:cs="Arial"/>
          <w:sz w:val="24"/>
          <w:szCs w:val="24"/>
        </w:rPr>
        <w:t xml:space="preserve">) </w:t>
      </w:r>
    </w:p>
    <w:p w14:paraId="018C72A2" w14:textId="77777777" w:rsidR="001E36B9" w:rsidRDefault="001E36B9">
      <w:pPr>
        <w:rPr>
          <w:rFonts w:ascii="Arial" w:hAnsi="Arial" w:cs="Arial"/>
        </w:rPr>
        <w:sectPr w:rsidR="001E36B9" w:rsidSect="00572106">
          <w:footerReference w:type="default" r:id="rId9"/>
          <w:pgSz w:w="12240" w:h="15840"/>
          <w:pgMar w:top="1008" w:right="720" w:bottom="720" w:left="720" w:header="720" w:footer="720" w:gutter="0"/>
          <w:cols w:space="720"/>
          <w:titlePg/>
          <w:docGrid w:linePitch="360"/>
        </w:sectPr>
      </w:pPr>
    </w:p>
    <w:p w14:paraId="51BA47E6" w14:textId="77777777" w:rsidR="00D64D47" w:rsidRDefault="00D64D47">
      <w:pPr>
        <w:rPr>
          <w:rFonts w:ascii="Arial" w:hAnsi="Arial" w:cs="Arial"/>
        </w:rPr>
      </w:pPr>
    </w:p>
    <w:sdt>
      <w:sdtPr>
        <w:rPr>
          <w:rFonts w:asciiTheme="minorHAnsi" w:eastAsiaTheme="minorHAnsi" w:hAnsiTheme="minorHAnsi" w:cstheme="minorBidi"/>
          <w:color w:val="auto"/>
          <w:sz w:val="22"/>
          <w:szCs w:val="22"/>
        </w:rPr>
        <w:id w:val="-1500954682"/>
        <w:docPartObj>
          <w:docPartGallery w:val="Table of Contents"/>
          <w:docPartUnique/>
        </w:docPartObj>
      </w:sdtPr>
      <w:sdtEndPr>
        <w:rPr>
          <w:rFonts w:ascii="Arial" w:hAnsi="Arial" w:cs="Arial"/>
          <w:b/>
          <w:bCs/>
          <w:noProof/>
        </w:rPr>
      </w:sdtEndPr>
      <w:sdtContent>
        <w:p w14:paraId="4A848F60" w14:textId="6936A98E" w:rsidR="00D64D47" w:rsidRPr="008A465A" w:rsidRDefault="00D64D47" w:rsidP="005B1301">
          <w:pPr>
            <w:pStyle w:val="TOCHeading"/>
            <w:jc w:val="center"/>
            <w:rPr>
              <w:rFonts w:ascii="Arial" w:hAnsi="Arial" w:cs="Arial"/>
              <w:b/>
              <w:bCs/>
              <w:color w:val="auto"/>
              <w:sz w:val="24"/>
              <w:szCs w:val="24"/>
            </w:rPr>
          </w:pPr>
          <w:r w:rsidRPr="008A465A">
            <w:rPr>
              <w:rFonts w:ascii="Arial" w:hAnsi="Arial" w:cs="Arial"/>
              <w:b/>
              <w:bCs/>
              <w:color w:val="auto"/>
              <w:sz w:val="24"/>
              <w:szCs w:val="24"/>
            </w:rPr>
            <w:t>Contents</w:t>
          </w:r>
        </w:p>
        <w:p w14:paraId="5A7D4418" w14:textId="77777777" w:rsidR="00D64D47" w:rsidRPr="00874B74" w:rsidRDefault="00D64D47" w:rsidP="00D64D47">
          <w:pPr>
            <w:rPr>
              <w:rFonts w:ascii="Arial" w:hAnsi="Arial" w:cs="Arial"/>
            </w:rPr>
          </w:pPr>
        </w:p>
        <w:p w14:paraId="52C70525" w14:textId="7A505B82" w:rsidR="00E805A4" w:rsidRDefault="00D64D47">
          <w:pPr>
            <w:pStyle w:val="TOC1"/>
            <w:tabs>
              <w:tab w:val="right" w:leader="dot" w:pos="10790"/>
            </w:tabs>
            <w:rPr>
              <w:rFonts w:asciiTheme="minorHAnsi" w:eastAsiaTheme="minorEastAsia" w:hAnsiTheme="minorHAnsi"/>
              <w:noProof/>
              <w:kern w:val="2"/>
              <w14:ligatures w14:val="standardContextual"/>
            </w:rPr>
          </w:pPr>
          <w:r w:rsidRPr="008A465A">
            <w:rPr>
              <w:rFonts w:cs="Arial"/>
            </w:rPr>
            <w:fldChar w:fldCharType="begin"/>
          </w:r>
          <w:r w:rsidRPr="008A465A">
            <w:rPr>
              <w:rFonts w:cs="Arial"/>
            </w:rPr>
            <w:instrText xml:space="preserve"> TOC \o "1-3" \h \z \u </w:instrText>
          </w:r>
          <w:r w:rsidRPr="008A465A">
            <w:rPr>
              <w:rFonts w:cs="Arial"/>
            </w:rPr>
            <w:fldChar w:fldCharType="separate"/>
          </w:r>
          <w:hyperlink w:anchor="_Toc162997995" w:history="1">
            <w:r w:rsidR="00E805A4" w:rsidRPr="00AB30D3">
              <w:rPr>
                <w:rStyle w:val="Hyperlink"/>
                <w:noProof/>
              </w:rPr>
              <w:t>S1. Supplementary description of the methodology</w:t>
            </w:r>
            <w:r w:rsidR="00E805A4">
              <w:rPr>
                <w:noProof/>
                <w:webHidden/>
              </w:rPr>
              <w:tab/>
            </w:r>
            <w:r w:rsidR="00E805A4">
              <w:rPr>
                <w:noProof/>
                <w:webHidden/>
              </w:rPr>
              <w:fldChar w:fldCharType="begin"/>
            </w:r>
            <w:r w:rsidR="00E805A4">
              <w:rPr>
                <w:noProof/>
                <w:webHidden/>
              </w:rPr>
              <w:instrText xml:space="preserve"> PAGEREF _Toc162997995 \h </w:instrText>
            </w:r>
            <w:r w:rsidR="00E805A4">
              <w:rPr>
                <w:noProof/>
                <w:webHidden/>
              </w:rPr>
            </w:r>
            <w:r w:rsidR="00E805A4">
              <w:rPr>
                <w:noProof/>
                <w:webHidden/>
              </w:rPr>
              <w:fldChar w:fldCharType="separate"/>
            </w:r>
            <w:r w:rsidR="00E805A4">
              <w:rPr>
                <w:noProof/>
                <w:webHidden/>
              </w:rPr>
              <w:t>3</w:t>
            </w:r>
            <w:r w:rsidR="00E805A4">
              <w:rPr>
                <w:noProof/>
                <w:webHidden/>
              </w:rPr>
              <w:fldChar w:fldCharType="end"/>
            </w:r>
          </w:hyperlink>
        </w:p>
        <w:p w14:paraId="381D3B60" w14:textId="1C1908BF" w:rsidR="00E805A4" w:rsidRDefault="00000000">
          <w:pPr>
            <w:pStyle w:val="TOC2"/>
            <w:tabs>
              <w:tab w:val="right" w:leader="dot" w:pos="10790"/>
            </w:tabs>
            <w:rPr>
              <w:rFonts w:asciiTheme="minorHAnsi" w:eastAsiaTheme="minorEastAsia" w:hAnsiTheme="minorHAnsi"/>
              <w:noProof/>
              <w:kern w:val="2"/>
              <w14:ligatures w14:val="standardContextual"/>
            </w:rPr>
          </w:pPr>
          <w:hyperlink w:anchor="_Toc162997996" w:history="1">
            <w:r w:rsidR="00E805A4" w:rsidRPr="00AB30D3">
              <w:rPr>
                <w:rStyle w:val="Hyperlink"/>
                <w:noProof/>
              </w:rPr>
              <w:t>S1.1. Multisector dynamic modeling and recent GCAM developments</w:t>
            </w:r>
            <w:r w:rsidR="00E805A4">
              <w:rPr>
                <w:noProof/>
                <w:webHidden/>
              </w:rPr>
              <w:tab/>
            </w:r>
            <w:r w:rsidR="00E805A4">
              <w:rPr>
                <w:noProof/>
                <w:webHidden/>
              </w:rPr>
              <w:fldChar w:fldCharType="begin"/>
            </w:r>
            <w:r w:rsidR="00E805A4">
              <w:rPr>
                <w:noProof/>
                <w:webHidden/>
              </w:rPr>
              <w:instrText xml:space="preserve"> PAGEREF _Toc162997996 \h </w:instrText>
            </w:r>
            <w:r w:rsidR="00E805A4">
              <w:rPr>
                <w:noProof/>
                <w:webHidden/>
              </w:rPr>
            </w:r>
            <w:r w:rsidR="00E805A4">
              <w:rPr>
                <w:noProof/>
                <w:webHidden/>
              </w:rPr>
              <w:fldChar w:fldCharType="separate"/>
            </w:r>
            <w:r w:rsidR="00E805A4">
              <w:rPr>
                <w:noProof/>
                <w:webHidden/>
              </w:rPr>
              <w:t>3</w:t>
            </w:r>
            <w:r w:rsidR="00E805A4">
              <w:rPr>
                <w:noProof/>
                <w:webHidden/>
              </w:rPr>
              <w:fldChar w:fldCharType="end"/>
            </w:r>
          </w:hyperlink>
        </w:p>
        <w:p w14:paraId="547BB108" w14:textId="2304A404" w:rsidR="00E805A4" w:rsidRDefault="00000000">
          <w:pPr>
            <w:pStyle w:val="TOC2"/>
            <w:tabs>
              <w:tab w:val="right" w:leader="dot" w:pos="10790"/>
            </w:tabs>
            <w:rPr>
              <w:rFonts w:asciiTheme="minorHAnsi" w:eastAsiaTheme="minorEastAsia" w:hAnsiTheme="minorHAnsi"/>
              <w:noProof/>
              <w:kern w:val="2"/>
              <w14:ligatures w14:val="standardContextual"/>
            </w:rPr>
          </w:pPr>
          <w:hyperlink w:anchor="_Toc162997997" w:history="1">
            <w:r w:rsidR="00E805A4" w:rsidRPr="00AB30D3">
              <w:rPr>
                <w:rStyle w:val="Hyperlink"/>
                <w:noProof/>
              </w:rPr>
              <w:t>S1.2. Nested logit structure in land allocation and food demand</w:t>
            </w:r>
            <w:r w:rsidR="00E805A4">
              <w:rPr>
                <w:noProof/>
                <w:webHidden/>
              </w:rPr>
              <w:tab/>
            </w:r>
            <w:r w:rsidR="00E805A4">
              <w:rPr>
                <w:noProof/>
                <w:webHidden/>
              </w:rPr>
              <w:fldChar w:fldCharType="begin"/>
            </w:r>
            <w:r w:rsidR="00E805A4">
              <w:rPr>
                <w:noProof/>
                <w:webHidden/>
              </w:rPr>
              <w:instrText xml:space="preserve"> PAGEREF _Toc162997997 \h </w:instrText>
            </w:r>
            <w:r w:rsidR="00E805A4">
              <w:rPr>
                <w:noProof/>
                <w:webHidden/>
              </w:rPr>
            </w:r>
            <w:r w:rsidR="00E805A4">
              <w:rPr>
                <w:noProof/>
                <w:webHidden/>
              </w:rPr>
              <w:fldChar w:fldCharType="separate"/>
            </w:r>
            <w:r w:rsidR="00E805A4">
              <w:rPr>
                <w:noProof/>
                <w:webHidden/>
              </w:rPr>
              <w:t>7</w:t>
            </w:r>
            <w:r w:rsidR="00E805A4">
              <w:rPr>
                <w:noProof/>
                <w:webHidden/>
              </w:rPr>
              <w:fldChar w:fldCharType="end"/>
            </w:r>
          </w:hyperlink>
        </w:p>
        <w:p w14:paraId="284373F9" w14:textId="3244C1C0" w:rsidR="00E805A4" w:rsidRDefault="00000000">
          <w:pPr>
            <w:pStyle w:val="TOC2"/>
            <w:tabs>
              <w:tab w:val="right" w:leader="dot" w:pos="10790"/>
            </w:tabs>
            <w:rPr>
              <w:rFonts w:asciiTheme="minorHAnsi" w:eastAsiaTheme="minorEastAsia" w:hAnsiTheme="minorHAnsi"/>
              <w:noProof/>
              <w:kern w:val="2"/>
              <w14:ligatures w14:val="standardContextual"/>
            </w:rPr>
          </w:pPr>
          <w:hyperlink w:anchor="_Toc162997998" w:history="1">
            <w:r w:rsidR="00E805A4" w:rsidRPr="00AB30D3">
              <w:rPr>
                <w:rStyle w:val="Hyperlink"/>
                <w:noProof/>
              </w:rPr>
              <w:t>S1.3. Factor substitution through technology transition</w:t>
            </w:r>
            <w:r w:rsidR="00E805A4">
              <w:rPr>
                <w:noProof/>
                <w:webHidden/>
              </w:rPr>
              <w:tab/>
            </w:r>
            <w:r w:rsidR="00E805A4">
              <w:rPr>
                <w:noProof/>
                <w:webHidden/>
              </w:rPr>
              <w:fldChar w:fldCharType="begin"/>
            </w:r>
            <w:r w:rsidR="00E805A4">
              <w:rPr>
                <w:noProof/>
                <w:webHidden/>
              </w:rPr>
              <w:instrText xml:space="preserve"> PAGEREF _Toc162997998 \h </w:instrText>
            </w:r>
            <w:r w:rsidR="00E805A4">
              <w:rPr>
                <w:noProof/>
                <w:webHidden/>
              </w:rPr>
            </w:r>
            <w:r w:rsidR="00E805A4">
              <w:rPr>
                <w:noProof/>
                <w:webHidden/>
              </w:rPr>
              <w:fldChar w:fldCharType="separate"/>
            </w:r>
            <w:r w:rsidR="00E805A4">
              <w:rPr>
                <w:noProof/>
                <w:webHidden/>
              </w:rPr>
              <w:t>8</w:t>
            </w:r>
            <w:r w:rsidR="00E805A4">
              <w:rPr>
                <w:noProof/>
                <w:webHidden/>
              </w:rPr>
              <w:fldChar w:fldCharType="end"/>
            </w:r>
          </w:hyperlink>
        </w:p>
        <w:p w14:paraId="3EC4D8CB" w14:textId="2FE5E164" w:rsidR="00E805A4" w:rsidRDefault="00000000">
          <w:pPr>
            <w:pStyle w:val="TOC2"/>
            <w:tabs>
              <w:tab w:val="right" w:leader="dot" w:pos="10790"/>
            </w:tabs>
            <w:rPr>
              <w:rFonts w:asciiTheme="minorHAnsi" w:eastAsiaTheme="minorEastAsia" w:hAnsiTheme="minorHAnsi"/>
              <w:noProof/>
              <w:kern w:val="2"/>
              <w14:ligatures w14:val="standardContextual"/>
            </w:rPr>
          </w:pPr>
          <w:hyperlink w:anchor="_Toc162997999" w:history="1">
            <w:r w:rsidR="00E805A4" w:rsidRPr="00AB30D3">
              <w:rPr>
                <w:rStyle w:val="Hyperlink"/>
                <w:noProof/>
              </w:rPr>
              <w:t>S1.4. Labor market evolution and effective labor supply</w:t>
            </w:r>
            <w:r w:rsidR="00E805A4">
              <w:rPr>
                <w:noProof/>
                <w:webHidden/>
              </w:rPr>
              <w:tab/>
            </w:r>
            <w:r w:rsidR="00E805A4">
              <w:rPr>
                <w:noProof/>
                <w:webHidden/>
              </w:rPr>
              <w:fldChar w:fldCharType="begin"/>
            </w:r>
            <w:r w:rsidR="00E805A4">
              <w:rPr>
                <w:noProof/>
                <w:webHidden/>
              </w:rPr>
              <w:instrText xml:space="preserve"> PAGEREF _Toc162997999 \h </w:instrText>
            </w:r>
            <w:r w:rsidR="00E805A4">
              <w:rPr>
                <w:noProof/>
                <w:webHidden/>
              </w:rPr>
            </w:r>
            <w:r w:rsidR="00E805A4">
              <w:rPr>
                <w:noProof/>
                <w:webHidden/>
              </w:rPr>
              <w:fldChar w:fldCharType="separate"/>
            </w:r>
            <w:r w:rsidR="00E805A4">
              <w:rPr>
                <w:noProof/>
                <w:webHidden/>
              </w:rPr>
              <w:t>10</w:t>
            </w:r>
            <w:r w:rsidR="00E805A4">
              <w:rPr>
                <w:noProof/>
                <w:webHidden/>
              </w:rPr>
              <w:fldChar w:fldCharType="end"/>
            </w:r>
          </w:hyperlink>
        </w:p>
        <w:p w14:paraId="20BDCC93" w14:textId="7E98D658" w:rsidR="00E805A4" w:rsidRDefault="00000000">
          <w:pPr>
            <w:pStyle w:val="TOC2"/>
            <w:tabs>
              <w:tab w:val="right" w:leader="dot" w:pos="10790"/>
            </w:tabs>
            <w:rPr>
              <w:rFonts w:asciiTheme="minorHAnsi" w:eastAsiaTheme="minorEastAsia" w:hAnsiTheme="minorHAnsi"/>
              <w:noProof/>
              <w:kern w:val="2"/>
              <w14:ligatures w14:val="standardContextual"/>
            </w:rPr>
          </w:pPr>
          <w:hyperlink w:anchor="_Toc162998000" w:history="1">
            <w:r w:rsidR="00E805A4" w:rsidRPr="00AB30D3">
              <w:rPr>
                <w:rStyle w:val="Hyperlink"/>
                <w:noProof/>
              </w:rPr>
              <w:t>S1.5. Compiling regional and sectoral agricultural labor input data</w:t>
            </w:r>
            <w:r w:rsidR="00E805A4">
              <w:rPr>
                <w:noProof/>
                <w:webHidden/>
              </w:rPr>
              <w:tab/>
            </w:r>
            <w:r w:rsidR="00E805A4">
              <w:rPr>
                <w:noProof/>
                <w:webHidden/>
              </w:rPr>
              <w:fldChar w:fldCharType="begin"/>
            </w:r>
            <w:r w:rsidR="00E805A4">
              <w:rPr>
                <w:noProof/>
                <w:webHidden/>
              </w:rPr>
              <w:instrText xml:space="preserve"> PAGEREF _Toc162998000 \h </w:instrText>
            </w:r>
            <w:r w:rsidR="00E805A4">
              <w:rPr>
                <w:noProof/>
                <w:webHidden/>
              </w:rPr>
            </w:r>
            <w:r w:rsidR="00E805A4">
              <w:rPr>
                <w:noProof/>
                <w:webHidden/>
              </w:rPr>
              <w:fldChar w:fldCharType="separate"/>
            </w:r>
            <w:r w:rsidR="00E805A4">
              <w:rPr>
                <w:noProof/>
                <w:webHidden/>
              </w:rPr>
              <w:t>11</w:t>
            </w:r>
            <w:r w:rsidR="00E805A4">
              <w:rPr>
                <w:noProof/>
                <w:webHidden/>
              </w:rPr>
              <w:fldChar w:fldCharType="end"/>
            </w:r>
          </w:hyperlink>
        </w:p>
        <w:p w14:paraId="2C5DDB4D" w14:textId="6C3530B5" w:rsidR="00E805A4" w:rsidRDefault="00000000">
          <w:pPr>
            <w:pStyle w:val="TOC1"/>
            <w:tabs>
              <w:tab w:val="right" w:leader="dot" w:pos="10790"/>
            </w:tabs>
            <w:rPr>
              <w:rFonts w:asciiTheme="minorHAnsi" w:eastAsiaTheme="minorEastAsia" w:hAnsiTheme="minorHAnsi"/>
              <w:noProof/>
              <w:kern w:val="2"/>
              <w14:ligatures w14:val="standardContextual"/>
            </w:rPr>
          </w:pPr>
          <w:hyperlink w:anchor="_Toc162998001" w:history="1">
            <w:r w:rsidR="00E805A4" w:rsidRPr="00AB30D3">
              <w:rPr>
                <w:rStyle w:val="Hyperlink"/>
                <w:noProof/>
              </w:rPr>
              <w:t>S2. Supplementary results</w:t>
            </w:r>
            <w:r w:rsidR="00E805A4">
              <w:rPr>
                <w:noProof/>
                <w:webHidden/>
              </w:rPr>
              <w:tab/>
            </w:r>
            <w:r w:rsidR="00E805A4">
              <w:rPr>
                <w:noProof/>
                <w:webHidden/>
              </w:rPr>
              <w:fldChar w:fldCharType="begin"/>
            </w:r>
            <w:r w:rsidR="00E805A4">
              <w:rPr>
                <w:noProof/>
                <w:webHidden/>
              </w:rPr>
              <w:instrText xml:space="preserve"> PAGEREF _Toc162998001 \h </w:instrText>
            </w:r>
            <w:r w:rsidR="00E805A4">
              <w:rPr>
                <w:noProof/>
                <w:webHidden/>
              </w:rPr>
            </w:r>
            <w:r w:rsidR="00E805A4">
              <w:rPr>
                <w:noProof/>
                <w:webHidden/>
              </w:rPr>
              <w:fldChar w:fldCharType="separate"/>
            </w:r>
            <w:r w:rsidR="00E805A4">
              <w:rPr>
                <w:noProof/>
                <w:webHidden/>
              </w:rPr>
              <w:t>17</w:t>
            </w:r>
            <w:r w:rsidR="00E805A4">
              <w:rPr>
                <w:noProof/>
                <w:webHidden/>
              </w:rPr>
              <w:fldChar w:fldCharType="end"/>
            </w:r>
          </w:hyperlink>
        </w:p>
        <w:p w14:paraId="27B2DFC8" w14:textId="0F85BDD5" w:rsidR="00E805A4" w:rsidRDefault="00000000">
          <w:pPr>
            <w:pStyle w:val="TOC1"/>
            <w:tabs>
              <w:tab w:val="right" w:leader="dot" w:pos="10790"/>
            </w:tabs>
            <w:rPr>
              <w:rFonts w:asciiTheme="minorHAnsi" w:eastAsiaTheme="minorEastAsia" w:hAnsiTheme="minorHAnsi"/>
              <w:noProof/>
              <w:kern w:val="2"/>
              <w14:ligatures w14:val="standardContextual"/>
            </w:rPr>
          </w:pPr>
          <w:hyperlink w:anchor="_Toc162998002" w:history="1">
            <w:r w:rsidR="00E805A4" w:rsidRPr="00AB30D3">
              <w:rPr>
                <w:rStyle w:val="Hyperlink"/>
                <w:noProof/>
              </w:rPr>
              <w:t>Supplementary references</w:t>
            </w:r>
            <w:r w:rsidR="00E805A4">
              <w:rPr>
                <w:noProof/>
                <w:webHidden/>
              </w:rPr>
              <w:tab/>
            </w:r>
            <w:r w:rsidR="00E805A4">
              <w:rPr>
                <w:noProof/>
                <w:webHidden/>
              </w:rPr>
              <w:fldChar w:fldCharType="begin"/>
            </w:r>
            <w:r w:rsidR="00E805A4">
              <w:rPr>
                <w:noProof/>
                <w:webHidden/>
              </w:rPr>
              <w:instrText xml:space="preserve"> PAGEREF _Toc162998002 \h </w:instrText>
            </w:r>
            <w:r w:rsidR="00E805A4">
              <w:rPr>
                <w:noProof/>
                <w:webHidden/>
              </w:rPr>
            </w:r>
            <w:r w:rsidR="00E805A4">
              <w:rPr>
                <w:noProof/>
                <w:webHidden/>
              </w:rPr>
              <w:fldChar w:fldCharType="separate"/>
            </w:r>
            <w:r w:rsidR="00E805A4">
              <w:rPr>
                <w:noProof/>
                <w:webHidden/>
              </w:rPr>
              <w:t>30</w:t>
            </w:r>
            <w:r w:rsidR="00E805A4">
              <w:rPr>
                <w:noProof/>
                <w:webHidden/>
              </w:rPr>
              <w:fldChar w:fldCharType="end"/>
            </w:r>
          </w:hyperlink>
        </w:p>
        <w:p w14:paraId="60398A57" w14:textId="143FC816" w:rsidR="00D64D47" w:rsidRDefault="00D64D47" w:rsidP="008A465A">
          <w:pPr>
            <w:spacing w:line="276" w:lineRule="auto"/>
            <w:rPr>
              <w:rFonts w:ascii="Arial" w:hAnsi="Arial" w:cs="Arial"/>
              <w:b/>
              <w:bCs/>
              <w:noProof/>
            </w:rPr>
          </w:pPr>
          <w:r w:rsidRPr="008A465A">
            <w:rPr>
              <w:rFonts w:ascii="Arial" w:hAnsi="Arial" w:cs="Arial"/>
            </w:rPr>
            <w:fldChar w:fldCharType="end"/>
          </w:r>
        </w:p>
      </w:sdtContent>
    </w:sdt>
    <w:p w14:paraId="0C858890" w14:textId="77777777" w:rsidR="00D64D47" w:rsidRPr="00537CC3" w:rsidRDefault="00D64D47" w:rsidP="00D64D47">
      <w:pPr>
        <w:rPr>
          <w:rFonts w:ascii="Arial" w:hAnsi="Arial" w:cs="Arial"/>
        </w:rPr>
      </w:pPr>
    </w:p>
    <w:p w14:paraId="5A0C361C" w14:textId="77777777" w:rsidR="00D64D47" w:rsidRDefault="00D64D47" w:rsidP="00D64D47">
      <w:pPr>
        <w:rPr>
          <w:rFonts w:ascii="Arial" w:hAnsi="Arial"/>
          <w:b/>
          <w:bCs/>
          <w:szCs w:val="24"/>
        </w:rPr>
      </w:pPr>
    </w:p>
    <w:p w14:paraId="2184B28E" w14:textId="77777777" w:rsidR="00D64D47" w:rsidRDefault="00D64D47" w:rsidP="00D64D47">
      <w:pPr>
        <w:rPr>
          <w:rFonts w:ascii="Arial" w:hAnsi="Arial"/>
          <w:b/>
          <w:bCs/>
          <w:szCs w:val="24"/>
        </w:rPr>
      </w:pPr>
    </w:p>
    <w:p w14:paraId="7AC2B804" w14:textId="77777777" w:rsidR="00D64D47" w:rsidRDefault="00D64D47" w:rsidP="00D64D47">
      <w:pPr>
        <w:rPr>
          <w:rFonts w:ascii="Arial" w:hAnsi="Arial"/>
          <w:b/>
          <w:bCs/>
          <w:szCs w:val="24"/>
        </w:rPr>
      </w:pPr>
      <w:r>
        <w:rPr>
          <w:b/>
          <w:bCs/>
          <w:szCs w:val="24"/>
        </w:rPr>
        <w:br w:type="page"/>
      </w:r>
    </w:p>
    <w:p w14:paraId="2F9E6F2E" w14:textId="77777777" w:rsidR="00572106" w:rsidRPr="00572106" w:rsidRDefault="00572106" w:rsidP="00572106"/>
    <w:p w14:paraId="18092A6C" w14:textId="066C7F5A" w:rsidR="000E6933" w:rsidRPr="00CD620E" w:rsidRDefault="000E6933" w:rsidP="000E6933">
      <w:pPr>
        <w:pStyle w:val="TableofFigures"/>
        <w:tabs>
          <w:tab w:val="right" w:leader="dot" w:pos="10790"/>
        </w:tabs>
        <w:jc w:val="center"/>
        <w:rPr>
          <w:b/>
          <w:bCs/>
          <w:sz w:val="24"/>
          <w:szCs w:val="28"/>
        </w:rPr>
      </w:pPr>
      <w:r w:rsidRPr="00CD620E">
        <w:rPr>
          <w:b/>
          <w:bCs/>
          <w:sz w:val="24"/>
          <w:szCs w:val="28"/>
        </w:rPr>
        <w:t>List of Supplementary Tables and Figures</w:t>
      </w:r>
    </w:p>
    <w:p w14:paraId="32AD3E69" w14:textId="77777777" w:rsidR="000E6933" w:rsidRDefault="000E6933" w:rsidP="000E6933">
      <w:pPr>
        <w:pStyle w:val="TableofFigures"/>
        <w:tabs>
          <w:tab w:val="right" w:leader="dot" w:pos="10790"/>
        </w:tabs>
        <w:jc w:val="center"/>
        <w:rPr>
          <w:b/>
          <w:bCs/>
          <w:szCs w:val="24"/>
        </w:rPr>
      </w:pPr>
    </w:p>
    <w:p w14:paraId="7EB6F615" w14:textId="3C5B6465" w:rsidR="00E805A4" w:rsidRDefault="000E6933">
      <w:pPr>
        <w:pStyle w:val="TableofFigures"/>
        <w:tabs>
          <w:tab w:val="right" w:leader="dot" w:pos="10790"/>
        </w:tabs>
        <w:rPr>
          <w:rFonts w:asciiTheme="minorHAnsi" w:eastAsiaTheme="minorEastAsia" w:hAnsiTheme="minorHAnsi"/>
          <w:noProof/>
          <w:kern w:val="2"/>
          <w14:ligatures w14:val="standardContextual"/>
        </w:rPr>
      </w:pPr>
      <w:r w:rsidRPr="008A465A">
        <w:rPr>
          <w:rFonts w:cs="Arial"/>
        </w:rPr>
        <w:fldChar w:fldCharType="begin"/>
      </w:r>
      <w:r w:rsidRPr="008A465A">
        <w:rPr>
          <w:rFonts w:cs="Arial"/>
        </w:rPr>
        <w:instrText xml:space="preserve"> TOC \h \z \c "Table" </w:instrText>
      </w:r>
      <w:r w:rsidRPr="008A465A">
        <w:rPr>
          <w:rFonts w:cs="Arial"/>
        </w:rPr>
        <w:fldChar w:fldCharType="separate"/>
      </w:r>
      <w:hyperlink w:anchor="_Toc162998105" w:history="1">
        <w:r w:rsidR="00E805A4" w:rsidRPr="00A538A6">
          <w:rPr>
            <w:rStyle w:val="Hyperlink"/>
            <w:noProof/>
          </w:rPr>
          <w:t>Table S1 | Summary of labor market representations in global economic multisector dynamic models.</w:t>
        </w:r>
        <w:r w:rsidR="00E805A4">
          <w:rPr>
            <w:noProof/>
            <w:webHidden/>
          </w:rPr>
          <w:tab/>
        </w:r>
        <w:r w:rsidR="00E805A4">
          <w:rPr>
            <w:noProof/>
            <w:webHidden/>
          </w:rPr>
          <w:fldChar w:fldCharType="begin"/>
        </w:r>
        <w:r w:rsidR="00E805A4">
          <w:rPr>
            <w:noProof/>
            <w:webHidden/>
          </w:rPr>
          <w:instrText xml:space="preserve"> PAGEREF _Toc162998105 \h </w:instrText>
        </w:r>
        <w:r w:rsidR="00E805A4">
          <w:rPr>
            <w:noProof/>
            <w:webHidden/>
          </w:rPr>
        </w:r>
        <w:r w:rsidR="00E805A4">
          <w:rPr>
            <w:noProof/>
            <w:webHidden/>
          </w:rPr>
          <w:fldChar w:fldCharType="separate"/>
        </w:r>
        <w:r w:rsidR="00E805A4">
          <w:rPr>
            <w:noProof/>
            <w:webHidden/>
          </w:rPr>
          <w:t>4</w:t>
        </w:r>
        <w:r w:rsidR="00E805A4">
          <w:rPr>
            <w:noProof/>
            <w:webHidden/>
          </w:rPr>
          <w:fldChar w:fldCharType="end"/>
        </w:r>
      </w:hyperlink>
    </w:p>
    <w:p w14:paraId="4C0B8C99" w14:textId="4E35D745" w:rsidR="00E805A4" w:rsidRDefault="00000000">
      <w:pPr>
        <w:pStyle w:val="TableofFigures"/>
        <w:tabs>
          <w:tab w:val="right" w:leader="dot" w:pos="10790"/>
        </w:tabs>
        <w:rPr>
          <w:rFonts w:asciiTheme="minorHAnsi" w:eastAsiaTheme="minorEastAsia" w:hAnsiTheme="minorHAnsi"/>
          <w:noProof/>
          <w:kern w:val="2"/>
          <w14:ligatures w14:val="standardContextual"/>
        </w:rPr>
      </w:pPr>
      <w:hyperlink w:anchor="_Toc162998106" w:history="1">
        <w:r w:rsidR="00E805A4" w:rsidRPr="00A538A6">
          <w:rPr>
            <w:rStyle w:val="Hyperlink"/>
            <w:rFonts w:cs="Arial"/>
            <w:bCs/>
            <w:noProof/>
          </w:rPr>
          <w:t>Table S2 | Regional mapping between GCAM regions and IPCC R10 regions</w:t>
        </w:r>
        <w:r w:rsidR="00E805A4">
          <w:rPr>
            <w:noProof/>
            <w:webHidden/>
          </w:rPr>
          <w:tab/>
        </w:r>
        <w:r w:rsidR="00E805A4">
          <w:rPr>
            <w:noProof/>
            <w:webHidden/>
          </w:rPr>
          <w:fldChar w:fldCharType="begin"/>
        </w:r>
        <w:r w:rsidR="00E805A4">
          <w:rPr>
            <w:noProof/>
            <w:webHidden/>
          </w:rPr>
          <w:instrText xml:space="preserve"> PAGEREF _Toc162998106 \h </w:instrText>
        </w:r>
        <w:r w:rsidR="00E805A4">
          <w:rPr>
            <w:noProof/>
            <w:webHidden/>
          </w:rPr>
        </w:r>
        <w:r w:rsidR="00E805A4">
          <w:rPr>
            <w:noProof/>
            <w:webHidden/>
          </w:rPr>
          <w:fldChar w:fldCharType="separate"/>
        </w:r>
        <w:r w:rsidR="00E805A4">
          <w:rPr>
            <w:noProof/>
            <w:webHidden/>
          </w:rPr>
          <w:t>5</w:t>
        </w:r>
        <w:r w:rsidR="00E805A4">
          <w:rPr>
            <w:noProof/>
            <w:webHidden/>
          </w:rPr>
          <w:fldChar w:fldCharType="end"/>
        </w:r>
      </w:hyperlink>
    </w:p>
    <w:p w14:paraId="721DA4EB" w14:textId="340CEF20" w:rsidR="00E805A4" w:rsidRDefault="00000000">
      <w:pPr>
        <w:pStyle w:val="TableofFigures"/>
        <w:tabs>
          <w:tab w:val="right" w:leader="dot" w:pos="10790"/>
        </w:tabs>
        <w:rPr>
          <w:rFonts w:asciiTheme="minorHAnsi" w:eastAsiaTheme="minorEastAsia" w:hAnsiTheme="minorHAnsi"/>
          <w:noProof/>
          <w:kern w:val="2"/>
          <w14:ligatures w14:val="standardContextual"/>
        </w:rPr>
      </w:pPr>
      <w:hyperlink w:anchor="_Toc162998107" w:history="1">
        <w:r w:rsidR="00E805A4" w:rsidRPr="00A538A6">
          <w:rPr>
            <w:rStyle w:val="Hyperlink"/>
            <w:rFonts w:cs="Arial"/>
            <w:bCs/>
            <w:noProof/>
          </w:rPr>
          <w:t>Table S3 | Agricultural commodity mapping between GCAM commodity and FAO.</w:t>
        </w:r>
        <w:r w:rsidR="00E805A4">
          <w:rPr>
            <w:noProof/>
            <w:webHidden/>
          </w:rPr>
          <w:tab/>
        </w:r>
        <w:r w:rsidR="00E805A4">
          <w:rPr>
            <w:noProof/>
            <w:webHidden/>
          </w:rPr>
          <w:fldChar w:fldCharType="begin"/>
        </w:r>
        <w:r w:rsidR="00E805A4">
          <w:rPr>
            <w:noProof/>
            <w:webHidden/>
          </w:rPr>
          <w:instrText xml:space="preserve"> PAGEREF _Toc162998107 \h </w:instrText>
        </w:r>
        <w:r w:rsidR="00E805A4">
          <w:rPr>
            <w:noProof/>
            <w:webHidden/>
          </w:rPr>
        </w:r>
        <w:r w:rsidR="00E805A4">
          <w:rPr>
            <w:noProof/>
            <w:webHidden/>
          </w:rPr>
          <w:fldChar w:fldCharType="separate"/>
        </w:r>
        <w:r w:rsidR="00E805A4">
          <w:rPr>
            <w:noProof/>
            <w:webHidden/>
          </w:rPr>
          <w:t>6</w:t>
        </w:r>
        <w:r w:rsidR="00E805A4">
          <w:rPr>
            <w:noProof/>
            <w:webHidden/>
          </w:rPr>
          <w:fldChar w:fldCharType="end"/>
        </w:r>
      </w:hyperlink>
    </w:p>
    <w:p w14:paraId="764CB551" w14:textId="0154ABF4" w:rsidR="00E805A4" w:rsidRDefault="00000000">
      <w:pPr>
        <w:pStyle w:val="TableofFigures"/>
        <w:tabs>
          <w:tab w:val="right" w:leader="dot" w:pos="10790"/>
        </w:tabs>
        <w:rPr>
          <w:rFonts w:asciiTheme="minorHAnsi" w:eastAsiaTheme="minorEastAsia" w:hAnsiTheme="minorHAnsi"/>
          <w:noProof/>
          <w:kern w:val="2"/>
          <w14:ligatures w14:val="standardContextual"/>
        </w:rPr>
      </w:pPr>
      <w:hyperlink w:anchor="_Toc162998108" w:history="1">
        <w:r w:rsidR="00E805A4" w:rsidRPr="00A538A6">
          <w:rPr>
            <w:rStyle w:val="Hyperlink"/>
            <w:rFonts w:cs="Arial"/>
            <w:bCs/>
            <w:noProof/>
          </w:rPr>
          <w:t>Table S4 | Labor and capital cost per unit across production technologies.</w:t>
        </w:r>
        <w:r w:rsidR="00E805A4">
          <w:rPr>
            <w:noProof/>
            <w:webHidden/>
          </w:rPr>
          <w:tab/>
        </w:r>
        <w:r w:rsidR="00E805A4">
          <w:rPr>
            <w:noProof/>
            <w:webHidden/>
          </w:rPr>
          <w:fldChar w:fldCharType="begin"/>
        </w:r>
        <w:r w:rsidR="00E805A4">
          <w:rPr>
            <w:noProof/>
            <w:webHidden/>
          </w:rPr>
          <w:instrText xml:space="preserve"> PAGEREF _Toc162998108 \h </w:instrText>
        </w:r>
        <w:r w:rsidR="00E805A4">
          <w:rPr>
            <w:noProof/>
            <w:webHidden/>
          </w:rPr>
        </w:r>
        <w:r w:rsidR="00E805A4">
          <w:rPr>
            <w:noProof/>
            <w:webHidden/>
          </w:rPr>
          <w:fldChar w:fldCharType="separate"/>
        </w:r>
        <w:r w:rsidR="00E805A4">
          <w:rPr>
            <w:noProof/>
            <w:webHidden/>
          </w:rPr>
          <w:t>9</w:t>
        </w:r>
        <w:r w:rsidR="00E805A4">
          <w:rPr>
            <w:noProof/>
            <w:webHidden/>
          </w:rPr>
          <w:fldChar w:fldCharType="end"/>
        </w:r>
      </w:hyperlink>
    </w:p>
    <w:p w14:paraId="77D4DEA1" w14:textId="06C0FD2B" w:rsidR="00E805A4" w:rsidRDefault="00000000">
      <w:pPr>
        <w:pStyle w:val="TableofFigures"/>
        <w:tabs>
          <w:tab w:val="right" w:leader="dot" w:pos="10790"/>
        </w:tabs>
        <w:rPr>
          <w:rFonts w:asciiTheme="minorHAnsi" w:eastAsiaTheme="minorEastAsia" w:hAnsiTheme="minorHAnsi"/>
          <w:noProof/>
          <w:kern w:val="2"/>
          <w14:ligatures w14:val="standardContextual"/>
        </w:rPr>
      </w:pPr>
      <w:hyperlink w:anchor="_Toc162998109" w:history="1">
        <w:r w:rsidR="00E805A4" w:rsidRPr="00A538A6">
          <w:rPr>
            <w:rStyle w:val="Hyperlink"/>
            <w:rFonts w:cs="Arial"/>
            <w:bCs/>
            <w:noProof/>
          </w:rPr>
          <w:t>Table S5 | Agricultural commodity mapping between GCAM commodity and GTAP.</w:t>
        </w:r>
        <w:r w:rsidR="00E805A4">
          <w:rPr>
            <w:noProof/>
            <w:webHidden/>
          </w:rPr>
          <w:tab/>
        </w:r>
        <w:r w:rsidR="00E805A4">
          <w:rPr>
            <w:noProof/>
            <w:webHidden/>
          </w:rPr>
          <w:fldChar w:fldCharType="begin"/>
        </w:r>
        <w:r w:rsidR="00E805A4">
          <w:rPr>
            <w:noProof/>
            <w:webHidden/>
          </w:rPr>
          <w:instrText xml:space="preserve"> PAGEREF _Toc162998109 \h </w:instrText>
        </w:r>
        <w:r w:rsidR="00E805A4">
          <w:rPr>
            <w:noProof/>
            <w:webHidden/>
          </w:rPr>
        </w:r>
        <w:r w:rsidR="00E805A4">
          <w:rPr>
            <w:noProof/>
            <w:webHidden/>
          </w:rPr>
          <w:fldChar w:fldCharType="separate"/>
        </w:r>
        <w:r w:rsidR="00E805A4">
          <w:rPr>
            <w:noProof/>
            <w:webHidden/>
          </w:rPr>
          <w:t>13</w:t>
        </w:r>
        <w:r w:rsidR="00E805A4">
          <w:rPr>
            <w:noProof/>
            <w:webHidden/>
          </w:rPr>
          <w:fldChar w:fldCharType="end"/>
        </w:r>
      </w:hyperlink>
    </w:p>
    <w:p w14:paraId="3C6DD095" w14:textId="3837262F" w:rsidR="00E805A4" w:rsidRDefault="00000000">
      <w:pPr>
        <w:pStyle w:val="TableofFigures"/>
        <w:tabs>
          <w:tab w:val="right" w:leader="dot" w:pos="10790"/>
        </w:tabs>
        <w:rPr>
          <w:rFonts w:asciiTheme="minorHAnsi" w:eastAsiaTheme="minorEastAsia" w:hAnsiTheme="minorHAnsi"/>
          <w:noProof/>
          <w:kern w:val="2"/>
          <w14:ligatures w14:val="standardContextual"/>
        </w:rPr>
      </w:pPr>
      <w:hyperlink w:anchor="_Toc162998110" w:history="1">
        <w:r w:rsidR="00E805A4" w:rsidRPr="00A538A6">
          <w:rPr>
            <w:rStyle w:val="Hyperlink"/>
            <w:noProof/>
          </w:rPr>
          <w:t>Table S6</w:t>
        </w:r>
        <w:r w:rsidR="00E805A4" w:rsidRPr="00A538A6">
          <w:rPr>
            <w:rStyle w:val="Hyperlink"/>
            <w:bCs/>
            <w:noProof/>
          </w:rPr>
          <w:t xml:space="preserve"> | </w:t>
        </w:r>
        <w:r w:rsidR="00E805A4" w:rsidRPr="00A538A6">
          <w:rPr>
            <w:rStyle w:val="Hyperlink"/>
            <w:noProof/>
          </w:rPr>
          <w:t>Scenario variations in the end-of-century impact of sensitivity scenarios relative to the Evolving scenario on agroeconomic and environmental variables.</w:t>
        </w:r>
        <w:r w:rsidR="00E805A4">
          <w:rPr>
            <w:noProof/>
            <w:webHidden/>
          </w:rPr>
          <w:tab/>
        </w:r>
        <w:r w:rsidR="00E805A4">
          <w:rPr>
            <w:noProof/>
            <w:webHidden/>
          </w:rPr>
          <w:fldChar w:fldCharType="begin"/>
        </w:r>
        <w:r w:rsidR="00E805A4">
          <w:rPr>
            <w:noProof/>
            <w:webHidden/>
          </w:rPr>
          <w:instrText xml:space="preserve"> PAGEREF _Toc162998110 \h </w:instrText>
        </w:r>
        <w:r w:rsidR="00E805A4">
          <w:rPr>
            <w:noProof/>
            <w:webHidden/>
          </w:rPr>
        </w:r>
        <w:r w:rsidR="00E805A4">
          <w:rPr>
            <w:noProof/>
            <w:webHidden/>
          </w:rPr>
          <w:fldChar w:fldCharType="separate"/>
        </w:r>
        <w:r w:rsidR="00E805A4">
          <w:rPr>
            <w:noProof/>
            <w:webHidden/>
          </w:rPr>
          <w:t>28</w:t>
        </w:r>
        <w:r w:rsidR="00E805A4">
          <w:rPr>
            <w:noProof/>
            <w:webHidden/>
          </w:rPr>
          <w:fldChar w:fldCharType="end"/>
        </w:r>
      </w:hyperlink>
    </w:p>
    <w:p w14:paraId="5BE7B4FA" w14:textId="734298FA" w:rsidR="00E805A4" w:rsidRDefault="00000000">
      <w:pPr>
        <w:pStyle w:val="TableofFigures"/>
        <w:tabs>
          <w:tab w:val="right" w:leader="dot" w:pos="10790"/>
        </w:tabs>
        <w:rPr>
          <w:rFonts w:asciiTheme="minorHAnsi" w:eastAsiaTheme="minorEastAsia" w:hAnsiTheme="minorHAnsi"/>
          <w:noProof/>
          <w:kern w:val="2"/>
          <w14:ligatures w14:val="standardContextual"/>
        </w:rPr>
      </w:pPr>
      <w:hyperlink w:anchor="_Toc162998111" w:history="1">
        <w:r w:rsidR="00E805A4" w:rsidRPr="00A538A6">
          <w:rPr>
            <w:rStyle w:val="Hyperlink"/>
            <w:noProof/>
          </w:rPr>
          <w:t>Table S7</w:t>
        </w:r>
        <w:r w:rsidR="00E805A4" w:rsidRPr="00A538A6">
          <w:rPr>
            <w:rStyle w:val="Hyperlink"/>
            <w:bCs/>
            <w:noProof/>
          </w:rPr>
          <w:t xml:space="preserve"> | </w:t>
        </w:r>
        <w:r w:rsidR="00E805A4" w:rsidRPr="00A538A6">
          <w:rPr>
            <w:rStyle w:val="Hyperlink"/>
            <w:noProof/>
          </w:rPr>
          <w:t>Relationship between end-of-century agroeconomic or environmental responses and corresponding effective labor shocks.</w:t>
        </w:r>
        <w:r w:rsidR="00E805A4">
          <w:rPr>
            <w:noProof/>
            <w:webHidden/>
          </w:rPr>
          <w:tab/>
        </w:r>
        <w:r w:rsidR="00E805A4">
          <w:rPr>
            <w:noProof/>
            <w:webHidden/>
          </w:rPr>
          <w:fldChar w:fldCharType="begin"/>
        </w:r>
        <w:r w:rsidR="00E805A4">
          <w:rPr>
            <w:noProof/>
            <w:webHidden/>
          </w:rPr>
          <w:instrText xml:space="preserve"> PAGEREF _Toc162998111 \h </w:instrText>
        </w:r>
        <w:r w:rsidR="00E805A4">
          <w:rPr>
            <w:noProof/>
            <w:webHidden/>
          </w:rPr>
        </w:r>
        <w:r w:rsidR="00E805A4">
          <w:rPr>
            <w:noProof/>
            <w:webHidden/>
          </w:rPr>
          <w:fldChar w:fldCharType="separate"/>
        </w:r>
        <w:r w:rsidR="00E805A4">
          <w:rPr>
            <w:noProof/>
            <w:webHidden/>
          </w:rPr>
          <w:t>29</w:t>
        </w:r>
        <w:r w:rsidR="00E805A4">
          <w:rPr>
            <w:noProof/>
            <w:webHidden/>
          </w:rPr>
          <w:fldChar w:fldCharType="end"/>
        </w:r>
      </w:hyperlink>
    </w:p>
    <w:p w14:paraId="03790AF7" w14:textId="6316B448" w:rsidR="000E6933" w:rsidRPr="00537CC3" w:rsidRDefault="000E6933" w:rsidP="008A465A">
      <w:pPr>
        <w:spacing w:line="276" w:lineRule="auto"/>
      </w:pPr>
      <w:r w:rsidRPr="008A465A">
        <w:rPr>
          <w:rFonts w:ascii="Arial" w:hAnsi="Arial" w:cs="Arial"/>
        </w:rPr>
        <w:fldChar w:fldCharType="end"/>
      </w:r>
    </w:p>
    <w:p w14:paraId="30533358" w14:textId="2EC30BC4" w:rsidR="00E805A4" w:rsidRDefault="000E6933">
      <w:pPr>
        <w:pStyle w:val="TableofFigures"/>
        <w:tabs>
          <w:tab w:val="right" w:leader="dot" w:pos="10790"/>
        </w:tabs>
        <w:rPr>
          <w:rFonts w:asciiTheme="minorHAnsi" w:eastAsiaTheme="minorEastAsia" w:hAnsiTheme="minorHAnsi"/>
          <w:noProof/>
          <w:kern w:val="2"/>
          <w14:ligatures w14:val="standardContextual"/>
        </w:rPr>
      </w:pPr>
      <w:r>
        <w:rPr>
          <w:b/>
          <w:bCs/>
          <w:sz w:val="20"/>
          <w:szCs w:val="24"/>
        </w:rPr>
        <w:fldChar w:fldCharType="begin"/>
      </w:r>
      <w:r>
        <w:rPr>
          <w:b/>
          <w:bCs/>
          <w:sz w:val="20"/>
          <w:szCs w:val="24"/>
        </w:rPr>
        <w:instrText xml:space="preserve"> TOC \h \z \c "Fig. S" </w:instrText>
      </w:r>
      <w:r>
        <w:rPr>
          <w:b/>
          <w:bCs/>
          <w:sz w:val="20"/>
          <w:szCs w:val="24"/>
        </w:rPr>
        <w:fldChar w:fldCharType="separate"/>
      </w:r>
      <w:hyperlink w:anchor="_Toc162998112" w:history="1">
        <w:r w:rsidR="00E805A4" w:rsidRPr="00CC585A">
          <w:rPr>
            <w:rStyle w:val="Hyperlink"/>
            <w:noProof/>
          </w:rPr>
          <w:t>Fig. S1 | Land nesting structure in GCAM.</w:t>
        </w:r>
        <w:r w:rsidR="00E805A4">
          <w:rPr>
            <w:noProof/>
            <w:webHidden/>
          </w:rPr>
          <w:tab/>
        </w:r>
        <w:r w:rsidR="00E805A4">
          <w:rPr>
            <w:noProof/>
            <w:webHidden/>
          </w:rPr>
          <w:fldChar w:fldCharType="begin"/>
        </w:r>
        <w:r w:rsidR="00E805A4">
          <w:rPr>
            <w:noProof/>
            <w:webHidden/>
          </w:rPr>
          <w:instrText xml:space="preserve"> PAGEREF _Toc162998112 \h </w:instrText>
        </w:r>
        <w:r w:rsidR="00E805A4">
          <w:rPr>
            <w:noProof/>
            <w:webHidden/>
          </w:rPr>
        </w:r>
        <w:r w:rsidR="00E805A4">
          <w:rPr>
            <w:noProof/>
            <w:webHidden/>
          </w:rPr>
          <w:fldChar w:fldCharType="separate"/>
        </w:r>
        <w:r w:rsidR="00E805A4">
          <w:rPr>
            <w:noProof/>
            <w:webHidden/>
          </w:rPr>
          <w:t>7</w:t>
        </w:r>
        <w:r w:rsidR="00E805A4">
          <w:rPr>
            <w:noProof/>
            <w:webHidden/>
          </w:rPr>
          <w:fldChar w:fldCharType="end"/>
        </w:r>
      </w:hyperlink>
    </w:p>
    <w:p w14:paraId="02E58353" w14:textId="3AAE1FB7" w:rsidR="00E805A4" w:rsidRDefault="00000000">
      <w:pPr>
        <w:pStyle w:val="TableofFigures"/>
        <w:tabs>
          <w:tab w:val="right" w:leader="dot" w:pos="10790"/>
        </w:tabs>
        <w:rPr>
          <w:rFonts w:asciiTheme="minorHAnsi" w:eastAsiaTheme="minorEastAsia" w:hAnsiTheme="minorHAnsi"/>
          <w:noProof/>
          <w:kern w:val="2"/>
          <w14:ligatures w14:val="standardContextual"/>
        </w:rPr>
      </w:pPr>
      <w:hyperlink w:anchor="_Toc162998113" w:history="1">
        <w:r w:rsidR="00E805A4" w:rsidRPr="00CC585A">
          <w:rPr>
            <w:rStyle w:val="Hyperlink"/>
            <w:rFonts w:cs="Arial"/>
            <w:noProof/>
          </w:rPr>
          <w:t>Fig. S2 | Food demand nesting structure in GCAM v7.</w:t>
        </w:r>
        <w:r w:rsidR="00E805A4">
          <w:rPr>
            <w:noProof/>
            <w:webHidden/>
          </w:rPr>
          <w:tab/>
        </w:r>
        <w:r w:rsidR="00E805A4">
          <w:rPr>
            <w:noProof/>
            <w:webHidden/>
          </w:rPr>
          <w:fldChar w:fldCharType="begin"/>
        </w:r>
        <w:r w:rsidR="00E805A4">
          <w:rPr>
            <w:noProof/>
            <w:webHidden/>
          </w:rPr>
          <w:instrText xml:space="preserve"> PAGEREF _Toc162998113 \h </w:instrText>
        </w:r>
        <w:r w:rsidR="00E805A4">
          <w:rPr>
            <w:noProof/>
            <w:webHidden/>
          </w:rPr>
        </w:r>
        <w:r w:rsidR="00E805A4">
          <w:rPr>
            <w:noProof/>
            <w:webHidden/>
          </w:rPr>
          <w:fldChar w:fldCharType="separate"/>
        </w:r>
        <w:r w:rsidR="00E805A4">
          <w:rPr>
            <w:noProof/>
            <w:webHidden/>
          </w:rPr>
          <w:t>8</w:t>
        </w:r>
        <w:r w:rsidR="00E805A4">
          <w:rPr>
            <w:noProof/>
            <w:webHidden/>
          </w:rPr>
          <w:fldChar w:fldCharType="end"/>
        </w:r>
      </w:hyperlink>
    </w:p>
    <w:p w14:paraId="39EBBE27" w14:textId="3A680B38" w:rsidR="00E805A4" w:rsidRDefault="00000000">
      <w:pPr>
        <w:pStyle w:val="TableofFigures"/>
        <w:tabs>
          <w:tab w:val="right" w:leader="dot" w:pos="10790"/>
        </w:tabs>
        <w:rPr>
          <w:rFonts w:asciiTheme="minorHAnsi" w:eastAsiaTheme="minorEastAsia" w:hAnsiTheme="minorHAnsi"/>
          <w:noProof/>
          <w:kern w:val="2"/>
          <w14:ligatures w14:val="standardContextual"/>
        </w:rPr>
      </w:pPr>
      <w:hyperlink w:anchor="_Toc162998114" w:history="1">
        <w:r w:rsidR="00E805A4" w:rsidRPr="00CC585A">
          <w:rPr>
            <w:rStyle w:val="Hyperlink"/>
            <w:noProof/>
          </w:rPr>
          <w:t xml:space="preserve">Fig. S3 </w:t>
        </w:r>
        <w:r w:rsidR="00E805A4" w:rsidRPr="00CC585A">
          <w:rPr>
            <w:rStyle w:val="Hyperlink"/>
            <w:rFonts w:cs="Arial"/>
            <w:noProof/>
          </w:rPr>
          <w:t>| Impact of labor market evolution on effective labor supply and effective labor market equilibrium through three parameters.</w:t>
        </w:r>
        <w:r w:rsidR="00E805A4">
          <w:rPr>
            <w:noProof/>
            <w:webHidden/>
          </w:rPr>
          <w:tab/>
        </w:r>
        <w:r w:rsidR="00E805A4">
          <w:rPr>
            <w:noProof/>
            <w:webHidden/>
          </w:rPr>
          <w:fldChar w:fldCharType="begin"/>
        </w:r>
        <w:r w:rsidR="00E805A4">
          <w:rPr>
            <w:noProof/>
            <w:webHidden/>
          </w:rPr>
          <w:instrText xml:space="preserve"> PAGEREF _Toc162998114 \h </w:instrText>
        </w:r>
        <w:r w:rsidR="00E805A4">
          <w:rPr>
            <w:noProof/>
            <w:webHidden/>
          </w:rPr>
        </w:r>
        <w:r w:rsidR="00E805A4">
          <w:rPr>
            <w:noProof/>
            <w:webHidden/>
          </w:rPr>
          <w:fldChar w:fldCharType="separate"/>
        </w:r>
        <w:r w:rsidR="00E805A4">
          <w:rPr>
            <w:noProof/>
            <w:webHidden/>
          </w:rPr>
          <w:t>10</w:t>
        </w:r>
        <w:r w:rsidR="00E805A4">
          <w:rPr>
            <w:noProof/>
            <w:webHidden/>
          </w:rPr>
          <w:fldChar w:fldCharType="end"/>
        </w:r>
      </w:hyperlink>
    </w:p>
    <w:p w14:paraId="23EA9E16" w14:textId="1E536B92" w:rsidR="00E805A4" w:rsidRDefault="00000000">
      <w:pPr>
        <w:pStyle w:val="TableofFigures"/>
        <w:tabs>
          <w:tab w:val="right" w:leader="dot" w:pos="10790"/>
        </w:tabs>
        <w:rPr>
          <w:rFonts w:asciiTheme="minorHAnsi" w:eastAsiaTheme="minorEastAsia" w:hAnsiTheme="minorHAnsi"/>
          <w:noProof/>
          <w:kern w:val="2"/>
          <w14:ligatures w14:val="standardContextual"/>
        </w:rPr>
      </w:pPr>
      <w:hyperlink w:anchor="_Toc162998115" w:history="1">
        <w:r w:rsidR="00E805A4" w:rsidRPr="00CC585A">
          <w:rPr>
            <w:rStyle w:val="Hyperlink"/>
            <w:noProof/>
          </w:rPr>
          <w:t>Fig. S4 | Schematic of agricultural labor data processing flow.</w:t>
        </w:r>
        <w:r w:rsidR="00E805A4">
          <w:rPr>
            <w:noProof/>
            <w:webHidden/>
          </w:rPr>
          <w:tab/>
        </w:r>
        <w:r w:rsidR="00E805A4">
          <w:rPr>
            <w:noProof/>
            <w:webHidden/>
          </w:rPr>
          <w:fldChar w:fldCharType="begin"/>
        </w:r>
        <w:r w:rsidR="00E805A4">
          <w:rPr>
            <w:noProof/>
            <w:webHidden/>
          </w:rPr>
          <w:instrText xml:space="preserve"> PAGEREF _Toc162998115 \h </w:instrText>
        </w:r>
        <w:r w:rsidR="00E805A4">
          <w:rPr>
            <w:noProof/>
            <w:webHidden/>
          </w:rPr>
        </w:r>
        <w:r w:rsidR="00E805A4">
          <w:rPr>
            <w:noProof/>
            <w:webHidden/>
          </w:rPr>
          <w:fldChar w:fldCharType="separate"/>
        </w:r>
        <w:r w:rsidR="00E805A4">
          <w:rPr>
            <w:noProof/>
            <w:webHidden/>
          </w:rPr>
          <w:t>12</w:t>
        </w:r>
        <w:r w:rsidR="00E805A4">
          <w:rPr>
            <w:noProof/>
            <w:webHidden/>
          </w:rPr>
          <w:fldChar w:fldCharType="end"/>
        </w:r>
      </w:hyperlink>
    </w:p>
    <w:p w14:paraId="7ABF7A25" w14:textId="006ECF75" w:rsidR="00E805A4" w:rsidRDefault="00000000">
      <w:pPr>
        <w:pStyle w:val="TableofFigures"/>
        <w:tabs>
          <w:tab w:val="right" w:leader="dot" w:pos="10790"/>
        </w:tabs>
        <w:rPr>
          <w:rFonts w:asciiTheme="minorHAnsi" w:eastAsiaTheme="minorEastAsia" w:hAnsiTheme="minorHAnsi"/>
          <w:noProof/>
          <w:kern w:val="2"/>
          <w14:ligatures w14:val="standardContextual"/>
        </w:rPr>
      </w:pPr>
      <w:hyperlink w:anchor="_Toc162998116" w:history="1">
        <w:r w:rsidR="00E805A4" w:rsidRPr="00CC585A">
          <w:rPr>
            <w:rStyle w:val="Hyperlink"/>
            <w:noProof/>
          </w:rPr>
          <w:t>Fig. S5 | Agricultural labor input share across regions and sectors in 2015.</w:t>
        </w:r>
        <w:r w:rsidR="00E805A4">
          <w:rPr>
            <w:noProof/>
            <w:webHidden/>
          </w:rPr>
          <w:tab/>
        </w:r>
        <w:r w:rsidR="00E805A4">
          <w:rPr>
            <w:noProof/>
            <w:webHidden/>
          </w:rPr>
          <w:fldChar w:fldCharType="begin"/>
        </w:r>
        <w:r w:rsidR="00E805A4">
          <w:rPr>
            <w:noProof/>
            <w:webHidden/>
          </w:rPr>
          <w:instrText xml:space="preserve"> PAGEREF _Toc162998116 \h </w:instrText>
        </w:r>
        <w:r w:rsidR="00E805A4">
          <w:rPr>
            <w:noProof/>
            <w:webHidden/>
          </w:rPr>
        </w:r>
        <w:r w:rsidR="00E805A4">
          <w:rPr>
            <w:noProof/>
            <w:webHidden/>
          </w:rPr>
          <w:fldChar w:fldCharType="separate"/>
        </w:r>
        <w:r w:rsidR="00E805A4">
          <w:rPr>
            <w:noProof/>
            <w:webHidden/>
          </w:rPr>
          <w:t>14</w:t>
        </w:r>
        <w:r w:rsidR="00E805A4">
          <w:rPr>
            <w:noProof/>
            <w:webHidden/>
          </w:rPr>
          <w:fldChar w:fldCharType="end"/>
        </w:r>
      </w:hyperlink>
    </w:p>
    <w:p w14:paraId="1EBDDA93" w14:textId="64F1C24F" w:rsidR="00E805A4" w:rsidRDefault="00000000">
      <w:pPr>
        <w:pStyle w:val="TableofFigures"/>
        <w:tabs>
          <w:tab w:val="right" w:leader="dot" w:pos="10790"/>
        </w:tabs>
        <w:rPr>
          <w:rFonts w:asciiTheme="minorHAnsi" w:eastAsiaTheme="minorEastAsia" w:hAnsiTheme="minorHAnsi"/>
          <w:noProof/>
          <w:kern w:val="2"/>
          <w14:ligatures w14:val="standardContextual"/>
        </w:rPr>
      </w:pPr>
      <w:hyperlink w:anchor="_Toc162998117" w:history="1">
        <w:r w:rsidR="00E805A4" w:rsidRPr="00CC585A">
          <w:rPr>
            <w:rStyle w:val="Hyperlink"/>
            <w:noProof/>
          </w:rPr>
          <w:t>Fig. S6 | Projections of agricultural productivity across regions and scenarios.</w:t>
        </w:r>
        <w:r w:rsidR="00E805A4">
          <w:rPr>
            <w:noProof/>
            <w:webHidden/>
          </w:rPr>
          <w:tab/>
        </w:r>
        <w:r w:rsidR="00E805A4">
          <w:rPr>
            <w:noProof/>
            <w:webHidden/>
          </w:rPr>
          <w:fldChar w:fldCharType="begin"/>
        </w:r>
        <w:r w:rsidR="00E805A4">
          <w:rPr>
            <w:noProof/>
            <w:webHidden/>
          </w:rPr>
          <w:instrText xml:space="preserve"> PAGEREF _Toc162998117 \h </w:instrText>
        </w:r>
        <w:r w:rsidR="00E805A4">
          <w:rPr>
            <w:noProof/>
            <w:webHidden/>
          </w:rPr>
        </w:r>
        <w:r w:rsidR="00E805A4">
          <w:rPr>
            <w:noProof/>
            <w:webHidden/>
          </w:rPr>
          <w:fldChar w:fldCharType="separate"/>
        </w:r>
        <w:r w:rsidR="00E805A4">
          <w:rPr>
            <w:noProof/>
            <w:webHidden/>
          </w:rPr>
          <w:t>15</w:t>
        </w:r>
        <w:r w:rsidR="00E805A4">
          <w:rPr>
            <w:noProof/>
            <w:webHidden/>
          </w:rPr>
          <w:fldChar w:fldCharType="end"/>
        </w:r>
      </w:hyperlink>
    </w:p>
    <w:p w14:paraId="7476FA10" w14:textId="49EA656D" w:rsidR="00E805A4" w:rsidRDefault="00000000">
      <w:pPr>
        <w:pStyle w:val="TableofFigures"/>
        <w:tabs>
          <w:tab w:val="right" w:leader="dot" w:pos="10790"/>
        </w:tabs>
        <w:rPr>
          <w:rFonts w:asciiTheme="minorHAnsi" w:eastAsiaTheme="minorEastAsia" w:hAnsiTheme="minorHAnsi"/>
          <w:noProof/>
          <w:kern w:val="2"/>
          <w14:ligatures w14:val="standardContextual"/>
        </w:rPr>
      </w:pPr>
      <w:hyperlink w:anchor="_Toc162998118" w:history="1">
        <w:r w:rsidR="00E805A4" w:rsidRPr="00CC585A">
          <w:rPr>
            <w:rStyle w:val="Hyperlink"/>
            <w:noProof/>
          </w:rPr>
          <w:t>Fig. S7 | Projections of rural population across regions and scenarios.</w:t>
        </w:r>
        <w:r w:rsidR="00E805A4">
          <w:rPr>
            <w:noProof/>
            <w:webHidden/>
          </w:rPr>
          <w:tab/>
        </w:r>
        <w:r w:rsidR="00E805A4">
          <w:rPr>
            <w:noProof/>
            <w:webHidden/>
          </w:rPr>
          <w:fldChar w:fldCharType="begin"/>
        </w:r>
        <w:r w:rsidR="00E805A4">
          <w:rPr>
            <w:noProof/>
            <w:webHidden/>
          </w:rPr>
          <w:instrText xml:space="preserve"> PAGEREF _Toc162998118 \h </w:instrText>
        </w:r>
        <w:r w:rsidR="00E805A4">
          <w:rPr>
            <w:noProof/>
            <w:webHidden/>
          </w:rPr>
        </w:r>
        <w:r w:rsidR="00E805A4">
          <w:rPr>
            <w:noProof/>
            <w:webHidden/>
          </w:rPr>
          <w:fldChar w:fldCharType="separate"/>
        </w:r>
        <w:r w:rsidR="00E805A4">
          <w:rPr>
            <w:noProof/>
            <w:webHidden/>
          </w:rPr>
          <w:t>16</w:t>
        </w:r>
        <w:r w:rsidR="00E805A4">
          <w:rPr>
            <w:noProof/>
            <w:webHidden/>
          </w:rPr>
          <w:fldChar w:fldCharType="end"/>
        </w:r>
      </w:hyperlink>
    </w:p>
    <w:p w14:paraId="13642EA7" w14:textId="214BD0B6" w:rsidR="00E805A4" w:rsidRDefault="00000000">
      <w:pPr>
        <w:pStyle w:val="TableofFigures"/>
        <w:tabs>
          <w:tab w:val="right" w:leader="dot" w:pos="10790"/>
        </w:tabs>
        <w:rPr>
          <w:rFonts w:asciiTheme="minorHAnsi" w:eastAsiaTheme="minorEastAsia" w:hAnsiTheme="minorHAnsi"/>
          <w:noProof/>
          <w:kern w:val="2"/>
          <w14:ligatures w14:val="standardContextual"/>
        </w:rPr>
      </w:pPr>
      <w:hyperlink w:anchor="_Toc162998119" w:history="1">
        <w:r w:rsidR="00E805A4" w:rsidRPr="00CC585A">
          <w:rPr>
            <w:rStyle w:val="Hyperlink"/>
            <w:noProof/>
          </w:rPr>
          <w:t>Fig. S8 | Projections of population and labor-related metrics across regions in the Evolving scenario.</w:t>
        </w:r>
        <w:r w:rsidR="00E805A4">
          <w:rPr>
            <w:noProof/>
            <w:webHidden/>
          </w:rPr>
          <w:tab/>
        </w:r>
        <w:r w:rsidR="00E805A4">
          <w:rPr>
            <w:noProof/>
            <w:webHidden/>
          </w:rPr>
          <w:fldChar w:fldCharType="begin"/>
        </w:r>
        <w:r w:rsidR="00E805A4">
          <w:rPr>
            <w:noProof/>
            <w:webHidden/>
          </w:rPr>
          <w:instrText xml:space="preserve"> PAGEREF _Toc162998119 \h </w:instrText>
        </w:r>
        <w:r w:rsidR="00E805A4">
          <w:rPr>
            <w:noProof/>
            <w:webHidden/>
          </w:rPr>
        </w:r>
        <w:r w:rsidR="00E805A4">
          <w:rPr>
            <w:noProof/>
            <w:webHidden/>
          </w:rPr>
          <w:fldChar w:fldCharType="separate"/>
        </w:r>
        <w:r w:rsidR="00E805A4">
          <w:rPr>
            <w:noProof/>
            <w:webHidden/>
          </w:rPr>
          <w:t>18</w:t>
        </w:r>
        <w:r w:rsidR="00E805A4">
          <w:rPr>
            <w:noProof/>
            <w:webHidden/>
          </w:rPr>
          <w:fldChar w:fldCharType="end"/>
        </w:r>
      </w:hyperlink>
    </w:p>
    <w:p w14:paraId="055E7372" w14:textId="32D2B3A0" w:rsidR="00E805A4" w:rsidRDefault="00000000">
      <w:pPr>
        <w:pStyle w:val="TableofFigures"/>
        <w:tabs>
          <w:tab w:val="right" w:leader="dot" w:pos="10790"/>
        </w:tabs>
        <w:rPr>
          <w:rFonts w:asciiTheme="minorHAnsi" w:eastAsiaTheme="minorEastAsia" w:hAnsiTheme="minorHAnsi"/>
          <w:noProof/>
          <w:kern w:val="2"/>
          <w14:ligatures w14:val="standardContextual"/>
        </w:rPr>
      </w:pPr>
      <w:hyperlink w:anchor="_Toc162998120" w:history="1">
        <w:r w:rsidR="00E805A4" w:rsidRPr="00CC585A">
          <w:rPr>
            <w:rStyle w:val="Hyperlink"/>
            <w:noProof/>
          </w:rPr>
          <w:t>Fig. S9 | Projections of agroeconomic and environmental results in the Evolving scenario.</w:t>
        </w:r>
        <w:r w:rsidR="00E805A4">
          <w:rPr>
            <w:noProof/>
            <w:webHidden/>
          </w:rPr>
          <w:tab/>
        </w:r>
        <w:r w:rsidR="00E805A4">
          <w:rPr>
            <w:noProof/>
            <w:webHidden/>
          </w:rPr>
          <w:fldChar w:fldCharType="begin"/>
        </w:r>
        <w:r w:rsidR="00E805A4">
          <w:rPr>
            <w:noProof/>
            <w:webHidden/>
          </w:rPr>
          <w:instrText xml:space="preserve"> PAGEREF _Toc162998120 \h </w:instrText>
        </w:r>
        <w:r w:rsidR="00E805A4">
          <w:rPr>
            <w:noProof/>
            <w:webHidden/>
          </w:rPr>
        </w:r>
        <w:r w:rsidR="00E805A4">
          <w:rPr>
            <w:noProof/>
            <w:webHidden/>
          </w:rPr>
          <w:fldChar w:fldCharType="separate"/>
        </w:r>
        <w:r w:rsidR="00E805A4">
          <w:rPr>
            <w:noProof/>
            <w:webHidden/>
          </w:rPr>
          <w:t>19</w:t>
        </w:r>
        <w:r w:rsidR="00E805A4">
          <w:rPr>
            <w:noProof/>
            <w:webHidden/>
          </w:rPr>
          <w:fldChar w:fldCharType="end"/>
        </w:r>
      </w:hyperlink>
    </w:p>
    <w:p w14:paraId="137F876D" w14:textId="4A9736C8" w:rsidR="00E805A4" w:rsidRDefault="00000000">
      <w:pPr>
        <w:pStyle w:val="TableofFigures"/>
        <w:tabs>
          <w:tab w:val="right" w:leader="dot" w:pos="10790"/>
        </w:tabs>
        <w:rPr>
          <w:rFonts w:asciiTheme="minorHAnsi" w:eastAsiaTheme="minorEastAsia" w:hAnsiTheme="minorHAnsi"/>
          <w:noProof/>
          <w:kern w:val="2"/>
          <w14:ligatures w14:val="standardContextual"/>
        </w:rPr>
      </w:pPr>
      <w:hyperlink w:anchor="_Toc162998121" w:history="1">
        <w:r w:rsidR="00E805A4" w:rsidRPr="00CC585A">
          <w:rPr>
            <w:rStyle w:val="Hyperlink"/>
            <w:noProof/>
          </w:rPr>
          <w:t>Fig. S10 | Projections of agricultural labor-related metrics from Evolving and Static scenarios across regions.</w:t>
        </w:r>
        <w:r w:rsidR="00E805A4">
          <w:rPr>
            <w:noProof/>
            <w:webHidden/>
          </w:rPr>
          <w:tab/>
        </w:r>
        <w:r w:rsidR="00E805A4">
          <w:rPr>
            <w:noProof/>
            <w:webHidden/>
          </w:rPr>
          <w:fldChar w:fldCharType="begin"/>
        </w:r>
        <w:r w:rsidR="00E805A4">
          <w:rPr>
            <w:noProof/>
            <w:webHidden/>
          </w:rPr>
          <w:instrText xml:space="preserve"> PAGEREF _Toc162998121 \h </w:instrText>
        </w:r>
        <w:r w:rsidR="00E805A4">
          <w:rPr>
            <w:noProof/>
            <w:webHidden/>
          </w:rPr>
        </w:r>
        <w:r w:rsidR="00E805A4">
          <w:rPr>
            <w:noProof/>
            <w:webHidden/>
          </w:rPr>
          <w:fldChar w:fldCharType="separate"/>
        </w:r>
        <w:r w:rsidR="00E805A4">
          <w:rPr>
            <w:noProof/>
            <w:webHidden/>
          </w:rPr>
          <w:t>20</w:t>
        </w:r>
        <w:r w:rsidR="00E805A4">
          <w:rPr>
            <w:noProof/>
            <w:webHidden/>
          </w:rPr>
          <w:fldChar w:fldCharType="end"/>
        </w:r>
      </w:hyperlink>
    </w:p>
    <w:p w14:paraId="1E7B1E1E" w14:textId="0827CD78" w:rsidR="00E805A4" w:rsidRDefault="00000000">
      <w:pPr>
        <w:pStyle w:val="TableofFigures"/>
        <w:tabs>
          <w:tab w:val="right" w:leader="dot" w:pos="10790"/>
        </w:tabs>
        <w:rPr>
          <w:rFonts w:asciiTheme="minorHAnsi" w:eastAsiaTheme="minorEastAsia" w:hAnsiTheme="minorHAnsi"/>
          <w:noProof/>
          <w:kern w:val="2"/>
          <w14:ligatures w14:val="standardContextual"/>
        </w:rPr>
      </w:pPr>
      <w:hyperlink w:anchor="_Toc162998122" w:history="1">
        <w:r w:rsidR="00E805A4" w:rsidRPr="00CC585A">
          <w:rPr>
            <w:rStyle w:val="Hyperlink"/>
            <w:noProof/>
          </w:rPr>
          <w:t>Fig. S11 | Impact of labor market evolution (Evolving vs. Static) on agroeconomic and environmental projections.</w:t>
        </w:r>
        <w:r w:rsidR="00E805A4">
          <w:rPr>
            <w:noProof/>
            <w:webHidden/>
          </w:rPr>
          <w:tab/>
        </w:r>
        <w:r w:rsidR="00E805A4">
          <w:rPr>
            <w:noProof/>
            <w:webHidden/>
          </w:rPr>
          <w:fldChar w:fldCharType="begin"/>
        </w:r>
        <w:r w:rsidR="00E805A4">
          <w:rPr>
            <w:noProof/>
            <w:webHidden/>
          </w:rPr>
          <w:instrText xml:space="preserve"> PAGEREF _Toc162998122 \h </w:instrText>
        </w:r>
        <w:r w:rsidR="00E805A4">
          <w:rPr>
            <w:noProof/>
            <w:webHidden/>
          </w:rPr>
        </w:r>
        <w:r w:rsidR="00E805A4">
          <w:rPr>
            <w:noProof/>
            <w:webHidden/>
          </w:rPr>
          <w:fldChar w:fldCharType="separate"/>
        </w:r>
        <w:r w:rsidR="00E805A4">
          <w:rPr>
            <w:noProof/>
            <w:webHidden/>
          </w:rPr>
          <w:t>21</w:t>
        </w:r>
        <w:r w:rsidR="00E805A4">
          <w:rPr>
            <w:noProof/>
            <w:webHidden/>
          </w:rPr>
          <w:fldChar w:fldCharType="end"/>
        </w:r>
      </w:hyperlink>
    </w:p>
    <w:p w14:paraId="743F1D3E" w14:textId="50EB016A" w:rsidR="00E805A4" w:rsidRDefault="00000000">
      <w:pPr>
        <w:pStyle w:val="TableofFigures"/>
        <w:tabs>
          <w:tab w:val="right" w:leader="dot" w:pos="10790"/>
        </w:tabs>
        <w:rPr>
          <w:rFonts w:asciiTheme="minorHAnsi" w:eastAsiaTheme="minorEastAsia" w:hAnsiTheme="minorHAnsi"/>
          <w:noProof/>
          <w:kern w:val="2"/>
          <w14:ligatures w14:val="standardContextual"/>
        </w:rPr>
      </w:pPr>
      <w:hyperlink w:anchor="_Toc162998123" w:history="1">
        <w:r w:rsidR="00E805A4" w:rsidRPr="00CC585A">
          <w:rPr>
            <w:rStyle w:val="Hyperlink"/>
            <w:noProof/>
          </w:rPr>
          <w:t>Fig. S12 | Agricultural methane and nitrous oxide emissions by GCAM sector.</w:t>
        </w:r>
        <w:r w:rsidR="00E805A4">
          <w:rPr>
            <w:noProof/>
            <w:webHidden/>
          </w:rPr>
          <w:tab/>
        </w:r>
        <w:r w:rsidR="00E805A4">
          <w:rPr>
            <w:noProof/>
            <w:webHidden/>
          </w:rPr>
          <w:fldChar w:fldCharType="begin"/>
        </w:r>
        <w:r w:rsidR="00E805A4">
          <w:rPr>
            <w:noProof/>
            <w:webHidden/>
          </w:rPr>
          <w:instrText xml:space="preserve"> PAGEREF _Toc162998123 \h </w:instrText>
        </w:r>
        <w:r w:rsidR="00E805A4">
          <w:rPr>
            <w:noProof/>
            <w:webHidden/>
          </w:rPr>
        </w:r>
        <w:r w:rsidR="00E805A4">
          <w:rPr>
            <w:noProof/>
            <w:webHidden/>
          </w:rPr>
          <w:fldChar w:fldCharType="separate"/>
        </w:r>
        <w:r w:rsidR="00E805A4">
          <w:rPr>
            <w:noProof/>
            <w:webHidden/>
          </w:rPr>
          <w:t>22</w:t>
        </w:r>
        <w:r w:rsidR="00E805A4">
          <w:rPr>
            <w:noProof/>
            <w:webHidden/>
          </w:rPr>
          <w:fldChar w:fldCharType="end"/>
        </w:r>
      </w:hyperlink>
    </w:p>
    <w:p w14:paraId="3451C424" w14:textId="123F412E" w:rsidR="00E805A4" w:rsidRDefault="00000000">
      <w:pPr>
        <w:pStyle w:val="TableofFigures"/>
        <w:tabs>
          <w:tab w:val="right" w:leader="dot" w:pos="10790"/>
        </w:tabs>
        <w:rPr>
          <w:rFonts w:asciiTheme="minorHAnsi" w:eastAsiaTheme="minorEastAsia" w:hAnsiTheme="minorHAnsi"/>
          <w:noProof/>
          <w:kern w:val="2"/>
          <w14:ligatures w14:val="standardContextual"/>
        </w:rPr>
      </w:pPr>
      <w:hyperlink w:anchor="_Toc162998124" w:history="1">
        <w:r w:rsidR="00E805A4" w:rsidRPr="00CC585A">
          <w:rPr>
            <w:rStyle w:val="Hyperlink"/>
            <w:noProof/>
          </w:rPr>
          <w:t>Fig. S13 | Agricultural effective labor across regions and scenarios.</w:t>
        </w:r>
        <w:r w:rsidR="00E805A4">
          <w:rPr>
            <w:noProof/>
            <w:webHidden/>
          </w:rPr>
          <w:tab/>
        </w:r>
        <w:r w:rsidR="00E805A4">
          <w:rPr>
            <w:noProof/>
            <w:webHidden/>
          </w:rPr>
          <w:fldChar w:fldCharType="begin"/>
        </w:r>
        <w:r w:rsidR="00E805A4">
          <w:rPr>
            <w:noProof/>
            <w:webHidden/>
          </w:rPr>
          <w:instrText xml:space="preserve"> PAGEREF _Toc162998124 \h </w:instrText>
        </w:r>
        <w:r w:rsidR="00E805A4">
          <w:rPr>
            <w:noProof/>
            <w:webHidden/>
          </w:rPr>
        </w:r>
        <w:r w:rsidR="00E805A4">
          <w:rPr>
            <w:noProof/>
            <w:webHidden/>
          </w:rPr>
          <w:fldChar w:fldCharType="separate"/>
        </w:r>
        <w:r w:rsidR="00E805A4">
          <w:rPr>
            <w:noProof/>
            <w:webHidden/>
          </w:rPr>
          <w:t>23</w:t>
        </w:r>
        <w:r w:rsidR="00E805A4">
          <w:rPr>
            <w:noProof/>
            <w:webHidden/>
          </w:rPr>
          <w:fldChar w:fldCharType="end"/>
        </w:r>
      </w:hyperlink>
    </w:p>
    <w:p w14:paraId="3FDE7338" w14:textId="7A0F4BD8" w:rsidR="00E805A4" w:rsidRDefault="00000000">
      <w:pPr>
        <w:pStyle w:val="TableofFigures"/>
        <w:tabs>
          <w:tab w:val="right" w:leader="dot" w:pos="10790"/>
        </w:tabs>
        <w:rPr>
          <w:rFonts w:asciiTheme="minorHAnsi" w:eastAsiaTheme="minorEastAsia" w:hAnsiTheme="minorHAnsi"/>
          <w:noProof/>
          <w:kern w:val="2"/>
          <w14:ligatures w14:val="standardContextual"/>
        </w:rPr>
      </w:pPr>
      <w:hyperlink w:anchor="_Toc162998125" w:history="1">
        <w:r w:rsidR="00E805A4" w:rsidRPr="00CC585A">
          <w:rPr>
            <w:rStyle w:val="Hyperlink"/>
            <w:noProof/>
          </w:rPr>
          <w:t>Fig. S14 | Agricultural labor share of labor force overtime across regions and scenarios.</w:t>
        </w:r>
        <w:r w:rsidR="00E805A4">
          <w:rPr>
            <w:noProof/>
            <w:webHidden/>
          </w:rPr>
          <w:tab/>
        </w:r>
        <w:r w:rsidR="00E805A4">
          <w:rPr>
            <w:noProof/>
            <w:webHidden/>
          </w:rPr>
          <w:fldChar w:fldCharType="begin"/>
        </w:r>
        <w:r w:rsidR="00E805A4">
          <w:rPr>
            <w:noProof/>
            <w:webHidden/>
          </w:rPr>
          <w:instrText xml:space="preserve"> PAGEREF _Toc162998125 \h </w:instrText>
        </w:r>
        <w:r w:rsidR="00E805A4">
          <w:rPr>
            <w:noProof/>
            <w:webHidden/>
          </w:rPr>
        </w:r>
        <w:r w:rsidR="00E805A4">
          <w:rPr>
            <w:noProof/>
            <w:webHidden/>
          </w:rPr>
          <w:fldChar w:fldCharType="separate"/>
        </w:r>
        <w:r w:rsidR="00E805A4">
          <w:rPr>
            <w:noProof/>
            <w:webHidden/>
          </w:rPr>
          <w:t>24</w:t>
        </w:r>
        <w:r w:rsidR="00E805A4">
          <w:rPr>
            <w:noProof/>
            <w:webHidden/>
          </w:rPr>
          <w:fldChar w:fldCharType="end"/>
        </w:r>
      </w:hyperlink>
    </w:p>
    <w:p w14:paraId="53F6F286" w14:textId="04A1DA04" w:rsidR="00E805A4" w:rsidRDefault="00000000">
      <w:pPr>
        <w:pStyle w:val="TableofFigures"/>
        <w:tabs>
          <w:tab w:val="right" w:leader="dot" w:pos="10790"/>
        </w:tabs>
        <w:rPr>
          <w:rFonts w:asciiTheme="minorHAnsi" w:eastAsiaTheme="minorEastAsia" w:hAnsiTheme="minorHAnsi"/>
          <w:noProof/>
          <w:kern w:val="2"/>
          <w14:ligatures w14:val="standardContextual"/>
        </w:rPr>
      </w:pPr>
      <w:hyperlink w:anchor="_Toc162998126" w:history="1">
        <w:r w:rsidR="00E805A4" w:rsidRPr="00CC585A">
          <w:rPr>
            <w:rStyle w:val="Hyperlink"/>
            <w:noProof/>
          </w:rPr>
          <w:t>Fig. S15 | Sensitivity of end-of-century agroeconomic implications to labor market assumptions.</w:t>
        </w:r>
        <w:r w:rsidR="00E805A4">
          <w:rPr>
            <w:noProof/>
            <w:webHidden/>
          </w:rPr>
          <w:tab/>
        </w:r>
        <w:r w:rsidR="00E805A4">
          <w:rPr>
            <w:noProof/>
            <w:webHidden/>
          </w:rPr>
          <w:fldChar w:fldCharType="begin"/>
        </w:r>
        <w:r w:rsidR="00E805A4">
          <w:rPr>
            <w:noProof/>
            <w:webHidden/>
          </w:rPr>
          <w:instrText xml:space="preserve"> PAGEREF _Toc162998126 \h </w:instrText>
        </w:r>
        <w:r w:rsidR="00E805A4">
          <w:rPr>
            <w:noProof/>
            <w:webHidden/>
          </w:rPr>
        </w:r>
        <w:r w:rsidR="00E805A4">
          <w:rPr>
            <w:noProof/>
            <w:webHidden/>
          </w:rPr>
          <w:fldChar w:fldCharType="separate"/>
        </w:r>
        <w:r w:rsidR="00E805A4">
          <w:rPr>
            <w:noProof/>
            <w:webHidden/>
          </w:rPr>
          <w:t>25</w:t>
        </w:r>
        <w:r w:rsidR="00E805A4">
          <w:rPr>
            <w:noProof/>
            <w:webHidden/>
          </w:rPr>
          <w:fldChar w:fldCharType="end"/>
        </w:r>
      </w:hyperlink>
    </w:p>
    <w:p w14:paraId="43C2EDF3" w14:textId="3B9E48CF" w:rsidR="00E805A4" w:rsidRDefault="00000000">
      <w:pPr>
        <w:pStyle w:val="TableofFigures"/>
        <w:tabs>
          <w:tab w:val="right" w:leader="dot" w:pos="10790"/>
        </w:tabs>
        <w:rPr>
          <w:rFonts w:asciiTheme="minorHAnsi" w:eastAsiaTheme="minorEastAsia" w:hAnsiTheme="minorHAnsi"/>
          <w:noProof/>
          <w:kern w:val="2"/>
          <w14:ligatures w14:val="standardContextual"/>
        </w:rPr>
      </w:pPr>
      <w:hyperlink w:anchor="_Toc162998127" w:history="1">
        <w:r w:rsidR="00E805A4" w:rsidRPr="00CC585A">
          <w:rPr>
            <w:rStyle w:val="Hyperlink"/>
            <w:noProof/>
          </w:rPr>
          <w:t>Fig. S16 | Sensitivity of 2050 agroeconomic and emission implications to labor market assumptions.</w:t>
        </w:r>
        <w:r w:rsidR="00E805A4">
          <w:rPr>
            <w:noProof/>
            <w:webHidden/>
          </w:rPr>
          <w:tab/>
        </w:r>
        <w:r w:rsidR="00E805A4">
          <w:rPr>
            <w:noProof/>
            <w:webHidden/>
          </w:rPr>
          <w:fldChar w:fldCharType="begin"/>
        </w:r>
        <w:r w:rsidR="00E805A4">
          <w:rPr>
            <w:noProof/>
            <w:webHidden/>
          </w:rPr>
          <w:instrText xml:space="preserve"> PAGEREF _Toc162998127 \h </w:instrText>
        </w:r>
        <w:r w:rsidR="00E805A4">
          <w:rPr>
            <w:noProof/>
            <w:webHidden/>
          </w:rPr>
        </w:r>
        <w:r w:rsidR="00E805A4">
          <w:rPr>
            <w:noProof/>
            <w:webHidden/>
          </w:rPr>
          <w:fldChar w:fldCharType="separate"/>
        </w:r>
        <w:r w:rsidR="00E805A4">
          <w:rPr>
            <w:noProof/>
            <w:webHidden/>
          </w:rPr>
          <w:t>26</w:t>
        </w:r>
        <w:r w:rsidR="00E805A4">
          <w:rPr>
            <w:noProof/>
            <w:webHidden/>
          </w:rPr>
          <w:fldChar w:fldCharType="end"/>
        </w:r>
      </w:hyperlink>
    </w:p>
    <w:p w14:paraId="282F5301" w14:textId="63CF61FC" w:rsidR="00E805A4" w:rsidRDefault="00000000">
      <w:pPr>
        <w:pStyle w:val="TableofFigures"/>
        <w:tabs>
          <w:tab w:val="right" w:leader="dot" w:pos="10790"/>
        </w:tabs>
        <w:rPr>
          <w:rFonts w:asciiTheme="minorHAnsi" w:eastAsiaTheme="minorEastAsia" w:hAnsiTheme="minorHAnsi"/>
          <w:noProof/>
          <w:kern w:val="2"/>
          <w14:ligatures w14:val="standardContextual"/>
        </w:rPr>
      </w:pPr>
      <w:hyperlink w:anchor="_Toc162998128" w:history="1">
        <w:r w:rsidR="00E805A4" w:rsidRPr="00CC585A">
          <w:rPr>
            <w:rStyle w:val="Hyperlink"/>
            <w:noProof/>
          </w:rPr>
          <w:t>Fig. S17 | Sensitivity of 2050 agroeconomic implications to labor market assumptions.</w:t>
        </w:r>
        <w:r w:rsidR="00E805A4">
          <w:rPr>
            <w:noProof/>
            <w:webHidden/>
          </w:rPr>
          <w:tab/>
        </w:r>
        <w:r w:rsidR="00E805A4">
          <w:rPr>
            <w:noProof/>
            <w:webHidden/>
          </w:rPr>
          <w:fldChar w:fldCharType="begin"/>
        </w:r>
        <w:r w:rsidR="00E805A4">
          <w:rPr>
            <w:noProof/>
            <w:webHidden/>
          </w:rPr>
          <w:instrText xml:space="preserve"> PAGEREF _Toc162998128 \h </w:instrText>
        </w:r>
        <w:r w:rsidR="00E805A4">
          <w:rPr>
            <w:noProof/>
            <w:webHidden/>
          </w:rPr>
        </w:r>
        <w:r w:rsidR="00E805A4">
          <w:rPr>
            <w:noProof/>
            <w:webHidden/>
          </w:rPr>
          <w:fldChar w:fldCharType="separate"/>
        </w:r>
        <w:r w:rsidR="00E805A4">
          <w:rPr>
            <w:noProof/>
            <w:webHidden/>
          </w:rPr>
          <w:t>27</w:t>
        </w:r>
        <w:r w:rsidR="00E805A4">
          <w:rPr>
            <w:noProof/>
            <w:webHidden/>
          </w:rPr>
          <w:fldChar w:fldCharType="end"/>
        </w:r>
      </w:hyperlink>
    </w:p>
    <w:p w14:paraId="45C8DFFC" w14:textId="3A900B08" w:rsidR="005B1301" w:rsidRDefault="000E6933" w:rsidP="000E6933">
      <w:pPr>
        <w:rPr>
          <w:rFonts w:ascii="Arial" w:hAnsi="Arial"/>
          <w:b/>
          <w:bCs/>
          <w:sz w:val="20"/>
          <w:szCs w:val="24"/>
        </w:rPr>
      </w:pPr>
      <w:r>
        <w:rPr>
          <w:rFonts w:ascii="Arial" w:hAnsi="Arial"/>
          <w:b/>
          <w:bCs/>
          <w:sz w:val="20"/>
          <w:szCs w:val="24"/>
        </w:rPr>
        <w:fldChar w:fldCharType="end"/>
      </w:r>
    </w:p>
    <w:p w14:paraId="4645AE53" w14:textId="77777777" w:rsidR="005B1301" w:rsidRDefault="005B1301" w:rsidP="000E6933">
      <w:pPr>
        <w:rPr>
          <w:rFonts w:ascii="Arial" w:hAnsi="Arial" w:cs="Arial"/>
        </w:rPr>
        <w:sectPr w:rsidR="005B1301" w:rsidSect="00572106">
          <w:pgSz w:w="12240" w:h="15840"/>
          <w:pgMar w:top="1008" w:right="720" w:bottom="720" w:left="720" w:header="720" w:footer="720" w:gutter="0"/>
          <w:pgNumType w:fmt="lowerRoman" w:start="1"/>
          <w:cols w:space="720"/>
          <w:docGrid w:linePitch="360"/>
        </w:sectPr>
      </w:pPr>
    </w:p>
    <w:p w14:paraId="0AF599F2" w14:textId="77777777" w:rsidR="00325D48" w:rsidRDefault="00325D48" w:rsidP="00325D48">
      <w:pPr>
        <w:pStyle w:val="Heading1"/>
        <w:rPr>
          <w:sz w:val="22"/>
        </w:rPr>
      </w:pPr>
      <w:bookmarkStart w:id="0" w:name="_Toc162997995"/>
      <w:bookmarkStart w:id="1" w:name="_Ref134864182"/>
      <w:r w:rsidRPr="00ED68E3">
        <w:rPr>
          <w:sz w:val="22"/>
        </w:rPr>
        <w:lastRenderedPageBreak/>
        <w:t>S1. Supplementary description of the methodology</w:t>
      </w:r>
      <w:bookmarkEnd w:id="0"/>
      <w:r w:rsidRPr="00ED68E3">
        <w:rPr>
          <w:sz w:val="22"/>
        </w:rPr>
        <w:t xml:space="preserve"> </w:t>
      </w:r>
    </w:p>
    <w:p w14:paraId="21C401DE" w14:textId="58EAE8A8" w:rsidR="00130E56" w:rsidRPr="00C43E1E" w:rsidRDefault="00130E56" w:rsidP="00130E56">
      <w:pPr>
        <w:pStyle w:val="Heading2"/>
        <w:spacing w:line="276" w:lineRule="auto"/>
      </w:pPr>
      <w:bookmarkStart w:id="2" w:name="_Toc162997996"/>
      <w:r w:rsidRPr="00C43E1E">
        <w:t xml:space="preserve">S1.1. </w:t>
      </w:r>
      <w:r w:rsidR="003B297B">
        <w:t>M</w:t>
      </w:r>
      <w:r w:rsidR="00A05876" w:rsidRPr="00A05876">
        <w:t>ultisector dynamic model</w:t>
      </w:r>
      <w:r w:rsidR="003B297B">
        <w:t>ing</w:t>
      </w:r>
      <w:r w:rsidR="00A05876" w:rsidRPr="00A05876">
        <w:t xml:space="preserve"> </w:t>
      </w:r>
      <w:r w:rsidR="00A05876">
        <w:t>and r</w:t>
      </w:r>
      <w:r w:rsidRPr="00C43E1E">
        <w:t>ecent GCAM developments</w:t>
      </w:r>
      <w:bookmarkEnd w:id="2"/>
      <w:r w:rsidRPr="00C43E1E">
        <w:t xml:space="preserve">  </w:t>
      </w:r>
    </w:p>
    <w:p w14:paraId="6A9EC77A" w14:textId="26B0B022" w:rsidR="003B297B" w:rsidRDefault="003B297B" w:rsidP="003B297B">
      <w:pPr>
        <w:spacing w:line="276" w:lineRule="auto"/>
        <w:rPr>
          <w:rFonts w:ascii="Arial" w:hAnsi="Arial" w:cs="Arial"/>
          <w:color w:val="000000" w:themeColor="text1"/>
        </w:rPr>
      </w:pPr>
      <w:r>
        <w:rPr>
          <w:rFonts w:ascii="Arial" w:hAnsi="Arial" w:cs="Arial"/>
          <w:color w:val="000000" w:themeColor="text1"/>
        </w:rPr>
        <w:t>Global economic and m</w:t>
      </w:r>
      <w:r w:rsidR="00A05876">
        <w:rPr>
          <w:rFonts w:ascii="Arial" w:hAnsi="Arial" w:cs="Arial"/>
          <w:color w:val="000000" w:themeColor="text1"/>
        </w:rPr>
        <w:t>ultisector dynamic</w:t>
      </w:r>
      <w:r w:rsidR="00A05876" w:rsidRPr="002B7910">
        <w:rPr>
          <w:rFonts w:ascii="Arial" w:hAnsi="Arial" w:cs="Arial"/>
          <w:color w:val="000000" w:themeColor="text1"/>
        </w:rPr>
        <w:t xml:space="preserve"> models have proven essential in evaluating long-run socioeconomic and climate scenarios</w:t>
      </w:r>
      <w:r w:rsidR="00A05876" w:rsidRPr="002B7910">
        <w:rPr>
          <w:rFonts w:ascii="Arial" w:hAnsi="Arial" w:cs="Arial"/>
          <w:color w:val="000000" w:themeColor="text1"/>
        </w:rPr>
        <w:fldChar w:fldCharType="begin"/>
      </w:r>
      <w:r w:rsidR="00794F95">
        <w:rPr>
          <w:rFonts w:ascii="Arial" w:hAnsi="Arial" w:cs="Arial"/>
          <w:color w:val="000000" w:themeColor="text1"/>
        </w:rPr>
        <w:instrText xml:space="preserve"> ADDIN ZOTERO_ITEM CSL_CITATION {"citationID":"YUnfKmay","properties":{"formattedCitation":"\\super 1\\nosupersub{}","plainCitation":"1","noteIndex":0},"citationItems":[{"id":1635,"uris":["http://zotero.org/users/8267882/items/ZJ3LXJXS"],"itemData":{"id":1635,"type":"article-journal","abstract":"Long-term scenarios play an important role in research on global environmental change. The climate change research community is developing new scenarios integrating future changes in climate and society to investigate climate impacts as well as options for mitigation and adaptation. One component of these new scenarios is a set of alternative futures of societal development known as the shared socioeconomic pathways (SSPs). The conceptual framework for the design and use of the SSPs calls for the development of global pathways describing the future evolution of key aspects of society that would together imply a range of challenges for mitigating and adapting to climate change. Here we present one component of these pathways: the SSP narratives, a set of five qualitative descriptions of future changes in demographics, human development, economy and lifestyle, policies and institutions, technology, and environment and natural resources. We describe the methods used to develop the narratives as well as how these pathways are hypothesized to produce particular combinations of challenges to mitigation and adaptation. Development of the narratives drew on expert opinion to (1) identify key determinants of these challenges that were essential to incorporate in the narratives and (2) combine these elements in the narratives in a manner consistent with scholarship on their inter-relationships. The narratives are intended as a description of plausible future conditions at the level of large world regions that can serve as a basis for integrated scenarios of emissions and land use, as well as climate impact, adaptation and vulnerability analyses.","container-title":"Global Environmental Change","DOI":"10.1016/j.gloenvcha.2015.01.004","ISSN":"0959-3780","journalAbbreviation":"Global Environmental Change","language":"en","page":"169-180","source":"ScienceDirect","title":"The roads ahead: Narratives for shared socioeconomic pathways describing world futures in the 21st century","title-short":"The roads ahead","URL":"https://www.sciencedirect.com/science/article/pii/S0959378015000060","volume":"42","author":[{"family":"O’Neill","given":"Brian C."},{"family":"Kriegler","given":"Elmar"},{"family":"Ebi","given":"Kristie L."},{"family":"Kemp-Benedict","given":"Eric"},{"family":"Riahi","given":"Keywan"},{"family":"Rothman","given":"Dale S."},{"family":"Ruijven","given":"Bas J.","non-dropping-particle":"van"},{"family":"Vuuren","given":"Detlef P.","non-dropping-particle":"van"},{"family":"Birkmann","given":"Joern"},{"family":"Kok","given":"Kasper"},{"family":"Levy","given":"Marc"},{"family":"Solecki","given":"William"}],"accessed":{"date-parts":[["2021",11,29]]},"issued":{"date-parts":[["2017",1,1]]}}}],"schema":"https://github.com/citation-style-language/schema/raw/master/csl-citation.json"} </w:instrText>
      </w:r>
      <w:r w:rsidR="00A05876" w:rsidRPr="002B7910">
        <w:rPr>
          <w:rFonts w:ascii="Arial" w:hAnsi="Arial" w:cs="Arial"/>
          <w:color w:val="000000" w:themeColor="text1"/>
        </w:rPr>
        <w:fldChar w:fldCharType="separate"/>
      </w:r>
      <w:r w:rsidR="00794F95" w:rsidRPr="00794F95">
        <w:rPr>
          <w:rFonts w:ascii="Arial" w:hAnsi="Arial" w:cs="Arial"/>
          <w:szCs w:val="24"/>
          <w:vertAlign w:val="superscript"/>
        </w:rPr>
        <w:t>1</w:t>
      </w:r>
      <w:r w:rsidR="00A05876" w:rsidRPr="002B7910">
        <w:rPr>
          <w:rFonts w:ascii="Arial" w:hAnsi="Arial" w:cs="Arial"/>
          <w:color w:val="000000" w:themeColor="text1"/>
        </w:rPr>
        <w:fldChar w:fldCharType="end"/>
      </w:r>
      <w:r w:rsidR="00A05876" w:rsidRPr="002B7910">
        <w:rPr>
          <w:rFonts w:ascii="Arial" w:hAnsi="Arial" w:cs="Arial"/>
          <w:color w:val="000000" w:themeColor="text1"/>
        </w:rPr>
        <w:t>, providing valuable insights into t</w:t>
      </w:r>
      <w:r w:rsidR="00A05876" w:rsidRPr="002B7910">
        <w:rPr>
          <w:rFonts w:ascii="Arial" w:hAnsi="Arial" w:cs="Arial"/>
        </w:rPr>
        <w:t>he complex interactions between human development and global environmental change</w:t>
      </w:r>
      <w:r w:rsidR="00A05876">
        <w:rPr>
          <w:rFonts w:ascii="Arial" w:hAnsi="Arial" w:cs="Arial"/>
        </w:rPr>
        <w:fldChar w:fldCharType="begin"/>
      </w:r>
      <w:r w:rsidR="00794F95">
        <w:rPr>
          <w:rFonts w:ascii="Arial" w:hAnsi="Arial" w:cs="Arial"/>
        </w:rPr>
        <w:instrText xml:space="preserve"> ADDIN ZOTERO_ITEM CSL_CITATION {"citationID":"IK8FGL8V","properties":{"formattedCitation":"\\super 2\\nosupersub{}","plainCitation":"2","noteIndex":0},"citationItems":[{"id":2494,"uris":["http://zotero.org/users/8267882/items/SI87285R"],"itemData":{"id":2494,"type":"article-journal","abstract":"The field of MultiSector Dynamics (MSD) explores the dynamics and co-evolutionary pathways of human and Earth systems with a focus on critical goods, services, and amenities delivered to people through interdependent sectors. This commentary lays out core definitions and concepts, identifies MSD science questions in the context of the current state of knowledge, and describes ongoing activities to expand capacities for open science, leverage revolutions in data and computing, and grow and diversify the MSD workforce. Central to our vision is the ambition of advancing the next generation of complex adaptive human-Earth systems science to better address interconnected risks, increase resilience, and improve sustainability. This will require convergent research and the integration of ideas and methods from multiple disciplines. Understanding the tradeoffs, synergies, and complexities that exist in coupled human-Earth systems is particularly important in the context of energy transitions and increased future shocks.","container-title":"Earth's Future","DOI":"10.1029/2021EF002621","ISSN":"2328-4277","issue":"3","language":"en","note":"_eprint: https://onlinelibrary.wiley.com/doi/pdf/10.1029/2021EF002621","page":"e2021EF002621","source":"Wiley Online Library","title":"Multisector Dynamics: Advancing the Science of Complex Adaptive Human-Earth Systems","title-short":"Multisector Dynamics","URL":"https://onlinelibrary.wiley.com/doi/abs/10.1029/2021EF002621","volume":"10","author":[{"family":"Reed","given":"Patrick M."},{"family":"Hadjimichael","given":"Antonia"},{"family":"Moss","given":"Richard H."},{"family":"Brelsford","given":"Christa"},{"family":"Burleyson","given":"Casey D."},{"family":"Cohen","given":"Stuart"},{"family":"Dyreson","given":"Ana"},{"family":"Gold","given":"David F."},{"family":"Gupta","given":"Rohini S."},{"family":"Keller","given":"Klaus"},{"family":"Konar","given":"Megan"},{"family":"Monier","given":"Erwan"},{"family":"Morris","given":"Jennifer"},{"family":"Srikrishnan","given":"Vivek"},{"family":"Voisin","given":"Nathalie"},{"family":"Yoon","given":"Jim"}],"accessed":{"date-parts":[["2022",3,4]]},"issued":{"date-parts":[["2022"]]}}}],"schema":"https://github.com/citation-style-language/schema/raw/master/csl-citation.json"} </w:instrText>
      </w:r>
      <w:r w:rsidR="00A05876">
        <w:rPr>
          <w:rFonts w:ascii="Arial" w:hAnsi="Arial" w:cs="Arial"/>
        </w:rPr>
        <w:fldChar w:fldCharType="separate"/>
      </w:r>
      <w:r w:rsidR="00794F95" w:rsidRPr="00794F95">
        <w:rPr>
          <w:rFonts w:ascii="Arial" w:hAnsi="Arial" w:cs="Arial"/>
          <w:szCs w:val="24"/>
          <w:vertAlign w:val="superscript"/>
        </w:rPr>
        <w:t>2</w:t>
      </w:r>
      <w:r w:rsidR="00A05876">
        <w:rPr>
          <w:rFonts w:ascii="Arial" w:hAnsi="Arial" w:cs="Arial"/>
        </w:rPr>
        <w:fldChar w:fldCharType="end"/>
      </w:r>
      <w:r w:rsidR="00A05876" w:rsidRPr="002B7910">
        <w:rPr>
          <w:rFonts w:ascii="Arial" w:hAnsi="Arial" w:cs="Arial"/>
        </w:rPr>
        <w:t>.</w:t>
      </w:r>
      <w:r w:rsidR="00A05876">
        <w:rPr>
          <w:rFonts w:ascii="Arial" w:hAnsi="Arial" w:cs="Arial"/>
        </w:rPr>
        <w:t xml:space="preserve"> R</w:t>
      </w:r>
      <w:r w:rsidR="00A05876" w:rsidRPr="0089379A">
        <w:rPr>
          <w:rFonts w:ascii="Arial" w:hAnsi="Arial" w:cs="Arial"/>
        </w:rPr>
        <w:t>ecent advancements</w:t>
      </w:r>
      <w:r w:rsidR="00A05876">
        <w:rPr>
          <w:rFonts w:ascii="Arial" w:hAnsi="Arial" w:cs="Arial"/>
        </w:rPr>
        <w:t xml:space="preserve"> </w:t>
      </w:r>
      <w:r w:rsidR="00A05876" w:rsidRPr="001B56E5">
        <w:rPr>
          <w:rFonts w:ascii="Arial" w:hAnsi="Arial" w:cs="Arial"/>
        </w:rPr>
        <w:t>have</w:t>
      </w:r>
      <w:r w:rsidR="00A05876" w:rsidRPr="0089379A">
        <w:rPr>
          <w:rFonts w:ascii="Arial" w:hAnsi="Arial" w:cs="Arial"/>
        </w:rPr>
        <w:t xml:space="preserve"> primarily focused on land, water, bioenergy, and trade</w:t>
      </w:r>
      <w:r w:rsidR="00A05876" w:rsidRPr="0089379A">
        <w:rPr>
          <w:rFonts w:ascii="Arial" w:hAnsi="Arial" w:cs="Arial"/>
        </w:rPr>
        <w:fldChar w:fldCharType="begin"/>
      </w:r>
      <w:r w:rsidR="00794F95">
        <w:rPr>
          <w:rFonts w:ascii="Arial" w:hAnsi="Arial" w:cs="Arial"/>
        </w:rPr>
        <w:instrText xml:space="preserve"> ADDIN ZOTERO_ITEM CSL_CITATION {"citationID":"a1ua65b584s","properties":{"formattedCitation":"\\super 3\\uc0\\u8211{}6\\nosupersub{}","plainCitation":"3–6","noteIndex":0},"citationItems":[{"id":2546,"uris":["http://zotero.org/users/8267882/items/IQ4VGLRI"],"itemData":{"id":2546,"type":"article-journal","abstract":"The human-earth system is confronted with the challenge of providing a range of resources for a growing and more prosperous world population while simultaneously reducing environmental degradation. The sustainable development goals and the planetary boundaries define targets to manage this challenge. Many of these are linked to the land system, such as biodiversity, water, food, nutrients and climate, and are strongly interconnected. A key question is how measures can be designed in the context of multi-dimensional sustainability targets to exploit synergies. To address this, a nexus approach is adopted that acknowledges the interconnectedness between the important sub-systems water, land, food, and climate. This study quantifies synergies and trade-offs from ambitious interventions in different components of this water-land-fod-climate nexus at the global scale. For this purpose, a set of six harmonized scenarios is simulated with the model of agricultural production and its impact on the environment and Integrated model to assess the global environment models. The multi-model approach improves robustness of the results while shedding light on variations coming from different modelling approaches. Our results show that measures in the food component towards healthy diets with low meat consumption have synergies with all other nexus dimensions: Increased natural land improving terrestrial biodiversity (+4% to +8%), lower greenhouse gas emissions from land (−45% to −58%), reduced irrigation water withdrawals to protect or restore hydrological environmental flows (−3% to −24%), and reductions in nitrogen surpluses (−23% to −35%). Climate mitigation measures in line with the Paris Agreement have trade-offs with the water and food components of the nexus, as they adversely affect irrigation water withdrawals (+5% to +30% in 2050 compared to reference scenario) and food prices (+1% to +20%). The analysis of a scenario combining all measures reveals how certain measures are in conflict while others reinforce each other. This study provides an example of a nexus approach to scenario analysis providing input to the next generation of pathways aiming to achieve multiple dimensions of sustainable development.","container-title":"Environmental Research Letters","DOI":"10.1088/1748-9326/ac5766","ISSN":"1748-9326","issue":"4","journalAbbreviation":"Environ. Res. Lett.","language":"en","note":"publisher: IOP Publishing","page":"045004","source":"Institute of Physics","title":"Quantifying synergies and trade-offs in the global water-land-food-climate nexus using a multi-model scenario approach","URL":"https://doi.org/10.1088/1748-9326/ac5766","volume":"17","author":[{"family":"Doelman","given":"Jonathan C."},{"family":"Beier","given":"Felicitas D."},{"family":"Stehfest","given":"Elke"},{"family":"Bodirsky","given":"Benjamin L."},{"family":"Beusen","given":"Arthur H. W."},{"family":"Humpenöder","given":"Florian"},{"family":"Mishra","given":"Abhijeet"},{"family":"Popp","given":"Alexander"},{"family":"Vuuren","given":"Detlef P.","dropping-particle":"van"},{"family":"Vos","given":"Lotte","dropping-particle":"de"},{"family":"Weindl","given":"Isabelle"},{"family":"Zeist","given":"Willem-Jan","dropping-particle":"van"},{"family":"Kram","given":"Tom"}],"accessed":{"date-parts":[["2022",3,10]]},"issued":{"date-parts":[["2022",3]]}}},{"id":4211,"uris":["http://zotero.org/users/8267882/items/FTCUGUTX"],"itemData":{"id":4211,"type":"article-journal","abstract":"&lt;p&gt;&lt;strong class=\"journal-contentHeaderColor\"&gt;Abstract.&lt;/strong&gt; Agricultural production and food prices are affected by hydroclimatic extremes. There has been a growing amount of literature measuring the impacts of individual extreme events (heat stress or water stress) on agricultural and human systems. Yet, we lack a comprehensive understanding of the significance and the magnitude of the impacts of compound extremes. This study combines a fine-scale weather product with outputs of a hydrological model to construct functional metrics of individual and compound hydroclimatic extremes for agriculture. Then, a yield response function is estimated with individual and compound metrics, focusing on corn in the United States during the 1981–2015 period. Supported by statistical evidence, the findings suggest that metrics of compound hydroclimatic extremes are better predictors of corn yield variations than metrics of individual extremes. The results also confirm that wet heat is more damaging than dry heat for corn. This study shows the average yield damage from heat stress has been up to four times more severe when combined with water stress.&lt;/p&gt;","container-title":"Hydrology and Earth System Sciences","DOI":"10.5194/hess-25-551-2021","ISSN":"1027-5606","issue":"2","language":"English","note":"publisher: Copernicus GmbH","page":"551-564","source":"hess.copernicus.org","title":"Quantifying the impacts of compound extremes on agriculture","URL":"https://hess.copernicus.org/articles/25/551/2021/","volume":"25","author":[{"family":"Haqiqi","given":"Iman"},{"family":"Grogan","given":"Danielle S."},{"family":"Hertel","given":"Thomas W."},{"family":"Schlenker","given":"Wolfram"}],"accessed":{"date-parts":[["2022",8,30]]},"issued":{"date-parts":[["2021",2,3]]}}},{"id":66,"uris":["http://zotero.org/users/8267882/items/YJIJNZYE"],"itemData":{"id":66,"type":"article-journal","abstract":"The representations of international trade and global market integration play central roles in long-term global agricultural economic modeling. However, the conventional use of the gravity models (i.e., the Armington approach) of trade may not adequately account for the dynamic process of market integration. In this paper, we generalize a logit-based Armington approach by permitting home preference bias erosion to account for a trend of global market integration. We build a simple agricultural economic equilibrium model and conduct hindcast experiments to examine the historical trend of market integration. The results show a significant integrating trend of the global agricultural market implied by converging Armington preference distributions (i.e., home bias erosion) in 1995–2015. We demonstrate important implications of allowing the dynamic trend of market integration implied by bias erosion on estimating trade elasticities. By testing the future market integration trend implied by historical home bias integration in the Global Change Analysis Model (GCAM), we show a high sensitivity of long-term agroeconomic projections to future trade and market integration scenarios.","container-title":"Economic Analysis and Policy","DOI":"10.1016/j.eap.2021.07.007","ISSN":"0313-5926","journalAbbreviation":"Economic Analysis and Policy","language":"en","license":"All rights reserved","page":"1-17","source":"ScienceDirect","title":"The role of global agricultural market integration in multiregional economic modeling: Using hindcast experiments to validate an Armington model","title-short":"The role of global agricultural market integration in multiregional economic modeling","URL":"https://www.sciencedirect.com/science/article/pii/S0313592621000990","volume":"72","author":[{"family":"Zhao","given":"Xin"},{"family":"Calvin","given":"Katherine V."},{"family":"Wise","given":"Marshall A."},{"family":"Iyer","given":"Gokul"}],"accessed":{"date-parts":[["2021",7,31]]},"issued":{"date-parts":[["2021",12,1]]}}},{"id":1771,"uris":["http://zotero.org/users/8267882/items/4YEQR7E4"],"itemData":{"id":1771,"type":"article-journal","abstract":"The difference in land use modeling approaches is an important uncertain factor in evaluating future climate scenarios in global economic models. We compare five widely used land use modeling approaches: constrained optimization, constant elasticity of transformation (CET), the additive form of constant elasticity of transformation (ACET), logit, and Ricardian. We demonstrate that the approaches differ not only by the extent of parameter uses but also by the definition of conversion cost and the consideration of comparative advantage implied by land heterogeneity. We develop a generalized hybrid approach that incorporates ACET/logit and Ricardian to account for both conversion cost and comparative advantage. We use this hybrid approach to estimate future climate impacts on agriculture. We find a welfare loss of about 0.38–0.46% of the global GDP. We demonstrate that ignoring land heterogeneity or land conversion costs underestimates climate impacts on agricultural production and welfare.","container-title":"Climate Change Economics","DOI":"10.1142/S2010007820500049","ISSN":"2010-0078","issue":"01","journalAbbreviation":"Clim. Change Econ.","license":"All rights reserved","note":"publisher: World Scientific Publishing Co.","page":"2050004","source":"worldscientific.com (Atypon)","title":"The critical role of conversion cost and comparative advantage in modeling agricultural land use change","URL":"https://www.worldscientific.com/doi/abs/10.1142/S2010007820500049","volume":"11","author":[{"family":"Zhao","given":"Xin"},{"family":"Calvin","given":"Katherine V."},{"family":"Wise","given":"Marshall A."}],"accessed":{"date-parts":[["2021",12,13]]},"issued":{"date-parts":[["2020",2,1]]}}}],"schema":"https://github.com/citation-style-language/schema/raw/master/csl-citation.json"} </w:instrText>
      </w:r>
      <w:r w:rsidR="00A05876" w:rsidRPr="0089379A">
        <w:rPr>
          <w:rFonts w:ascii="Arial" w:hAnsi="Arial" w:cs="Arial"/>
        </w:rPr>
        <w:fldChar w:fldCharType="separate"/>
      </w:r>
      <w:r w:rsidR="00794F95" w:rsidRPr="00794F95">
        <w:rPr>
          <w:rFonts w:ascii="Arial" w:hAnsi="Arial" w:cs="Arial"/>
          <w:szCs w:val="24"/>
          <w:vertAlign w:val="superscript"/>
        </w:rPr>
        <w:t>3–6</w:t>
      </w:r>
      <w:r w:rsidR="00A05876" w:rsidRPr="0089379A">
        <w:rPr>
          <w:rFonts w:ascii="Arial" w:hAnsi="Arial" w:cs="Arial"/>
        </w:rPr>
        <w:fldChar w:fldCharType="end"/>
      </w:r>
      <w:r w:rsidR="00A05876" w:rsidRPr="0089379A">
        <w:rPr>
          <w:rFonts w:ascii="Arial" w:hAnsi="Arial" w:cs="Arial"/>
        </w:rPr>
        <w:t xml:space="preserve">, with </w:t>
      </w:r>
      <w:r w:rsidR="00A05876">
        <w:rPr>
          <w:rFonts w:ascii="Arial" w:hAnsi="Arial" w:cs="Arial"/>
        </w:rPr>
        <w:t>limited</w:t>
      </w:r>
      <w:r w:rsidR="00A05876" w:rsidRPr="0089379A">
        <w:rPr>
          <w:rFonts w:ascii="Arial" w:hAnsi="Arial" w:cs="Arial"/>
        </w:rPr>
        <w:t xml:space="preserve"> attention </w:t>
      </w:r>
      <w:r w:rsidR="00A05876">
        <w:rPr>
          <w:rFonts w:ascii="Arial" w:hAnsi="Arial" w:cs="Arial"/>
        </w:rPr>
        <w:t>given</w:t>
      </w:r>
      <w:r w:rsidR="00A05876" w:rsidRPr="0089379A">
        <w:rPr>
          <w:rFonts w:ascii="Arial" w:hAnsi="Arial" w:cs="Arial"/>
        </w:rPr>
        <w:t xml:space="preserve"> to labor dynamics </w:t>
      </w:r>
      <w:r w:rsidR="00A05876">
        <w:rPr>
          <w:rFonts w:ascii="Arial" w:hAnsi="Arial" w:cs="Arial"/>
        </w:rPr>
        <w:t xml:space="preserve">in </w:t>
      </w:r>
      <w:r w:rsidR="00A05876" w:rsidRPr="0089379A">
        <w:rPr>
          <w:rFonts w:ascii="Arial" w:hAnsi="Arial" w:cs="Arial"/>
        </w:rPr>
        <w:t>evolving agricultural labor market</w:t>
      </w:r>
      <w:r w:rsidR="00A05876">
        <w:rPr>
          <w:rFonts w:ascii="Arial" w:hAnsi="Arial" w:cs="Arial"/>
        </w:rPr>
        <w:t>s</w:t>
      </w:r>
      <w:r w:rsidR="00A05876" w:rsidRPr="0089379A">
        <w:rPr>
          <w:rFonts w:ascii="Arial" w:hAnsi="Arial" w:cs="Arial"/>
          <w:color w:val="000000" w:themeColor="text1"/>
        </w:rPr>
        <w:fldChar w:fldCharType="begin"/>
      </w:r>
      <w:r w:rsidR="00E805A4">
        <w:rPr>
          <w:rFonts w:ascii="Arial" w:hAnsi="Arial" w:cs="Arial"/>
          <w:color w:val="000000" w:themeColor="text1"/>
        </w:rPr>
        <w:instrText xml:space="preserve"> ADDIN ZOTERO_ITEM CSL_CITATION {"citationID":"WHQcWbCe","properties":{"formattedCitation":"\\super 7\\nosupersub{}","plainCitation":"7","noteIndex":0},"citationItems":[{"id":"SV7kDkUs/XnILMRUk","uris":["http://zotero.org/users/9896081/items/T357EBPW"],"itemData":{"id":2216,"type":"article-journal","abstract":"This review seeks to survey, understand, and reconcile the widely divergent estimates of long-run global crop output, land use, and price projections in the current literature. We review the history of such projections and the different models and assumptions used in these exercises. We then introduce an analytical partial equilibrium model of the global crops sector, which provides a lens through which we can evaluate this previous work. The resulting decomposition of model responses into demand, extensive supply, and intensive supply elasticities offers important insights into the diversity of model parameterizations being employed by the existing models. Along with the methodology for implementing productivity growth, this helps explain some of the divergences in results. We employ a numerical version of the analytical model, which serves as an emulator of this entire class of models, to explore how uncertainties in the common underlying drivers and economic responses contribute to uncertain projections of output, prices, and land use in 2050. We place each of the published estimates reviewed here into the resulting empirical distribution of outcomes at mid-century. In addition, we quantify the sensitivity of these projections to model inputs. Our ﬁndings suggest that the top priority for future research should be improved estimation of agricultural factor supply elasticities, a topic that has been largely neglected in recent decades.","container-title":"Annual Review of Resource Economics","DOI":"10.1146/annurev-resource-100815-095333","ISSN":"1941-1340, 1941-1359","issue":"1","journalAbbreviation":"Annu. Rev. Resour. Econ.","language":"en","page":"417-441","source":"DOI.org (Crossref)","title":"Predicting Long-Term Food Demand, Cropland Use, and Prices","volume":"8","author":[{"family":"Hertel","given":"Thomas W."},{"family":"Baldos","given":"Uris Lantz C."},{"family":"Van Der Mensbrugghe","given":"Dominique"}],"issued":{"date-parts":[["2016",10,5]]}}}],"schema":"https://github.com/citation-style-language/schema/raw/master/csl-citation.json"} </w:instrText>
      </w:r>
      <w:r w:rsidR="00A05876" w:rsidRPr="0089379A">
        <w:rPr>
          <w:rFonts w:ascii="Arial" w:hAnsi="Arial" w:cs="Arial"/>
          <w:color w:val="000000" w:themeColor="text1"/>
        </w:rPr>
        <w:fldChar w:fldCharType="separate"/>
      </w:r>
      <w:r w:rsidR="00794F95" w:rsidRPr="00794F95">
        <w:rPr>
          <w:rFonts w:ascii="Arial" w:hAnsi="Arial" w:cs="Arial"/>
          <w:szCs w:val="24"/>
          <w:vertAlign w:val="superscript"/>
        </w:rPr>
        <w:t>7</w:t>
      </w:r>
      <w:r w:rsidR="00A05876" w:rsidRPr="0089379A">
        <w:rPr>
          <w:rFonts w:ascii="Arial" w:hAnsi="Arial" w:cs="Arial"/>
          <w:color w:val="000000" w:themeColor="text1"/>
        </w:rPr>
        <w:fldChar w:fldCharType="end"/>
      </w:r>
      <w:r w:rsidR="00A05876" w:rsidRPr="0089379A">
        <w:rPr>
          <w:rFonts w:ascii="Arial" w:hAnsi="Arial" w:cs="Arial"/>
          <w:color w:val="000000" w:themeColor="text1"/>
        </w:rPr>
        <w:t>.</w:t>
      </w:r>
      <w:r w:rsidR="00A05876">
        <w:rPr>
          <w:rFonts w:ascii="Arial" w:hAnsi="Arial" w:cs="Arial"/>
          <w:color w:val="000000" w:themeColor="text1"/>
        </w:rPr>
        <w:t xml:space="preserve"> </w:t>
      </w:r>
    </w:p>
    <w:p w14:paraId="47650AF0" w14:textId="0B366AA7" w:rsidR="00940CEF" w:rsidRPr="00A52D0F" w:rsidRDefault="003D6A29" w:rsidP="003B297B">
      <w:pPr>
        <w:spacing w:line="276" w:lineRule="auto"/>
        <w:rPr>
          <w:rFonts w:ascii="Arial" w:hAnsi="Arial" w:cs="Arial"/>
        </w:rPr>
      </w:pPr>
      <w:r>
        <w:rPr>
          <w:rFonts w:ascii="Arial" w:hAnsi="Arial" w:cs="Arial"/>
          <w:b/>
          <w:bCs/>
        </w:rPr>
        <w:fldChar w:fldCharType="begin"/>
      </w:r>
      <w:r>
        <w:rPr>
          <w:rFonts w:ascii="Arial" w:hAnsi="Arial" w:cs="Arial"/>
          <w:b/>
          <w:bCs/>
        </w:rPr>
        <w:instrText xml:space="preserve"> REF _Ref162555952 \h  \* MERGEFORMAT </w:instrText>
      </w:r>
      <w:r>
        <w:rPr>
          <w:rFonts w:ascii="Arial" w:hAnsi="Arial" w:cs="Arial"/>
          <w:b/>
          <w:bCs/>
        </w:rPr>
      </w:r>
      <w:r>
        <w:rPr>
          <w:rFonts w:ascii="Arial" w:hAnsi="Arial" w:cs="Arial"/>
          <w:b/>
          <w:bCs/>
        </w:rPr>
        <w:fldChar w:fldCharType="separate"/>
      </w:r>
      <w:r w:rsidRPr="003D6A29">
        <w:rPr>
          <w:rFonts w:ascii="Arial" w:hAnsi="Arial" w:cs="Arial"/>
          <w:b/>
          <w:bCs/>
        </w:rPr>
        <w:t>Table S1</w:t>
      </w:r>
      <w:r>
        <w:rPr>
          <w:rFonts w:ascii="Arial" w:hAnsi="Arial" w:cs="Arial"/>
          <w:b/>
          <w:bCs/>
        </w:rPr>
        <w:fldChar w:fldCharType="end"/>
      </w:r>
      <w:r w:rsidR="003039AE">
        <w:rPr>
          <w:rFonts w:ascii="Arial" w:hAnsi="Arial" w:cs="Arial"/>
          <w:b/>
          <w:bCs/>
        </w:rPr>
        <w:t xml:space="preserve"> </w:t>
      </w:r>
      <w:r w:rsidR="00A05876" w:rsidRPr="00A52D0F">
        <w:rPr>
          <w:rFonts w:ascii="Arial" w:hAnsi="Arial" w:cs="Arial"/>
        </w:rPr>
        <w:t>summarizes the agricultural labor market representation in the widely used models.</w:t>
      </w:r>
      <w:r w:rsidR="003B297B" w:rsidRPr="00A52D0F">
        <w:rPr>
          <w:rFonts w:ascii="Arial" w:hAnsi="Arial" w:cs="Arial"/>
        </w:rPr>
        <w:t xml:space="preserve"> P</w:t>
      </w:r>
      <w:r w:rsidR="002D5B42" w:rsidRPr="00A52D0F">
        <w:rPr>
          <w:rFonts w:ascii="Arial" w:hAnsi="Arial" w:cs="Arial"/>
        </w:rPr>
        <w:t>artial equilibrium (PE) models</w:t>
      </w:r>
      <w:r w:rsidR="003B297B" w:rsidRPr="00A52D0F">
        <w:rPr>
          <w:rFonts w:ascii="Arial" w:hAnsi="Arial" w:cs="Arial"/>
        </w:rPr>
        <w:t>, including</w:t>
      </w:r>
      <w:r w:rsidR="002D5B42" w:rsidRPr="00A52D0F">
        <w:rPr>
          <w:rFonts w:ascii="Arial" w:hAnsi="Arial" w:cs="Arial"/>
        </w:rPr>
        <w:t xml:space="preserve"> GCAM, while imposing exogenous crop yield growth and </w:t>
      </w:r>
      <w:r w:rsidR="00940CEF">
        <w:rPr>
          <w:rFonts w:ascii="Arial" w:hAnsi="Arial" w:cs="Arial"/>
        </w:rPr>
        <w:t>allowing</w:t>
      </w:r>
      <w:r w:rsidR="002D5B42" w:rsidRPr="00A52D0F">
        <w:rPr>
          <w:rFonts w:ascii="Arial" w:hAnsi="Arial" w:cs="Arial"/>
        </w:rPr>
        <w:t xml:space="preserve"> endogenous crop yield response to input and output prices, typically do not explicitly represent agricultural labor markets</w:t>
      </w:r>
      <w:r w:rsidR="002D5B42" w:rsidRPr="00A52D0F">
        <w:rPr>
          <w:rFonts w:ascii="Arial" w:hAnsi="Arial" w:cs="Arial"/>
        </w:rPr>
        <w:fldChar w:fldCharType="begin"/>
      </w:r>
      <w:r w:rsidR="00794F95">
        <w:rPr>
          <w:rFonts w:ascii="Arial" w:hAnsi="Arial" w:cs="Arial"/>
        </w:rPr>
        <w:instrText xml:space="preserve"> ADDIN ZOTERO_ITEM CSL_CITATION {"citationID":"6bpnpgnx","properties":{"formattedCitation":"\\super 8\\nosupersub{}","plainCitation":"8","noteIndex":0},"citationItems":[{"id":999,"uris":["http://zotero.org/users/8267882/items/LTYVNMVP"],"itemData":{"id":999,"type":"article-journal","abstract":"Recent studies assessing plausible futures for agricultural markets and global food security have had contradictory outcomes. To advance our understanding of the sources of the differences, 10 global economic models that produce long-term scenarios were asked to compare a reference scenario with alternate socioeconomic, climate change, and bioenergy scenarios using a common set of key drivers. Several key conclusions emerge from this exercise: First, for a comparison of scenario results to be meaningful, a careful analysis of the interpretation of the relevant model variables is essential. For instance, the use of “real world commodity prices” differs widely across models, and comparing the prices without accounting for their different meanings can lead to misleading results. Second, results suggest that, once some key assumptions are harmonized, the variability in general trends across models declines but remains important. For example, given the common assumptions of the reference scenario, models show average annual rates of changes of real global producer prices for agricultural products on average ranging between −0.4% and +0.7% between the 2005 base year and 2050. This compares to an average decline of real agricultural prices of 4% p.a. between the 1960s and the 2000s. Several other common trends are shown, for example, relating to key global growth areas for agricultural production and consumption. Third, differences in basic model parameters such as income and price elasticities, sometimes hidden in the way market behavior is modeled, result in significant differences in the details. Fourth, the analysis shows that agro-economic modelers aiming to inform the agricultural and development policy debate require better data and analysis on both economic behavior and biophysical drivers. More interdisciplinary modeling efforts are required to cross-fertilize analyses at different scales.","container-title":"Agricultural Economics","DOI":"10.1111/agec.12086","ISSN":"1574-0862","issue":"1","language":"en","note":"_eprint: https://onlinelibrary.wiley.com/doi/pdf/10.1111/agec.12086","page":"3-20","source":"Wiley Online Library","title":"Why do global long-term scenarios for agriculture differ? An overview of the AgMIP Global Economic Model Intercomparison","title-short":"Why do global long-term scenarios for agriculture differ?","URL":"https://onlinelibrary.wiley.com/doi/abs/10.1111/agec.12086","volume":"45","author":[{"family":"Lampe","given":"Martin","non-dropping-particle":"von"},{"family":"Willenbockel","given":"Dirk"},{"family":"Ahammad","given":"Helal"},{"family":"Blanc","given":"Elodie"},{"family":"Cai","given":"Yongxia"},{"family":"Calvin","given":"Katherine"},{"family":"Fujimori","given":"Shinichiro"},{"family":"Hasegawa","given":"Tomoko"},{"family":"Havlik","given":"Petr"},{"family":"Heyhoe","given":"Edwina"},{"family":"Kyle","given":"Page"},{"family":"Lotze-Campen","given":"Hermann"},{"family":"Mason d'Croz","given":"Daniel"},{"family":"Nelson","given":"Gerald C."},{"family":"Sands","given":"Ronald D."},{"family":"Schmitz","given":"Christoph"},{"family":"Tabeau","given":"Andrzej"},{"family":"Valin","given":"Hugo"},{"family":"Mensbrugghe","given":"Dominique","non-dropping-particle":"van der"},{"family":"Meijl","given":"Hans","non-dropping-particle":"van"}],"accessed":{"date-parts":[["2021",9,30]]},"issued":{"date-parts":[["2014"]]}}}],"schema":"https://github.com/citation-style-language/schema/raw/master/csl-citation.json"} </w:instrText>
      </w:r>
      <w:r w:rsidR="002D5B42" w:rsidRPr="00A52D0F">
        <w:rPr>
          <w:rFonts w:ascii="Arial" w:hAnsi="Arial" w:cs="Arial"/>
        </w:rPr>
        <w:fldChar w:fldCharType="separate"/>
      </w:r>
      <w:r w:rsidR="00794F95" w:rsidRPr="00794F95">
        <w:rPr>
          <w:rFonts w:ascii="Arial" w:hAnsi="Arial" w:cs="Arial"/>
          <w:szCs w:val="24"/>
          <w:vertAlign w:val="superscript"/>
        </w:rPr>
        <w:t>8</w:t>
      </w:r>
      <w:r w:rsidR="002D5B42" w:rsidRPr="00A52D0F">
        <w:rPr>
          <w:rFonts w:ascii="Arial" w:hAnsi="Arial" w:cs="Arial"/>
        </w:rPr>
        <w:fldChar w:fldCharType="end"/>
      </w:r>
      <w:r w:rsidR="002D5B42" w:rsidRPr="00A52D0F">
        <w:rPr>
          <w:rFonts w:ascii="Arial" w:hAnsi="Arial" w:cs="Arial"/>
        </w:rPr>
        <w:t xml:space="preserve">. These models frequently </w:t>
      </w:r>
      <w:bookmarkStart w:id="3" w:name="_Hlk160233834"/>
      <w:r w:rsidR="002D5B42" w:rsidRPr="00A52D0F">
        <w:rPr>
          <w:rFonts w:ascii="Arial" w:hAnsi="Arial" w:cs="Arial"/>
        </w:rPr>
        <w:t>implement exogenous labor costs to maintain the zero-pure profit condition in agricultural production</w:t>
      </w:r>
      <w:bookmarkEnd w:id="3"/>
      <w:r w:rsidR="002D5B42" w:rsidRPr="00A52D0F">
        <w:rPr>
          <w:rFonts w:ascii="Arial" w:hAnsi="Arial" w:cs="Arial"/>
        </w:rPr>
        <w:t xml:space="preserve">, making it challenging to represent the linkage to demographic and productivity changes. </w:t>
      </w:r>
      <w:r w:rsidR="003B297B" w:rsidRPr="00A52D0F">
        <w:rPr>
          <w:rFonts w:ascii="Arial" w:hAnsi="Arial" w:cs="Arial"/>
        </w:rPr>
        <w:t>C</w:t>
      </w:r>
      <w:r w:rsidR="002D5B42" w:rsidRPr="00A52D0F">
        <w:rPr>
          <w:rFonts w:ascii="Arial" w:hAnsi="Arial" w:cs="Arial"/>
        </w:rPr>
        <w:t>omputable general equilibrium (CGE) models such as AIM, ENVISAGE, EPPA, MAGNET, and FARM, which encompass the labor market across all sectors</w:t>
      </w:r>
      <w:r w:rsidR="002D5B42" w:rsidRPr="00A52D0F">
        <w:rPr>
          <w:rFonts w:ascii="Arial" w:hAnsi="Arial" w:cs="Arial"/>
        </w:rPr>
        <w:fldChar w:fldCharType="begin"/>
      </w:r>
      <w:r w:rsidR="00794F95">
        <w:rPr>
          <w:rFonts w:ascii="Arial" w:hAnsi="Arial" w:cs="Arial"/>
        </w:rPr>
        <w:instrText xml:space="preserve"> ADDIN ZOTERO_ITEM CSL_CITATION {"citationID":"Bs53qet7","properties":{"formattedCitation":"\\super 9\\nosupersub{}","plainCitation":"9","noteIndex":0},"citationItems":[{"id":6995,"uris":["http://zotero.org/users/8267882/items/82XYMID7"],"itemData":{"id":6995,"type":"chapter","abstract":"This chapter reviews options of labor market modeling in a computable general equilibrium framework. On the labor supply side, two principal modeling options are distinguished and discussed: aggregated, representative households and microsimulation based on individual household data. On the labor demand side, we focus on the substitution possibilities between different types of labor in production. With respect to labor market coordination, we discuss several wage-forming mechanisms and involuntary unemployment.","collection-title":"Handbook of Computable General Equilibrium Modeling SET, Vols. 1A and 1B","container-title":"Handbook of Computable General Equilibrium Modeling","language":"en","note":"DOI: 10.1016/B978-0-444-59568-3.00026-2","page":"1645-1718","publisher":"Elsevier","source":"ScienceDirect","title":"Chapter 26 - The Labor Market in Computable General Equilibrium Models","URL":"https://www.sciencedirect.com/science/article/pii/B9780444595683000262","volume":"1","author":[{"family":"Boeters","given":"Stefan"},{"family":"Savard","given":"Luc"}],"editor":[{"family":"Dixon","given":"Peter B."},{"family":"Jorgenson","given":"Dale W."}],"accessed":{"date-parts":[["2023",8,4]]},"issued":{"date-parts":[["2013",1,1]]}}}],"schema":"https://github.com/citation-style-language/schema/raw/master/csl-citation.json"} </w:instrText>
      </w:r>
      <w:r w:rsidR="002D5B42" w:rsidRPr="00A52D0F">
        <w:rPr>
          <w:rFonts w:ascii="Arial" w:hAnsi="Arial" w:cs="Arial"/>
        </w:rPr>
        <w:fldChar w:fldCharType="separate"/>
      </w:r>
      <w:r w:rsidR="00794F95" w:rsidRPr="00794F95">
        <w:rPr>
          <w:rFonts w:ascii="Arial" w:hAnsi="Arial" w:cs="Arial"/>
          <w:szCs w:val="24"/>
          <w:vertAlign w:val="superscript"/>
        </w:rPr>
        <w:t>9</w:t>
      </w:r>
      <w:r w:rsidR="002D5B42" w:rsidRPr="00A52D0F">
        <w:rPr>
          <w:rFonts w:ascii="Arial" w:hAnsi="Arial" w:cs="Arial"/>
        </w:rPr>
        <w:fldChar w:fldCharType="end"/>
      </w:r>
      <w:r w:rsidR="002D5B42" w:rsidRPr="00A52D0F">
        <w:rPr>
          <w:rFonts w:ascii="Arial" w:hAnsi="Arial" w:cs="Arial"/>
        </w:rPr>
        <w:t xml:space="preserve">. However, </w:t>
      </w:r>
      <w:r w:rsidR="003B297B" w:rsidRPr="00A52D0F">
        <w:rPr>
          <w:rFonts w:ascii="Arial" w:hAnsi="Arial" w:cs="Arial"/>
        </w:rPr>
        <w:t>they</w:t>
      </w:r>
      <w:r w:rsidR="002D5B42" w:rsidRPr="00A52D0F">
        <w:rPr>
          <w:rFonts w:ascii="Arial" w:hAnsi="Arial" w:cs="Arial"/>
        </w:rPr>
        <w:t xml:space="preserve"> may differ in terms of parameter assumptions and drivers of factor productivity and labor force changes</w:t>
      </w:r>
      <w:r w:rsidR="002D5B42" w:rsidRPr="00A52D0F">
        <w:rPr>
          <w:rFonts w:ascii="Arial" w:hAnsi="Arial" w:cs="Arial"/>
        </w:rPr>
        <w:fldChar w:fldCharType="begin"/>
      </w:r>
      <w:r w:rsidR="00794F95">
        <w:rPr>
          <w:rFonts w:ascii="Arial" w:hAnsi="Arial" w:cs="Arial"/>
        </w:rPr>
        <w:instrText xml:space="preserve"> ADDIN ZOTERO_ITEM CSL_CITATION {"citationID":"Z08To77q","properties":{"formattedCitation":"\\super 10\\nosupersub{}","plainCitation":"10","noteIndex":0},"citationItems":[{"id":1004,"uris":["http://zotero.org/users/8267882/items/STDCYQLU"],"itemData":{"id":1004,"type":"article-journal","abstract":"This article compares the theoretical and functional specification of production in partial equilibrium (PE) and computable general equilibrium (CGE) models of the global agricultural and food system included in the AgMIP model comparison study. The two model families differ in their scope—partial versus economy-wide—and in how they represent technology and the behavior of supply and demand in markets. The CGE models are “deep” structural models in that they explicitly solve the maximization problem of consumers and producers, assuming utility maximization and profit maximization with production/cost functions that include all factor inputs. The PE models divide into two groups on the supply side: (1) “shallow” structural models, which essentially specify area/yield supply functions with no explicit maximization behavior, and (2) “deep” structural models that provide a detailed activity-analysis specification of technology and explicit optimizing behavior by producers. While the models vary in their specifications of technology, both within and between the PE and CGE families, we consider two stylized theoretical models to compare the behavior of crop yields and supply functions in CGE models with their behavior in shallow structural PE models. We find that the theoretical responsiveness of supply to changes in prices can be similar, depending on parameter choices that define the behavior of implicit supply functions over the domain of applicability defined by the common scenarios used in the AgMIP comparisons. In practice, however, the applied models are more complex and differ in their empirical sensitivity to variations in specification—comparability of results given parameter choices is an empirical question. To illustrate the issues, sensitivity analysis is done with one global CGE model, MAGNET, to indicate how the results vary with different specification of technical change, and how they compare with the results from PE models.","container-title":"Agricultural Economics","DOI":"10.1111/agec.12087","ISSN":"1574-0862","issue":"1","language":"en","note":"_eprint: https://onlinelibrary.wiley.com/doi/pdf/10.1111/agec.12087","page":"21-35","source":"Wiley Online Library","title":"Comparing supply-side specifications in models of global agriculture and the food system","URL":"https://onlinelibrary.wiley.com/doi/abs/10.1111/agec.12087","volume":"45","author":[{"family":"Robinson","given":"Sherman"},{"family":"Meijl","given":"Hans","non-dropping-particle":"van"},{"family":"Willenbockel","given":"Dirk"},{"family":"Valin","given":"Hugo"},{"family":"Fujimori","given":"Shinichiro"},{"family":"Masui","given":"Toshihiko"},{"family":"Sands","given":"Ron"},{"family":"Wise","given":"Marshall"},{"family":"Calvin","given":"Katherine"},{"family":"Havlik","given":"Petr"},{"family":"Mason d'Croz","given":"Daniel"},{"family":"Tabeau","given":"Andrzej"},{"family":"Kavallari","given":"Aikaterini"},{"family":"Schmitz","given":"Christoph"},{"family":"Dietrich","given":"Jan Philipp"},{"family":"Lampe","given":"Martin","non-dropping-particle":"von"}],"accessed":{"date-parts":[["2021",9,30]]},"issued":{"date-parts":[["2014"]]}}}],"schema":"https://github.com/citation-style-language/schema/raw/master/csl-citation.json"} </w:instrText>
      </w:r>
      <w:r w:rsidR="002D5B42" w:rsidRPr="00A52D0F">
        <w:rPr>
          <w:rFonts w:ascii="Arial" w:hAnsi="Arial" w:cs="Arial"/>
        </w:rPr>
        <w:fldChar w:fldCharType="separate"/>
      </w:r>
      <w:r w:rsidR="00794F95" w:rsidRPr="00794F95">
        <w:rPr>
          <w:rFonts w:ascii="Arial" w:hAnsi="Arial" w:cs="Arial"/>
          <w:szCs w:val="24"/>
          <w:vertAlign w:val="superscript"/>
        </w:rPr>
        <w:t>10</w:t>
      </w:r>
      <w:r w:rsidR="002D5B42" w:rsidRPr="00A52D0F">
        <w:rPr>
          <w:rFonts w:ascii="Arial" w:hAnsi="Arial" w:cs="Arial"/>
        </w:rPr>
        <w:fldChar w:fldCharType="end"/>
      </w:r>
      <w:r w:rsidR="002D5B42" w:rsidRPr="00A52D0F">
        <w:rPr>
          <w:rFonts w:ascii="Arial" w:hAnsi="Arial" w:cs="Arial"/>
        </w:rPr>
        <w:t>. In addition, the constant elasticity of transformation (CET) approach, commonly used in CGE models for labor allocation across sectors, does not maintain physical units during the labor transition as the CET function is not physically additive</w:t>
      </w:r>
      <w:r w:rsidR="002D5B42" w:rsidRPr="00A52D0F">
        <w:rPr>
          <w:rFonts w:ascii="Arial" w:hAnsi="Arial" w:cs="Arial"/>
        </w:rPr>
        <w:fldChar w:fldCharType="begin"/>
      </w:r>
      <w:r w:rsidR="00E805A4">
        <w:rPr>
          <w:rFonts w:ascii="Arial" w:hAnsi="Arial" w:cs="Arial"/>
        </w:rPr>
        <w:instrText xml:space="preserve"> ADDIN ZOTERO_ITEM CSL_CITATION {"citationID":"YSE0dw29","properties":{"formattedCitation":"\\super 11\\nosupersub{}","plainCitation":"11","noteIndex":0},"citationItems":[{"id":"SV7kDkUs/xmENuTNQ","uris":["http://zotero.org/users/9896081/items/WAREHNJ5"],"itemData":{"id":3403,"type":"article-journal","abstract":"Sound economic modelling of land use in global economic models is critical for evaluating agricultural, biofuel, and climate policies. Current approaches do not preserve physical land area, do not account for the fact that land is of different qualities, or do not explicitly include the cost of converting land from one use to another. This study proposes a land use modelling framework building on the additive form of the constant elasticity of transformation (ACET) approach. We demonstrated that the framework could (1) directly provide traceable physical land use results, (2) ﬂexibly handle land productivity differences based on biophysical information, (3) explicitly introduce land conversion cost, and (4) provide welfare decomposition in light of land heterogeneity and conversion cost. An experiment of mandating a 10 percent increase in grain consumption in the US food sector showed that ignoring land heterogeneity and conversion cost would underestimate the welfare loss by 28 percent.","container-title":"Economic Modelling","DOI":"10.1016/j.econmod.2019.03.003","ISSN":"02649993","journalAbbreviation":"Economic Modelling","language":"en","page":"13-26","source":"DOI.org (Crossref)","title":"Improving the way land use change is handled in economic models","volume":"84","author":[{"family":"Zhao","given":"Xin"},{"family":"Van Der Mensbrugghe","given":"Dominique Y."},{"family":"Keeney","given":"Roman M."},{"family":"Tyner","given":"Wallace E."}],"issued":{"date-parts":[["2020",1]]}}}],"schema":"https://github.com/citation-style-language/schema/raw/master/csl-citation.json"} </w:instrText>
      </w:r>
      <w:r w:rsidR="002D5B42" w:rsidRPr="00A52D0F">
        <w:rPr>
          <w:rFonts w:ascii="Arial" w:hAnsi="Arial" w:cs="Arial"/>
        </w:rPr>
        <w:fldChar w:fldCharType="separate"/>
      </w:r>
      <w:r w:rsidR="00794F95" w:rsidRPr="00794F95">
        <w:rPr>
          <w:rFonts w:ascii="Arial" w:hAnsi="Arial" w:cs="Arial"/>
          <w:szCs w:val="24"/>
          <w:vertAlign w:val="superscript"/>
        </w:rPr>
        <w:t>11</w:t>
      </w:r>
      <w:r w:rsidR="002D5B42" w:rsidRPr="00A52D0F">
        <w:rPr>
          <w:rFonts w:ascii="Arial" w:hAnsi="Arial" w:cs="Arial"/>
        </w:rPr>
        <w:fldChar w:fldCharType="end"/>
      </w:r>
      <w:r w:rsidR="002D5B42" w:rsidRPr="00A52D0F">
        <w:rPr>
          <w:rFonts w:ascii="Arial" w:hAnsi="Arial" w:cs="Arial"/>
        </w:rPr>
        <w:t>. In the Agricultural Model Intercomparison and Improvement Project (AgMIP), long-term agroeconomic projections, e.g., crop production, land use, food demand, agricultural prices, etc., from the participating models (comprising six CGEs and four PEs), showed significant differences, especially at the regional level.</w:t>
      </w:r>
      <w:r w:rsidR="00940CEF">
        <w:rPr>
          <w:rFonts w:ascii="Arial" w:hAnsi="Arial" w:cs="Arial"/>
        </w:rPr>
        <w:t xml:space="preserve"> Overall, t</w:t>
      </w:r>
      <w:r w:rsidR="00940CEF" w:rsidRPr="00B82890">
        <w:rPr>
          <w:rFonts w:ascii="Arial" w:hAnsi="Arial" w:cs="Arial"/>
        </w:rPr>
        <w:t>here is a pressing need to incorporate</w:t>
      </w:r>
      <w:r w:rsidR="00940CEF">
        <w:rPr>
          <w:rFonts w:ascii="Arial" w:hAnsi="Arial" w:cs="Arial"/>
        </w:rPr>
        <w:t xml:space="preserve"> traceable</w:t>
      </w:r>
      <w:r w:rsidR="00940CEF" w:rsidRPr="00B82890">
        <w:rPr>
          <w:rFonts w:ascii="Arial" w:hAnsi="Arial" w:cs="Arial"/>
        </w:rPr>
        <w:t xml:space="preserve"> </w:t>
      </w:r>
      <w:r w:rsidR="00940CEF">
        <w:rPr>
          <w:rFonts w:ascii="Arial" w:hAnsi="Arial" w:cs="Arial"/>
        </w:rPr>
        <w:t xml:space="preserve">physical </w:t>
      </w:r>
      <w:r w:rsidR="00940CEF" w:rsidRPr="00B82890">
        <w:rPr>
          <w:rFonts w:ascii="Arial" w:hAnsi="Arial" w:cs="Arial"/>
        </w:rPr>
        <w:t>labor dynamics with evolving agricultural labor markets into multisector dynamic models and</w:t>
      </w:r>
      <w:r w:rsidR="00940CEF">
        <w:rPr>
          <w:rFonts w:ascii="Arial" w:hAnsi="Arial" w:cs="Arial"/>
        </w:rPr>
        <w:t xml:space="preserve"> to</w:t>
      </w:r>
      <w:r w:rsidR="00940CEF" w:rsidRPr="00B82890">
        <w:rPr>
          <w:rFonts w:ascii="Arial" w:hAnsi="Arial" w:cs="Arial"/>
        </w:rPr>
        <w:t xml:space="preserve"> comprehend the </w:t>
      </w:r>
      <w:r w:rsidR="00940CEF">
        <w:rPr>
          <w:rFonts w:ascii="Arial" w:hAnsi="Arial" w:cs="Arial"/>
        </w:rPr>
        <w:t>resulting</w:t>
      </w:r>
      <w:r w:rsidR="00940CEF" w:rsidRPr="00B82890">
        <w:rPr>
          <w:rFonts w:ascii="Arial" w:hAnsi="Arial" w:cs="Arial"/>
        </w:rPr>
        <w:t xml:space="preserve"> environmental consequences</w:t>
      </w:r>
      <w:r w:rsidR="00940CEF" w:rsidRPr="00B82890">
        <w:rPr>
          <w:rFonts w:ascii="Arial" w:hAnsi="Arial" w:cs="Arial"/>
          <w:color w:val="000000" w:themeColor="text1"/>
        </w:rPr>
        <w:fldChar w:fldCharType="begin"/>
      </w:r>
      <w:r w:rsidR="00E805A4">
        <w:rPr>
          <w:rFonts w:ascii="Arial" w:hAnsi="Arial" w:cs="Arial"/>
          <w:color w:val="000000" w:themeColor="text1"/>
        </w:rPr>
        <w:instrText xml:space="preserve"> ADDIN ZOTERO_ITEM CSL_CITATION {"citationID":"IGkrprnC","properties":{"formattedCitation":"\\super 7\\nosupersub{}","plainCitation":"7","noteIndex":0},"citationItems":[{"id":"SV7kDkUs/XnILMRUk","uris":["http://zotero.org/users/9896081/items/T357EBPW"],"itemData":{"id":2216,"type":"article-journal","abstract":"This review seeks to survey, understand, and reconcile the widely divergent estimates of long-run global crop output, land use, and price projections in the current literature. We review the history of such projections and the different models and assumptions used in these exercises. We then introduce an analytical partial equilibrium model of the global crops sector, which provides a lens through which we can evaluate this previous work. The resulting decomposition of model responses into demand, extensive supply, and intensive supply elasticities offers important insights into the diversity of model parameterizations being employed by the existing models. Along with the methodology for implementing productivity growth, this helps explain some of the divergences in results. We employ a numerical version of the analytical model, which serves as an emulator of this entire class of models, to explore how uncertainties in the common underlying drivers and economic responses contribute to uncertain projections of output, prices, and land use in 2050. We place each of the published estimates reviewed here into the resulting empirical distribution of outcomes at mid-century. In addition, we quantify the sensitivity of these projections to model inputs. Our ﬁndings suggest that the top priority for future research should be improved estimation of agricultural factor supply elasticities, a topic that has been largely neglected in recent decades.","container-title":"Annual Review of Resource Economics","DOI":"10.1146/annurev-resource-100815-095333","ISSN":"1941-1340, 1941-1359","issue":"1","journalAbbreviation":"Annu. Rev. Resour. Econ.","language":"en","page":"417-441","source":"DOI.org (Crossref)","title":"Predicting Long-Term Food Demand, Cropland Use, and Prices","volume":"8","author":[{"family":"Hertel","given":"Thomas W."},{"family":"Baldos","given":"Uris Lantz C."},{"family":"Van Der Mensbrugghe","given":"Dominique"}],"issued":{"date-parts":[["2016",10,5]]}}}],"schema":"https://github.com/citation-style-language/schema/raw/master/csl-citation.json"} </w:instrText>
      </w:r>
      <w:r w:rsidR="00940CEF" w:rsidRPr="00B82890">
        <w:rPr>
          <w:rFonts w:ascii="Arial" w:hAnsi="Arial" w:cs="Arial"/>
          <w:color w:val="000000" w:themeColor="text1"/>
        </w:rPr>
        <w:fldChar w:fldCharType="separate"/>
      </w:r>
      <w:r w:rsidR="00E805A4" w:rsidRPr="00E805A4">
        <w:rPr>
          <w:rFonts w:ascii="Arial" w:hAnsi="Arial" w:cs="Arial"/>
          <w:szCs w:val="24"/>
          <w:vertAlign w:val="superscript"/>
        </w:rPr>
        <w:t>7</w:t>
      </w:r>
      <w:r w:rsidR="00940CEF" w:rsidRPr="00B82890">
        <w:rPr>
          <w:rFonts w:ascii="Arial" w:hAnsi="Arial" w:cs="Arial"/>
          <w:color w:val="000000" w:themeColor="text1"/>
        </w:rPr>
        <w:fldChar w:fldCharType="end"/>
      </w:r>
      <w:r w:rsidR="00940CEF" w:rsidRPr="00B82890">
        <w:rPr>
          <w:rFonts w:ascii="Arial" w:hAnsi="Arial" w:cs="Arial"/>
          <w:color w:val="000000" w:themeColor="text1"/>
        </w:rPr>
        <w:t>.</w:t>
      </w:r>
    </w:p>
    <w:p w14:paraId="54C5FD6E" w14:textId="29421C36" w:rsidR="00FC761F" w:rsidRPr="00A52D0F" w:rsidRDefault="00FC761F" w:rsidP="00FC761F">
      <w:pPr>
        <w:rPr>
          <w:rFonts w:ascii="Arial" w:hAnsi="Arial" w:cs="Arial"/>
        </w:rPr>
      </w:pPr>
      <w:r w:rsidRPr="00A52D0F">
        <w:rPr>
          <w:rFonts w:ascii="Arial" w:eastAsiaTheme="minorEastAsia" w:hAnsi="Arial" w:cs="Arial"/>
        </w:rPr>
        <w:t>GCAM is an open-source community model that undergoes active and continuous development and improvement. These advancements are tracked using Git in the model’s codebase, and recent core model updates are regularly released (</w:t>
      </w:r>
      <w:hyperlink r:id="rId10" w:history="1">
        <w:r w:rsidRPr="00A52D0F">
          <w:rPr>
            <w:rStyle w:val="Hyperlink"/>
            <w:rFonts w:ascii="Arial" w:eastAsiaTheme="minorEastAsia" w:hAnsi="Arial" w:cs="Arial"/>
          </w:rPr>
          <w:t>https://jgcri.github.io/gcam-doc/updates.html</w:t>
        </w:r>
      </w:hyperlink>
      <w:r w:rsidRPr="00A52D0F">
        <w:rPr>
          <w:rFonts w:ascii="Arial" w:eastAsiaTheme="minorEastAsia" w:hAnsi="Arial" w:cs="Arial"/>
        </w:rPr>
        <w:t xml:space="preserve">). An overview of GCAM and the scenario design for the present study is presented in the </w:t>
      </w:r>
      <w:r w:rsidRPr="00A52D0F">
        <w:rPr>
          <w:rFonts w:ascii="Arial" w:eastAsiaTheme="minorEastAsia" w:hAnsi="Arial" w:cs="Arial"/>
          <w:b/>
          <w:bCs/>
        </w:rPr>
        <w:t>Method</w:t>
      </w:r>
      <w:r w:rsidRPr="00A52D0F">
        <w:rPr>
          <w:rFonts w:ascii="Arial" w:eastAsiaTheme="minorEastAsia" w:hAnsi="Arial" w:cs="Arial"/>
        </w:rPr>
        <w:t xml:space="preserve"> section of the main text. Recent developments concerning the agriculture and land use (AgLU) module in GCAM have been thoroughly documented in GCAM Core Model Proposals, </w:t>
      </w:r>
      <w:r w:rsidRPr="00A52D0F">
        <w:rPr>
          <w:rFonts w:ascii="Arial" w:hAnsi="Arial" w:cs="Arial"/>
        </w:rPr>
        <w:t>the online documentation (</w:t>
      </w:r>
      <w:hyperlink r:id="rId11" w:history="1">
        <w:r w:rsidRPr="00A52D0F">
          <w:rPr>
            <w:rStyle w:val="Hyperlink"/>
            <w:rFonts w:ascii="Arial" w:hAnsi="Arial" w:cs="Arial"/>
          </w:rPr>
          <w:t>http://jgcri.github.io/gcam-doc/</w:t>
        </w:r>
      </w:hyperlink>
      <w:r w:rsidRPr="00A52D0F">
        <w:rPr>
          <w:rFonts w:ascii="Arial" w:hAnsi="Arial" w:cs="Arial"/>
        </w:rPr>
        <w:t>), and recent applications</w:t>
      </w:r>
      <w:r w:rsidRPr="00A52D0F">
        <w:rPr>
          <w:rFonts w:ascii="Arial" w:hAnsi="Arial" w:cs="Arial"/>
        </w:rPr>
        <w:fldChar w:fldCharType="begin"/>
      </w:r>
      <w:r w:rsidR="00794F95">
        <w:rPr>
          <w:rFonts w:ascii="Arial" w:hAnsi="Arial" w:cs="Arial"/>
        </w:rPr>
        <w:instrText xml:space="preserve"> ADDIN ZOTERO_ITEM CSL_CITATION {"citationID":"WqcxWfhl","properties":{"formattedCitation":"\\super 12\\uc0\\u8211{}19\\nosupersub{}","plainCitation":"12–19","noteIndex":0},"citationItems":[{"id":4166,"uris":["http://zotero.org/users/8267882/items/N5H43RTC"],"itemData":{"id":4166,"type":"article-journal","abstract":"Most studies assessing climate impacts on agriculture have focused on average changes in market-mediated responses (e.g. changes in land use, production, and consumption). However, the response of global agricultural markets to interannual variability (IAV) in climate and biophysical shocks is poorly understood and not well represented in global economic models. Here we show a strong transmission of IAVs in climate-induced biophysical yield shocks to agriculture markets, which is further magnified by endogenous market fluctuations generated due to producers’ imperfect expectations of market and weather conditions. We demonstrate that the volatility of crop prices and consumption could be significantly underestimated (i.e. on average by 55% and 41%, respectively) by assuming perfect foresight, a standard assumption in the economic equilibrium modeling, compared with the relatively more realistic adaptive expectations. We also find heterogeneity in IAV across crops and regions, which is considerably mediated by international trade. Studying IAV provides fundamentally new insights on measuring and understanding climate impacts on global agriculture, and our framework lays the foundation for further investigating the full range of climate impacts on biophysical and human systems.","container-title":"Environmental Research Letters","DOI":"10.1088/1748-9326/ac2965","ISSN":"1748-9326","issue":"10","journalAbbreviation":"Environ. Res. Lett.","language":"en","license":"Creative Commons Attribution-NonCommercial-ShareAlike 4.0 International License (CC-BY-NC-SA)","note":"publisher: IOP Publishing","page":"104037","source":"Institute of Physics","title":"Global agricultural responses to interannual climate and biophysical variability","URL":"https://doi.org/10.1088/1748-9326/ac2965","volume":"16","author":[{"family":"Zhao","given":"Xin"},{"family":"Calvin","given":"Katherine V."},{"family":"Wise","given":"Marshall A."},{"family":"Patel","given":"Pralit L."},{"family":"Snyder","given":"Abigail C."},{"family":"Waldhoff","given":"Stephanie T."},{"family":"Hejazi","given":"Mohamad I."},{"family":"Edmonds","given":"James A."}],"accessed":{"date-parts":[["2022",8,24]]},"issued":{"date-parts":[["2021",10]]}}},{"id":6027,"uris":["http://zotero.org/users/8267882/items/UNQR7QD9"],"itemData":{"id":6027,"type":"article-journal","abstract":"Carbon dioxide removal (CDR) is a critical tool in all plans to limit warming to below 1.5 °C, but only a few CDR pathways have been incorporated into integrated assessment models that international climate policy deliberations rely on. A more diverse set of CDR approaches could have important benefits and costs for energy–water–land systems. Here we use an integrated assessment model to assess a complete suite of CDR approaches including bioenergy with carbon capture and storage, afforestation, direct air capture with carbon storage, enhanced weathering, biochar and direct ocean capture with carbon storage. CDR provided by each approach spans three orders of magnitude, with deployment and associated impacts varying between regions. Total removals reach approximately 10 GtCO2 yr−1 globally, largely to offset residual CO2 and non-CO2 emissions, which remain costly to avoid even under scenarios specifically designed to reduce them.","container-title":"Nature Climate Change","DOI":"10.1038/s41558-023-01604-9","ISSN":"1758-6798","journalAbbreviation":"Nat. Clim. Chang.","language":"en","license":"2023 The Author(s), under exclusive licence to Springer Nature Limited","note":"publisher: Nature Publishing Group","page":"1-10","source":"www.nature.com","title":"Diverse carbon dioxide removal approaches could reduce impacts on the energy–water–land system","URL":"https://www.nature.com/articles/s41558-023-01604-9","author":[{"family":"Fuhrman","given":"Jay"},{"family":"Bergero","given":"Candelaria"},{"family":"Weber","given":"Maridee"},{"family":"Monteith","given":"Seth"},{"family":"Wang","given":"Frances M."},{"family":"Clarens","given":"Andres F."},{"family":"Doney","given":"Scott C."},{"family":"Shobe","given":"William"},{"family":"McJeon","given":"Haewon"}],"accessed":{"date-parts":[["2023",3,14]]},"issued":{"date-parts":[["2023",3,9]]}}},{"id":142,"uris":["http://zotero.org/users/8267882/items/NIU47UB2"],"itemData":{"id":142,"type":"article-journal","abstract":"Energy system transformation scenarios satisfying particular climate stabilization objectives, such as 2°C, suggest that a wide range of fossil energy outcomes could be consistent with such objectives. The underlying drivers of variability in these outcomes cannot, however, be easily separated. This paper attempts to shed light on such drivers using a single, state-of-the-art global integrated assessment model (GCAM) to evaluate the energy system implications of climate stabilization near 2°C. We focus specifically on the role of fossil primary energy through midcentury under different assumptions about carbon capture and storage (CCS) and bioenergy supply, as well as about the extent of end use electrification and variable renewable energy (VRE) costs. In our scenarios, coal and natural gas primary energy are most sensitive to the availability of CCS, with bioenergy supply, end use electrification and VRE costs having a secondary impact on these sources. Primary energy from coal declines by midcentury relative to 2015 in all GCAM mitigation scenarios considered here, whereas primary energy from natural gas increases by midcentury relative to 2015 in scenarios in which CCS is available but decreases in scenarios in which CCS is not available. Changes in oil primary energy by midcentury relative to 2015 are generally smaller in magnitude than changes in coal or natural gas primary energy over the same period. We explain these results in terms of fundamental energy-economic relationships and discuss the implications of these findings for broader energy policy and planning.","container-title":"Energy and Climate Change","DOI":"10.1016/j.egycc.2021.100034","ISSN":"2666-2787","journalAbbreviation":"Energy and Climate Change","language":"en","page":"100034","source":"ScienceDirect","title":"Fossil energy deployment through midcentury consistent with 2°C climate stabilization","URL":"https://www.sciencedirect.com/science/article/pii/S2666278721000118","volume":"2","author":[{"family":"McJeon","given":"Haewon"},{"family":"Mignone","given":"Bryan K."},{"family":"O'Rourke","given":"Patrick"},{"family":"Horowitz","given":"Russell"},{"family":"Kheshgi","given":"Haroon S."},{"family":"Clarke","given":"Leon"},{"family":"Kyle","given":"Page"},{"family":"Patel","given":"Pralit"},{"family":"Edmonds","given":"Jae"}],"accessed":{"date-parts":[["2021",8,6]]},"issued":{"date-parts":[["2021",12,1]]}}},{"id":5195,"uris":["http://zotero.org/users/8267882/items/GT2EVQYT"],"itemData":{"id":5195,"type":"article-journal","abstract":"The new and updated emission reduction pledges submitted by countries ahead of the Twenty-Sixth Conference of Parties represent a meaningful strengthening of global ambition compared to the 2015 Paris pledges. Yet, limiting global warming below 1.5 °C this century will require countries to ratchet ambition for 2030 and beyond. Here, we explore a suite of emissions pathways to show that ratcheting near-term ambition through 2030 will be crucial to limiting peak temperature changes. Delaying ratcheting ambition to beyond 2030 could still deliver end-of-century temperature change of less than 1.5 °C but would result in higher temperature overshoot over many decades with the potential for adverse consequences. Ratcheting near-term ambition would also deliver benefits from enhanced non-CO2 mitigation and facilitate faster transitions to net-zero emissions systems in major economies.","container-title":"Nature Climate Change","DOI":"10.1038/s41558-022-01508-0","ISSN":"1758-6798","journalAbbreviation":"Nat. Clim. Chang.","language":"en","license":"2022 The Author(s), under exclusive licence to Springer Nature Limited","note":"publisher: Nature Publishing Group","page":"1-7","source":"www.nature.com","title":"Ratcheting of climate pledges needed to limit peak global warming","URL":"https://www.nature.com/articles/s41558-022-01508-0","author":[{"family":"Iyer","given":"Gokul"},{"family":"Ou","given":"Yang"},{"family":"Edmonds","given":"James"},{"family":"Fawcett","given":"Allen A."},{"family":"Hultman","given":"Nathan"},{"family":"McFarland","given":"James"},{"family":"Fuhrman","given":"Jay"},{"family":"Waldhoff","given":"Stephanie"},{"family":"McJeon","given":"Haewon"}],"accessed":{"date-parts":[["2022",12,3]]},"issued":{"date-parts":[["2022",11,10]]}}},{"id":1434,"uris":["http://zotero.org/users/8267882/items/BEJQM8FV"],"itemData":{"id":1434,"type":"article-journal","container-title":"Science","DOI":"10.1126/science.abl8976","issue":"6568","note":"publisher: American Association for the Advancement of Science","page":"693-695","source":"science.org (Atypon)","title":"Can updated climate pledges limit warming well below 2°C?","URL":"https://www.science.org/doi/10.1126/science.abl8976","volume":"374","author":[{"family":"Ou","given":"Yang"},{"family":"Iyer","given":"Gokul"},{"family":"Clarke","given":"Leon"},{"family":"Edmonds","given":"Jae"},{"family":"Fawcett","given":"Allen A."},{"family":"Hultman","given":"Nathan"},{"family":"McFarland","given":"James R."},{"family":"Binsted","given":"Matthew"},{"family":"Cui","given":"Ryna"},{"family":"Fyson","given":"Claire"},{"family":"Geiges","given":"Andreas"},{"family":"Gonzales-Zuñiga","given":"Sofia"},{"family":"Gidden","given":"Matthew J."},{"family":"Höhne","given":"Niklas"},{"family":"Jeffery","given":"Louise"},{"family":"Kuramochi","given":"Takeshi"},{"family":"Lewis","given":"Jared"},{"family":"Meinshausen","given":"Malte"},{"family":"Nicholls","given":"Zebedee"},{"family":"Patel","given":"Pralit"},{"family":"Ragnauth","given":"Shaun"},{"family":"Rogelj","given":"Joeri"},{"family":"Waldhoff","given":"Stephanie"},{"family":"Yu","given":"Sha"},{"family":"McJeon","given":"Haewon"}],"accessed":{"date-parts":[["2021",11,4]]},"issued":{"date-parts":[["2021",11,5]]}}},{"id":6399,"uris":["http://zotero.org/users/8267882/items/TAZD65CA"],"itemData":{"id":6399,"type":"article-journal","abstract":"The Latin America and the Caribbean (LAC) region plays key roles in both meeting global agricultural demands and maintaining carbon sinks due to its abundant land and water resources. In this study we use the Global Change Analysis Model to evaluate the opportunities and challenges posed by two global-scale drivers: agricultural market integration (i.e., reduction of trade barriers) and land-based climate mitigation policy. We evaluate their potential individual and combined impacts on agricultural production and trade revenues across LAC's economies through mid-century, as well as the resulting impacts on agricultural consumers and integrated land-water-climate systems across LAC's diverse sub-regions. Increased global market integration results in increased agricultural production and trade revenues for many LAC economies, driven by their evolving comparative advantages. Climate mitigation measures on CO2 and non-CO2 greenhouse gases increase revenues due to increased agricultural prices from land competition and emissions abatement. The combined outcomes from both drivers are complex and sometimes non-linear, highlighting the importance of understanding the interactions between multiple drivers. Our results show that increased agricultural production and trade opportunities, from either of the two drivers, pose significant trade-offs that require careful multi-sectoral planning, such as emissions reduction challenges, potential loss of livestock production when pursuing land-based climate mitigation strategies, increased consumer expenditures, and changes in land-use or water withdrawals, resulting in deforestation or water scarcity pressures. There is considerable heterogeneity in economic and environmental outcomes across LAC sub-regions and agricultural commodities, illustrating the value of considering outcomes at finer scales.","container-title":"Earth's Future","DOI":"10.1029/2022EF003063","ISSN":"2328-4277","issue":"4","language":"en","license":"Creative Commons Attribution-NonCommercial-NoDerivatives 4.0 International License (CC-BY-NC-ND)","note":"_eprint: https://onlinelibrary.wiley.com/doi/pdf/10.1029/2022EF003063","page":"e2022EF003063","source":"Wiley Online Library","title":"Trade and Climate Mitigation Interactions Create Agro-Economic Opportunities With Social and Environmental Trade-Offs in Latin America and the Caribbean","URL":"https://onlinelibrary.wiley.com/doi/abs/10.1029/2022EF003063","volume":"11","author":[{"family":"Yarlagadda","given":"Brinda"},{"family":"Wild","given":"Thomas"},{"family":"Zhao","given":"Xin"},{"family":"Clarke","given":"Leon"},{"family":"Cui","given":"Ryna"},{"family":"Khan","given":"Zarrar"},{"family":"Birnbaum","given":"Abigail"},{"family":"Lamontagne","given":"Jonathan"}],"accessed":{"date-parts":[["2023",5,7]]},"issued":{"date-parts":[["2023"]]}}},{"id":837,"uris":["http://zotero.org/users/8267882/items/BENT5NB8"],"itemData":{"id":837,"type":"article-journal","abstract":"Future changes in climate and socioeconomic systems will drive both the availability and use of water resources, leading to evolutions in scarcity. The contributions of both systems can be quantified individually to understand the impacts around the world, but also combined to explore how the coevolution of energy-water-land systems affects not only the driver behind water scarcity changes, but how human and climate systems interact in tandem to alter water scarcity. Here we investigate the relative contributions of climate and socioeconomic systems on water scarcity under the Shared Socioeconomic Pathways-Representative Concentration Pathways framework. While human systems dominate changes in water scarcity independent of socioeconomic or climate future, the sign of these changes depend particularly on the socioeconomic scenario. Under specific socioeconomic futures, human-driven water scarcity reductions occur in up to 44% of the global land area by the end of the century.","container-title":"Environmental Research Letters","DOI":"10.1088/1748-9326/ab639b","ISSN":"1748-9326","issue":"1","journalAbbreviation":"Environ. Res. Lett.","language":"en","note":"publisher: IOP Publishing","page":"014007","source":"Institute of Physics","title":"Humans drive future water scarcity changes across all Shared Socioeconomic Pathways","URL":"https://doi.org/10.1088/1748-9326/ab639b","volume":"15","author":[{"family":"Graham","given":"Neal T."},{"family":"Hejazi","given":"Mohamad I."},{"family":"Chen","given":"Min"},{"family":"Davies","given":"Evan G. R."},{"family":"Edmonds","given":"James A."},{"family":"Kim","given":"Son H."},{"family":"Turner","given":"Sean W. D."},{"family":"Li","given":"Xinya"},{"family":"Vernon","given":"Chris R."},{"family":"Calvin","given":"Katherine"},{"family":"Miralles-Wilhelm","given":"Fernando"},{"family":"Clarke","given":"Leon"},{"family":"Kyle","given":"Page"},{"family":"Link","given":"Robert"},{"family":"Patel","given":"Pralit"},{"family":"Snyder","given":"Abigail C."},{"family":"Wise","given":"Marshall A."}],"accessed":{"date-parts":[["2021",9,23]]},"issued":{"date-parts":[["2020",1]]}}},{"id":6270,"uris":["http://zotero.org/users/8267882/items/38S4WMXZ"],"itemData":{"id":6270,"type":"article-journal","abstract":"Projection of land use and land-cover change is highly uncertain yet drives critical estimates of carbon emissions, climate change, and food and bioenergy production. We use new, spatially explicit land availability data in conjunction with a model sensitivity analysis to estimate the effects of additional land protection on land use and land cover. The land availability data include protected land and agricultural suitability and is incorporated into the Moirai land data system for initializing the Global Change Analysis Model. Overall, decreasing land availability is relatively inefficient at preserving undeveloped land while having considerable regional land-use impacts. Current amounts of protected area have little effect on land and crop production estimates, but including the spatial distribution of unsuitable (i.e., unavailable) land dramatically shifts bioenergy production from high northern latitudes to the rest of the world, compared with uniform availability. This highlights the importance of spatial heterogeneity in understanding and managing land change. Approximately doubling the current protected area to emulate a 30% protected area target may avoid land conversion by 2050 of less than half the newly protected extent while reducing bioenergy feedstock land by 10.4% and cropland and grazed pasture by over 3%. Regional bioenergy land may be reduced (increased) by up to 46% (36%), cropland reduced by up to 61%, pasture reduced by up to 100%, and harvested forest reduced by up to 35%. Only a few regions show notable gains in some undeveloped land types of up to 36%. Half of the regions can reach the target using only unsuitable land, which would minimize impacts on agriculture but may not meet conservation goals. Rather than focusing on an area target, a more robust approach may be to carefully select newly protected land to meet well-defined conservation goals while minimizing impacts to agriculture.","container-title":"GCB Bioenergy","DOI":"10.1111/gcbb.13016","ISSN":"1757-1707","issue":"2","language":"en","note":"_eprint: https://onlinelibrary.wiley.com/doi/pdf/10.1111/gcbb.13016","page":"185-207","source":"Wiley Online Library","title":"Doubling protected land area may be inefficient at preserving the extent of undeveloped land and could cause substantial regional shifts in land use","URL":"https://onlinelibrary.wiley.com/doi/abs/10.1111/gcbb.13016","volume":"15","author":[{"family":"Di Vittorio","given":"Alan V."},{"family":"Narayan","given":"Kanishka B."},{"family":"Patel","given":"Pralit"},{"family":"Calvin","given":"Katherine"},{"family":"Vernon","given":"Chris R."}],"accessed":{"date-parts":[["2023",5,2]]},"issued":{"date-parts":[["2023"]]}}}],"schema":"https://github.com/citation-style-language/schema/raw/master/csl-citation.json"} </w:instrText>
      </w:r>
      <w:r w:rsidRPr="00A52D0F">
        <w:rPr>
          <w:rFonts w:ascii="Arial" w:hAnsi="Arial" w:cs="Arial"/>
        </w:rPr>
        <w:fldChar w:fldCharType="separate"/>
      </w:r>
      <w:r w:rsidR="00794F95" w:rsidRPr="00794F95">
        <w:rPr>
          <w:rFonts w:ascii="Arial" w:hAnsi="Arial" w:cs="Arial"/>
          <w:szCs w:val="24"/>
          <w:vertAlign w:val="superscript"/>
        </w:rPr>
        <w:t>12–19</w:t>
      </w:r>
      <w:r w:rsidRPr="00A52D0F">
        <w:rPr>
          <w:rFonts w:ascii="Arial" w:hAnsi="Arial" w:cs="Arial"/>
        </w:rPr>
        <w:fldChar w:fldCharType="end"/>
      </w:r>
      <w:r w:rsidRPr="00A52D0F">
        <w:rPr>
          <w:rFonts w:ascii="Arial" w:hAnsi="Arial" w:cs="Arial"/>
        </w:rPr>
        <w:t>.</w:t>
      </w:r>
    </w:p>
    <w:p w14:paraId="0BB952FC" w14:textId="47A5E19C" w:rsidR="00B17452" w:rsidRDefault="00FC761F" w:rsidP="00AA29EA">
      <w:pPr>
        <w:rPr>
          <w:rFonts w:ascii="Arial" w:eastAsiaTheme="minorEastAsia" w:hAnsi="Arial" w:cs="Arial"/>
        </w:rPr>
      </w:pPr>
      <w:r w:rsidRPr="00FC761F">
        <w:rPr>
          <w:rFonts w:ascii="Arial" w:eastAsiaTheme="minorEastAsia" w:hAnsi="Arial" w:cs="Arial"/>
        </w:rPr>
        <w:t xml:space="preserve">Our </w:t>
      </w:r>
      <w:r w:rsidR="00A52D0F">
        <w:rPr>
          <w:rFonts w:ascii="Arial" w:eastAsiaTheme="minorEastAsia" w:hAnsi="Arial" w:cs="Arial"/>
        </w:rPr>
        <w:t>study</w:t>
      </w:r>
      <w:r w:rsidRPr="00FC761F">
        <w:rPr>
          <w:rFonts w:ascii="Arial" w:eastAsiaTheme="minorEastAsia" w:hAnsi="Arial" w:cs="Arial"/>
        </w:rPr>
        <w:t xml:space="preserve"> is based on GCAM v7.0, which is the latest version currently available. </w:t>
      </w:r>
      <w:r w:rsidR="003D6A29" w:rsidRPr="003D6A29">
        <w:rPr>
          <w:rFonts w:ascii="Arial" w:eastAsiaTheme="minorEastAsia" w:hAnsi="Arial" w:cs="Arial"/>
          <w:b/>
          <w:bCs/>
        </w:rPr>
        <w:fldChar w:fldCharType="begin"/>
      </w:r>
      <w:r w:rsidR="003D6A29" w:rsidRPr="003D6A29">
        <w:rPr>
          <w:rFonts w:ascii="Arial" w:eastAsiaTheme="minorEastAsia" w:hAnsi="Arial" w:cs="Arial"/>
          <w:b/>
          <w:bCs/>
        </w:rPr>
        <w:instrText xml:space="preserve"> REF _Ref162555959 \h  \* MERGEFORMAT </w:instrText>
      </w:r>
      <w:r w:rsidR="003D6A29" w:rsidRPr="003D6A29">
        <w:rPr>
          <w:rFonts w:ascii="Arial" w:eastAsiaTheme="minorEastAsia" w:hAnsi="Arial" w:cs="Arial"/>
          <w:b/>
          <w:bCs/>
        </w:rPr>
      </w:r>
      <w:r w:rsidR="003D6A29" w:rsidRPr="003D6A29">
        <w:rPr>
          <w:rFonts w:ascii="Arial" w:eastAsiaTheme="minorEastAsia" w:hAnsi="Arial" w:cs="Arial"/>
          <w:b/>
          <w:bCs/>
        </w:rPr>
        <w:fldChar w:fldCharType="separate"/>
      </w:r>
      <w:r w:rsidR="003D6A29" w:rsidRPr="003D6A29">
        <w:rPr>
          <w:rFonts w:ascii="Arial" w:eastAsiaTheme="minorEastAsia" w:hAnsi="Arial" w:cs="Arial"/>
          <w:b/>
          <w:bCs/>
        </w:rPr>
        <w:t>Table S</w:t>
      </w:r>
      <w:r w:rsidR="003D6A29" w:rsidRPr="003D6A29">
        <w:rPr>
          <w:rFonts w:ascii="Arial" w:eastAsiaTheme="minorEastAsia" w:hAnsi="Arial" w:cs="Arial"/>
          <w:b/>
          <w:bCs/>
          <w:noProof/>
        </w:rPr>
        <w:t>2</w:t>
      </w:r>
      <w:r w:rsidR="003D6A29" w:rsidRPr="003D6A29">
        <w:rPr>
          <w:rFonts w:ascii="Arial" w:eastAsiaTheme="minorEastAsia" w:hAnsi="Arial" w:cs="Arial"/>
          <w:b/>
          <w:bCs/>
        </w:rPr>
        <w:fldChar w:fldCharType="end"/>
      </w:r>
      <w:r w:rsidRPr="003D6A29">
        <w:rPr>
          <w:rFonts w:ascii="Arial" w:eastAsiaTheme="minorEastAsia" w:hAnsi="Arial" w:cs="Arial"/>
          <w:b/>
          <w:bCs/>
        </w:rPr>
        <w:t xml:space="preserve"> </w:t>
      </w:r>
      <w:r w:rsidRPr="00FC761F">
        <w:rPr>
          <w:rFonts w:ascii="Arial" w:eastAsiaTheme="minorEastAsia" w:hAnsi="Arial" w:cs="Arial"/>
        </w:rPr>
        <w:t>provides the regional mapping between the 32 regions in GCAM and their correspondence to the IPCC R10 regions</w:t>
      </w:r>
      <w:r w:rsidR="00811C3C">
        <w:rPr>
          <w:rFonts w:ascii="Arial" w:eastAsiaTheme="minorEastAsia" w:hAnsi="Arial" w:cs="Arial"/>
        </w:rPr>
        <w:t>.</w:t>
      </w:r>
      <w:r w:rsidR="00466E7F">
        <w:rPr>
          <w:rFonts w:ascii="Arial" w:eastAsiaTheme="minorEastAsia" w:hAnsi="Arial" w:cs="Arial"/>
        </w:rPr>
        <w:t xml:space="preserve"> </w:t>
      </w:r>
      <w:r w:rsidR="00466E7F" w:rsidRPr="00466E7F">
        <w:rPr>
          <w:rFonts w:ascii="Arial" w:eastAsiaTheme="minorEastAsia" w:hAnsi="Arial" w:cs="Arial"/>
        </w:rPr>
        <w:t>GCAM v7.0 utilizes agroeconomic data primarily compiled from the new FAO food balance sheet and supply-utilization accounting data. This approach ensures traceable flows from land-based primary production to end uses</w:t>
      </w:r>
      <w:r w:rsidR="00466E7F">
        <w:rPr>
          <w:rFonts w:ascii="Arial" w:eastAsiaTheme="minorEastAsia" w:hAnsi="Arial" w:cs="Arial"/>
        </w:rPr>
        <w:fldChar w:fldCharType="begin"/>
      </w:r>
      <w:r w:rsidR="00794F95">
        <w:rPr>
          <w:rFonts w:ascii="Arial" w:eastAsiaTheme="minorEastAsia" w:hAnsi="Arial" w:cs="Arial"/>
        </w:rPr>
        <w:instrText xml:space="preserve"> ADDIN ZOTERO_ITEM CSL_CITATION {"citationID":"a1lardls1fe","properties":{"formattedCitation":"\\super 20\\nosupersub{}","plainCitation":"20","noteIndex":0},"citationItems":[{"id":6806,"uris":["http://zotero.org/users/8267882/items/6CGFZP53"],"itemData":{"id":6806,"type":"report","genre":"Core Model Proposal","number":"360","publisher":"Joint Global Change Research Institute, PNNL","title":"GCAM agriculture and land use (AgLU) data and method updates: connecting land hectares to food calories","URL":"https://jgcri.github.io/gcam-doc/cmp/CMP_360-AgLU_data_method_updates.pdf","author":[{"family":"Zhao","given":"Xin"},{"family":"Wise","given":"Marshall"}],"accessed":{"date-parts":[["2023",6,25]]},"issued":{"date-parts":[["2023",4,24]]}}}],"schema":"https://github.com/citation-style-language/schema/raw/master/csl-citation.json"} </w:instrText>
      </w:r>
      <w:r w:rsidR="00466E7F">
        <w:rPr>
          <w:rFonts w:ascii="Arial" w:eastAsiaTheme="minorEastAsia" w:hAnsi="Arial" w:cs="Arial"/>
        </w:rPr>
        <w:fldChar w:fldCharType="separate"/>
      </w:r>
      <w:r w:rsidR="00794F95" w:rsidRPr="00794F95">
        <w:rPr>
          <w:rFonts w:ascii="Arial" w:hAnsi="Arial" w:cs="Arial"/>
          <w:szCs w:val="24"/>
          <w:vertAlign w:val="superscript"/>
        </w:rPr>
        <w:t>20</w:t>
      </w:r>
      <w:r w:rsidR="00466E7F">
        <w:rPr>
          <w:rFonts w:ascii="Arial" w:eastAsiaTheme="minorEastAsia" w:hAnsi="Arial" w:cs="Arial"/>
        </w:rPr>
        <w:fldChar w:fldCharType="end"/>
      </w:r>
      <w:r w:rsidR="00466E7F">
        <w:rPr>
          <w:rFonts w:ascii="Arial" w:eastAsiaTheme="minorEastAsia" w:hAnsi="Arial" w:cs="Arial"/>
        </w:rPr>
        <w:t>.</w:t>
      </w:r>
      <w:r w:rsidR="000C5F3A">
        <w:rPr>
          <w:rFonts w:ascii="Arial" w:eastAsiaTheme="minorEastAsia" w:hAnsi="Arial" w:cs="Arial"/>
        </w:rPr>
        <w:t xml:space="preserve"> </w:t>
      </w:r>
      <w:r w:rsidR="003D6A29">
        <w:rPr>
          <w:rFonts w:ascii="Arial" w:eastAsiaTheme="minorEastAsia" w:hAnsi="Arial" w:cs="Arial"/>
          <w:b/>
          <w:bCs/>
        </w:rPr>
        <w:fldChar w:fldCharType="begin"/>
      </w:r>
      <w:r w:rsidR="003D6A29">
        <w:rPr>
          <w:rFonts w:ascii="Arial" w:eastAsiaTheme="minorEastAsia" w:hAnsi="Arial" w:cs="Arial"/>
          <w:b/>
          <w:bCs/>
        </w:rPr>
        <w:instrText xml:space="preserve"> REF _Ref162476437 \h  \* MERGEFORMAT </w:instrText>
      </w:r>
      <w:r w:rsidR="003D6A29">
        <w:rPr>
          <w:rFonts w:ascii="Arial" w:eastAsiaTheme="minorEastAsia" w:hAnsi="Arial" w:cs="Arial"/>
          <w:b/>
          <w:bCs/>
        </w:rPr>
      </w:r>
      <w:r w:rsidR="003D6A29">
        <w:rPr>
          <w:rFonts w:ascii="Arial" w:eastAsiaTheme="minorEastAsia" w:hAnsi="Arial" w:cs="Arial"/>
          <w:b/>
          <w:bCs/>
        </w:rPr>
        <w:fldChar w:fldCharType="separate"/>
      </w:r>
      <w:r w:rsidR="003D6A29" w:rsidRPr="003D6A29">
        <w:rPr>
          <w:rFonts w:ascii="Arial" w:eastAsiaTheme="minorEastAsia" w:hAnsi="Arial" w:cs="Arial"/>
          <w:b/>
          <w:bCs/>
        </w:rPr>
        <w:t>Table S3</w:t>
      </w:r>
      <w:r w:rsidR="003D6A29">
        <w:rPr>
          <w:rFonts w:ascii="Arial" w:eastAsiaTheme="minorEastAsia" w:hAnsi="Arial" w:cs="Arial"/>
          <w:b/>
          <w:bCs/>
        </w:rPr>
        <w:fldChar w:fldCharType="end"/>
      </w:r>
      <w:r w:rsidR="00466E7F" w:rsidRPr="00FC761F">
        <w:rPr>
          <w:rFonts w:ascii="Arial" w:eastAsiaTheme="minorEastAsia" w:hAnsi="Arial" w:cs="Arial"/>
        </w:rPr>
        <w:t xml:space="preserve"> outlines the mapping between GCAM agricultural commodities and FAO primary products.</w:t>
      </w:r>
      <w:r w:rsidR="00854A64">
        <w:rPr>
          <w:rFonts w:ascii="Arial" w:eastAsiaTheme="minorEastAsia" w:hAnsi="Arial" w:cs="Arial"/>
        </w:rPr>
        <w:t xml:space="preserve"> </w:t>
      </w:r>
    </w:p>
    <w:p w14:paraId="0B09E29A" w14:textId="5354D791" w:rsidR="00130E56" w:rsidRDefault="00B17452" w:rsidP="00AA29EA">
      <w:pPr>
        <w:rPr>
          <w:rFonts w:ascii="Arial" w:eastAsiaTheme="minorEastAsia" w:hAnsi="Arial" w:cs="Arial"/>
        </w:rPr>
      </w:pPr>
      <w:r w:rsidRPr="00B17452">
        <w:rPr>
          <w:rFonts w:ascii="Arial" w:eastAsiaTheme="minorEastAsia" w:hAnsi="Arial" w:cs="Arial"/>
        </w:rPr>
        <w:t>GCAM v7.0 also integrates recent advancements of the Macro-Economic Module, specifically the Capital-Labor-Energy-Material (KLEM) version</w:t>
      </w:r>
      <w:r>
        <w:rPr>
          <w:rFonts w:ascii="Arial" w:eastAsiaTheme="minorEastAsia" w:hAnsi="Arial" w:cs="Arial"/>
        </w:rPr>
        <w:fldChar w:fldCharType="begin"/>
      </w:r>
      <w:r w:rsidR="00794F95">
        <w:rPr>
          <w:rFonts w:ascii="Arial" w:eastAsiaTheme="minorEastAsia" w:hAnsi="Arial" w:cs="Arial"/>
        </w:rPr>
        <w:instrText xml:space="preserve"> ADDIN ZOTERO_ITEM CSL_CITATION {"citationID":"a9ojh9cpo3","properties":{"formattedCitation":"\\super 21\\nosupersub{}","plainCitation":"21","noteIndex":0},"citationItems":[{"id":8742,"uris":["http://zotero.org/users/8267882/items/D7KYL5YR"],"itemData":{"id":8742,"type":"report","event-place":"College Park, USA","number":"PNNL-34479","publisher":"Pacific Northwest National Laboratory","publisher-place":"College Park, USA","title":"Core Model Proposal# 332: GCAM Macro-Economic Module (KLEM Version)","URL":"https://jgcri.github.io/gcam-doc/cmp/332-GCAM_Macro_Economic_Module_KLEM.pdf","author":[{"family":"Patel","given":"Pralit"},{"family":"Edmonds","given":"Jae"},{"family":"Kim","given":"Sonny"},{"family":"Zhao","given":"Xin"},{"family":"Sheng","given":"Di"},{"family":"Waldhoff","given":"Stephanie"},{"family":"Lochner","given":"Ellie"}],"issued":{"date-parts":[["2023"]]}}}],"schema":"https://github.com/citation-style-language/schema/raw/master/csl-citation.json"} </w:instrText>
      </w:r>
      <w:r>
        <w:rPr>
          <w:rFonts w:ascii="Arial" w:eastAsiaTheme="minorEastAsia" w:hAnsi="Arial" w:cs="Arial"/>
        </w:rPr>
        <w:fldChar w:fldCharType="separate"/>
      </w:r>
      <w:r w:rsidR="00794F95" w:rsidRPr="00794F95">
        <w:rPr>
          <w:rFonts w:ascii="Arial" w:hAnsi="Arial" w:cs="Arial"/>
          <w:szCs w:val="24"/>
          <w:vertAlign w:val="superscript"/>
        </w:rPr>
        <w:t>21</w:t>
      </w:r>
      <w:r>
        <w:rPr>
          <w:rFonts w:ascii="Arial" w:eastAsiaTheme="minorEastAsia" w:hAnsi="Arial" w:cs="Arial"/>
        </w:rPr>
        <w:fldChar w:fldCharType="end"/>
      </w:r>
      <w:r>
        <w:rPr>
          <w:rFonts w:ascii="Arial" w:eastAsiaTheme="minorEastAsia" w:hAnsi="Arial" w:cs="Arial"/>
        </w:rPr>
        <w:t>.</w:t>
      </w:r>
      <w:r w:rsidRPr="00B17452">
        <w:rPr>
          <w:rFonts w:ascii="Arial" w:eastAsiaTheme="minorEastAsia" w:hAnsi="Arial" w:cs="Arial"/>
        </w:rPr>
        <w:t xml:space="preserve"> This development introduces a </w:t>
      </w:r>
      <w:r>
        <w:rPr>
          <w:rFonts w:ascii="Arial" w:eastAsiaTheme="minorEastAsia" w:hAnsi="Arial" w:cs="Arial"/>
        </w:rPr>
        <w:t>“</w:t>
      </w:r>
      <w:r w:rsidRPr="00B17452">
        <w:rPr>
          <w:rFonts w:ascii="Arial" w:eastAsiaTheme="minorEastAsia" w:hAnsi="Arial" w:cs="Arial"/>
        </w:rPr>
        <w:t>Material</w:t>
      </w:r>
      <w:r>
        <w:rPr>
          <w:rFonts w:ascii="Arial" w:eastAsiaTheme="minorEastAsia" w:hAnsi="Arial" w:cs="Arial"/>
        </w:rPr>
        <w:t>”</w:t>
      </w:r>
      <w:r w:rsidRPr="00B17452">
        <w:rPr>
          <w:rFonts w:ascii="Arial" w:eastAsiaTheme="minorEastAsia" w:hAnsi="Arial" w:cs="Arial"/>
        </w:rPr>
        <w:t xml:space="preserve"> sector </w:t>
      </w:r>
      <w:r>
        <w:rPr>
          <w:rFonts w:ascii="Arial" w:eastAsiaTheme="minorEastAsia" w:hAnsi="Arial" w:cs="Arial"/>
        </w:rPr>
        <w:t>to represent</w:t>
      </w:r>
      <w:r w:rsidRPr="00B17452">
        <w:rPr>
          <w:rFonts w:ascii="Arial" w:eastAsiaTheme="minorEastAsia" w:hAnsi="Arial" w:cs="Arial"/>
        </w:rPr>
        <w:t xml:space="preserve"> the </w:t>
      </w:r>
      <w:r>
        <w:rPr>
          <w:rFonts w:ascii="Arial" w:eastAsiaTheme="minorEastAsia" w:hAnsi="Arial" w:cs="Arial"/>
        </w:rPr>
        <w:t>rest of the economy</w:t>
      </w:r>
      <w:r w:rsidRPr="00B17452">
        <w:rPr>
          <w:rFonts w:ascii="Arial" w:eastAsiaTheme="minorEastAsia" w:hAnsi="Arial" w:cs="Arial"/>
        </w:rPr>
        <w:t xml:space="preserve">, utilizing factor inputs and energy to produce final products, thereby enabling GDP feedback to GCAM. Although our study does not directly utilize this development due to the exclusion of agriculture from the framework, it sets the groundwork for the forthcoming version of GCAM Macro-Economic Module, which will incorporate agriculture into macroeconomic responses, known as the Capital-Labor-Energy-Agriculture-Material (KLEAM) version. </w:t>
      </w:r>
      <w:r>
        <w:rPr>
          <w:rFonts w:ascii="Arial" w:eastAsiaTheme="minorEastAsia" w:hAnsi="Arial" w:cs="Arial"/>
        </w:rPr>
        <w:t>Notably, w</w:t>
      </w:r>
      <w:r w:rsidRPr="00B17452">
        <w:rPr>
          <w:rFonts w:ascii="Arial" w:eastAsiaTheme="minorEastAsia" w:hAnsi="Arial" w:cs="Arial"/>
        </w:rPr>
        <w:t>hile our study employs an urbanization scenario (rural population change) to drive labor transition, this transition in KLEAM will be represented by a cross-price elasticity of agricultural labor supply concerning non-agricultural (e.g., Material) wages.</w:t>
      </w:r>
    </w:p>
    <w:p w14:paraId="51F0319D" w14:textId="77777777" w:rsidR="00932BD5" w:rsidRDefault="00932BD5">
      <w:pPr>
        <w:rPr>
          <w:rFonts w:ascii="Arial" w:eastAsiaTheme="minorEastAsia" w:hAnsi="Arial"/>
          <w:b/>
          <w:iCs/>
        </w:rPr>
      </w:pPr>
      <w:bookmarkStart w:id="4" w:name="_Ref162452861"/>
      <w:r>
        <w:rPr>
          <w:rFonts w:eastAsiaTheme="minorEastAsia"/>
        </w:rPr>
        <w:br w:type="page"/>
      </w:r>
    </w:p>
    <w:p w14:paraId="126E0A55" w14:textId="63331C3F" w:rsidR="00A52A1F" w:rsidRPr="006C6191" w:rsidRDefault="00A52A1F" w:rsidP="00A52A1F">
      <w:pPr>
        <w:pStyle w:val="Caption"/>
        <w:spacing w:line="276" w:lineRule="auto"/>
        <w:jc w:val="both"/>
        <w:rPr>
          <w:vanish/>
          <w:sz w:val="22"/>
          <w:szCs w:val="22"/>
          <w:specVanish/>
        </w:rPr>
      </w:pPr>
      <w:bookmarkStart w:id="5" w:name="_Ref162555952"/>
      <w:bookmarkStart w:id="6" w:name="_Toc162998105"/>
      <w:r w:rsidRPr="006C6191">
        <w:rPr>
          <w:rFonts w:eastAsiaTheme="minorEastAsia"/>
          <w:sz w:val="22"/>
          <w:szCs w:val="22"/>
        </w:rPr>
        <w:lastRenderedPageBreak/>
        <w:t>Table S</w:t>
      </w:r>
      <w:r w:rsidRPr="006C6191">
        <w:rPr>
          <w:rFonts w:eastAsiaTheme="minorEastAsia"/>
          <w:sz w:val="22"/>
          <w:szCs w:val="22"/>
        </w:rPr>
        <w:fldChar w:fldCharType="begin"/>
      </w:r>
      <w:r w:rsidRPr="006C6191">
        <w:rPr>
          <w:rFonts w:eastAsiaTheme="minorEastAsia"/>
          <w:sz w:val="22"/>
          <w:szCs w:val="22"/>
        </w:rPr>
        <w:instrText xml:space="preserve"> SEQ Table \* ARABIC </w:instrText>
      </w:r>
      <w:r w:rsidRPr="006C6191">
        <w:rPr>
          <w:rFonts w:eastAsiaTheme="minorEastAsia"/>
          <w:sz w:val="22"/>
          <w:szCs w:val="22"/>
        </w:rPr>
        <w:fldChar w:fldCharType="separate"/>
      </w:r>
      <w:r w:rsidR="009141B0">
        <w:rPr>
          <w:rFonts w:eastAsiaTheme="minorEastAsia"/>
          <w:noProof/>
          <w:sz w:val="22"/>
          <w:szCs w:val="22"/>
        </w:rPr>
        <w:t>1</w:t>
      </w:r>
      <w:r w:rsidRPr="006C6191">
        <w:rPr>
          <w:rFonts w:eastAsiaTheme="minorEastAsia"/>
          <w:sz w:val="22"/>
          <w:szCs w:val="22"/>
        </w:rPr>
        <w:fldChar w:fldCharType="end"/>
      </w:r>
      <w:bookmarkEnd w:id="4"/>
      <w:bookmarkEnd w:id="5"/>
      <w:r w:rsidRPr="006C6191">
        <w:rPr>
          <w:rFonts w:eastAsiaTheme="minorEastAsia"/>
          <w:sz w:val="22"/>
          <w:szCs w:val="22"/>
        </w:rPr>
        <w:t xml:space="preserve"> | </w:t>
      </w:r>
      <w:r w:rsidRPr="006C6191">
        <w:rPr>
          <w:sz w:val="22"/>
          <w:szCs w:val="22"/>
        </w:rPr>
        <w:t>Summary of labor market representations in global economic multisector dynamic models.</w:t>
      </w:r>
      <w:bookmarkEnd w:id="6"/>
    </w:p>
    <w:p w14:paraId="228F119C" w14:textId="6B74513B" w:rsidR="00A52A1F" w:rsidRPr="006C6191" w:rsidRDefault="00A52A1F" w:rsidP="00A52A1F">
      <w:pPr>
        <w:spacing w:line="276" w:lineRule="auto"/>
        <w:jc w:val="both"/>
        <w:rPr>
          <w:rFonts w:ascii="Arial" w:hAnsi="Arial" w:cs="Arial"/>
        </w:rPr>
      </w:pPr>
      <w:r w:rsidRPr="006C6191">
        <w:rPr>
          <w:rFonts w:ascii="Arial" w:hAnsi="Arial" w:cs="Arial"/>
        </w:rPr>
        <w:t xml:space="preserve"> Models without version specifications are the most recent standard version and assumptions summarized are in the reference/baseline scenarios. IMAGE can be </w:t>
      </w:r>
      <w:r w:rsidR="00B020EE" w:rsidRPr="006C6191">
        <w:rPr>
          <w:rFonts w:ascii="Arial" w:hAnsi="Arial" w:cs="Arial"/>
        </w:rPr>
        <w:t>soft-linked</w:t>
      </w:r>
      <w:r w:rsidRPr="006C6191">
        <w:rPr>
          <w:rFonts w:ascii="Arial" w:hAnsi="Arial" w:cs="Arial"/>
        </w:rPr>
        <w:t xml:space="preserve"> to CGE models, i.e., MAGNET.</w:t>
      </w:r>
    </w:p>
    <w:tbl>
      <w:tblPr>
        <w:tblStyle w:val="TableGrid"/>
        <w:tblW w:w="5000" w:type="pct"/>
        <w:jc w:val="center"/>
        <w:tblInd w:w="0" w:type="dxa"/>
        <w:tblBorders>
          <w:top w:val="single" w:sz="4" w:space="0" w:color="auto"/>
          <w:bottom w:val="single" w:sz="4" w:space="0" w:color="auto"/>
        </w:tblBorders>
        <w:tblCellMar>
          <w:top w:w="30" w:type="dxa"/>
          <w:right w:w="115" w:type="dxa"/>
        </w:tblCellMar>
        <w:tblLook w:val="04A0" w:firstRow="1" w:lastRow="0" w:firstColumn="1" w:lastColumn="0" w:noHBand="0" w:noVBand="1"/>
      </w:tblPr>
      <w:tblGrid>
        <w:gridCol w:w="1138"/>
        <w:gridCol w:w="585"/>
        <w:gridCol w:w="2466"/>
        <w:gridCol w:w="5272"/>
        <w:gridCol w:w="1339"/>
      </w:tblGrid>
      <w:tr w:rsidR="00A52A1F" w:rsidRPr="00A52A1F" w14:paraId="092D4197" w14:textId="77777777" w:rsidTr="00932BD5">
        <w:trPr>
          <w:trHeight w:val="432"/>
          <w:jc w:val="center"/>
        </w:trPr>
        <w:tc>
          <w:tcPr>
            <w:tcW w:w="527" w:type="pct"/>
            <w:tcBorders>
              <w:top w:val="single" w:sz="4" w:space="0" w:color="auto"/>
              <w:bottom w:val="single" w:sz="4" w:space="0" w:color="auto"/>
            </w:tcBorders>
            <w:shd w:val="clear" w:color="auto" w:fill="D9D9D9" w:themeFill="background1" w:themeFillShade="D9"/>
            <w:vAlign w:val="center"/>
          </w:tcPr>
          <w:p w14:paraId="65A34006" w14:textId="77777777" w:rsidR="00A52A1F" w:rsidRPr="00A52A1F" w:rsidRDefault="00A52A1F" w:rsidP="003E0377">
            <w:pPr>
              <w:spacing w:line="259" w:lineRule="auto"/>
              <w:jc w:val="center"/>
              <w:rPr>
                <w:rFonts w:ascii="Arial" w:hAnsi="Arial" w:cs="Arial"/>
                <w:bCs/>
                <w:sz w:val="20"/>
                <w:szCs w:val="20"/>
              </w:rPr>
            </w:pPr>
            <w:r w:rsidRPr="00A52A1F">
              <w:rPr>
                <w:rFonts w:ascii="Arial" w:hAnsi="Arial" w:cs="Arial"/>
                <w:bCs/>
                <w:sz w:val="20"/>
                <w:szCs w:val="20"/>
              </w:rPr>
              <w:t>Model</w:t>
            </w:r>
          </w:p>
        </w:tc>
        <w:tc>
          <w:tcPr>
            <w:tcW w:w="271" w:type="pct"/>
            <w:tcBorders>
              <w:top w:val="single" w:sz="4" w:space="0" w:color="auto"/>
              <w:bottom w:val="single" w:sz="4" w:space="0" w:color="auto"/>
            </w:tcBorders>
            <w:shd w:val="clear" w:color="auto" w:fill="D9D9D9" w:themeFill="background1" w:themeFillShade="D9"/>
            <w:vAlign w:val="center"/>
          </w:tcPr>
          <w:p w14:paraId="42DC026B" w14:textId="77777777" w:rsidR="00A52A1F" w:rsidRPr="00A52A1F" w:rsidRDefault="00A52A1F" w:rsidP="003E0377">
            <w:pPr>
              <w:spacing w:line="259" w:lineRule="auto"/>
              <w:jc w:val="center"/>
              <w:rPr>
                <w:rFonts w:ascii="Arial" w:hAnsi="Arial" w:cs="Arial"/>
                <w:bCs/>
                <w:sz w:val="20"/>
                <w:szCs w:val="20"/>
              </w:rPr>
            </w:pPr>
            <w:r w:rsidRPr="00A52A1F">
              <w:rPr>
                <w:rFonts w:ascii="Arial" w:hAnsi="Arial" w:cs="Arial"/>
                <w:bCs/>
                <w:sz w:val="20"/>
                <w:szCs w:val="20"/>
              </w:rPr>
              <w:t>Type</w:t>
            </w:r>
          </w:p>
        </w:tc>
        <w:tc>
          <w:tcPr>
            <w:tcW w:w="1142" w:type="pct"/>
            <w:tcBorders>
              <w:top w:val="single" w:sz="4" w:space="0" w:color="auto"/>
              <w:bottom w:val="single" w:sz="4" w:space="0" w:color="auto"/>
            </w:tcBorders>
            <w:shd w:val="clear" w:color="auto" w:fill="D9D9D9" w:themeFill="background1" w:themeFillShade="D9"/>
            <w:vAlign w:val="center"/>
          </w:tcPr>
          <w:p w14:paraId="0D558D5A" w14:textId="77777777" w:rsidR="00A52A1F" w:rsidRPr="00A52A1F" w:rsidRDefault="00A52A1F" w:rsidP="003E0377">
            <w:pPr>
              <w:spacing w:line="259" w:lineRule="auto"/>
              <w:ind w:left="414"/>
              <w:jc w:val="center"/>
              <w:rPr>
                <w:rFonts w:ascii="Arial" w:hAnsi="Arial" w:cs="Arial"/>
                <w:bCs/>
                <w:sz w:val="20"/>
                <w:szCs w:val="20"/>
              </w:rPr>
            </w:pPr>
            <w:r w:rsidRPr="00A52A1F">
              <w:rPr>
                <w:rFonts w:ascii="Arial" w:hAnsi="Arial" w:cs="Arial"/>
                <w:bCs/>
                <w:sz w:val="20"/>
                <w:szCs w:val="20"/>
              </w:rPr>
              <w:t>Labor force growth</w:t>
            </w:r>
          </w:p>
        </w:tc>
        <w:tc>
          <w:tcPr>
            <w:tcW w:w="2441" w:type="pct"/>
            <w:tcBorders>
              <w:top w:val="single" w:sz="4" w:space="0" w:color="auto"/>
              <w:bottom w:val="single" w:sz="4" w:space="0" w:color="auto"/>
            </w:tcBorders>
            <w:shd w:val="clear" w:color="auto" w:fill="D9D9D9" w:themeFill="background1" w:themeFillShade="D9"/>
            <w:vAlign w:val="center"/>
          </w:tcPr>
          <w:p w14:paraId="261C7E4E" w14:textId="77777777" w:rsidR="00A52A1F" w:rsidRPr="00A52A1F" w:rsidRDefault="00A52A1F" w:rsidP="003E0377">
            <w:pPr>
              <w:spacing w:line="259" w:lineRule="auto"/>
              <w:jc w:val="center"/>
              <w:rPr>
                <w:rFonts w:ascii="Arial" w:hAnsi="Arial" w:cs="Arial"/>
                <w:bCs/>
                <w:sz w:val="20"/>
                <w:szCs w:val="20"/>
              </w:rPr>
            </w:pPr>
            <w:r w:rsidRPr="00A52A1F">
              <w:rPr>
                <w:rFonts w:ascii="Arial" w:hAnsi="Arial" w:cs="Arial"/>
                <w:bCs/>
                <w:sz w:val="20"/>
                <w:szCs w:val="20"/>
              </w:rPr>
              <w:t>Agricultural labor productivity</w:t>
            </w:r>
          </w:p>
        </w:tc>
        <w:tc>
          <w:tcPr>
            <w:tcW w:w="620" w:type="pct"/>
            <w:tcBorders>
              <w:top w:val="single" w:sz="4" w:space="0" w:color="auto"/>
              <w:bottom w:val="single" w:sz="4" w:space="0" w:color="auto"/>
            </w:tcBorders>
            <w:shd w:val="clear" w:color="auto" w:fill="D9D9D9" w:themeFill="background1" w:themeFillShade="D9"/>
            <w:vAlign w:val="center"/>
          </w:tcPr>
          <w:p w14:paraId="2E262A30" w14:textId="77777777" w:rsidR="00A52A1F" w:rsidRPr="00A52A1F" w:rsidRDefault="00A52A1F" w:rsidP="003E0377">
            <w:pPr>
              <w:spacing w:line="259" w:lineRule="auto"/>
              <w:jc w:val="center"/>
              <w:rPr>
                <w:rFonts w:ascii="Arial" w:hAnsi="Arial" w:cs="Arial"/>
                <w:bCs/>
                <w:sz w:val="20"/>
                <w:szCs w:val="20"/>
              </w:rPr>
            </w:pPr>
            <w:r w:rsidRPr="00A52A1F">
              <w:rPr>
                <w:rFonts w:ascii="Arial" w:hAnsi="Arial" w:cs="Arial"/>
                <w:bCs/>
                <w:sz w:val="20"/>
                <w:szCs w:val="20"/>
              </w:rPr>
              <w:t>Source</w:t>
            </w:r>
          </w:p>
        </w:tc>
      </w:tr>
      <w:tr w:rsidR="00A52A1F" w:rsidRPr="00A52A1F" w14:paraId="48B9771E" w14:textId="77777777" w:rsidTr="00932BD5">
        <w:trPr>
          <w:trHeight w:val="648"/>
          <w:jc w:val="center"/>
        </w:trPr>
        <w:tc>
          <w:tcPr>
            <w:tcW w:w="527" w:type="pct"/>
            <w:tcBorders>
              <w:top w:val="single" w:sz="4" w:space="0" w:color="auto"/>
            </w:tcBorders>
            <w:shd w:val="clear" w:color="auto" w:fill="F2F2F2" w:themeFill="background1" w:themeFillShade="F2"/>
            <w:vAlign w:val="center"/>
          </w:tcPr>
          <w:p w14:paraId="283A02A4" w14:textId="77777777" w:rsidR="00A52A1F" w:rsidRPr="00A52A1F" w:rsidRDefault="00A52A1F" w:rsidP="003E0377">
            <w:pPr>
              <w:spacing w:line="259" w:lineRule="auto"/>
              <w:rPr>
                <w:rFonts w:ascii="Arial" w:hAnsi="Arial" w:cs="Arial"/>
                <w:sz w:val="20"/>
                <w:szCs w:val="20"/>
              </w:rPr>
            </w:pPr>
            <w:r w:rsidRPr="00A52A1F">
              <w:rPr>
                <w:rFonts w:ascii="Arial" w:hAnsi="Arial" w:cs="Arial"/>
                <w:sz w:val="20"/>
                <w:szCs w:val="20"/>
              </w:rPr>
              <w:t xml:space="preserve">AIM </w:t>
            </w:r>
          </w:p>
          <w:p w14:paraId="54841DAD" w14:textId="77777777" w:rsidR="00A52A1F" w:rsidRPr="00A52A1F" w:rsidRDefault="00A52A1F" w:rsidP="003E0377">
            <w:pPr>
              <w:spacing w:line="259" w:lineRule="auto"/>
              <w:rPr>
                <w:rFonts w:ascii="Arial" w:hAnsi="Arial" w:cs="Arial"/>
                <w:sz w:val="20"/>
                <w:szCs w:val="20"/>
              </w:rPr>
            </w:pPr>
            <w:r w:rsidRPr="00A52A1F">
              <w:rPr>
                <w:rFonts w:ascii="Arial" w:hAnsi="Arial" w:cs="Arial"/>
                <w:sz w:val="20"/>
                <w:szCs w:val="20"/>
              </w:rPr>
              <w:t>v 2.0</w:t>
            </w:r>
          </w:p>
        </w:tc>
        <w:tc>
          <w:tcPr>
            <w:tcW w:w="271" w:type="pct"/>
            <w:tcBorders>
              <w:top w:val="single" w:sz="4" w:space="0" w:color="auto"/>
            </w:tcBorders>
            <w:shd w:val="clear" w:color="auto" w:fill="F2F2F2" w:themeFill="background1" w:themeFillShade="F2"/>
            <w:vAlign w:val="center"/>
          </w:tcPr>
          <w:p w14:paraId="6B73565A" w14:textId="77777777" w:rsidR="00A52A1F" w:rsidRPr="00A52A1F" w:rsidRDefault="00A52A1F" w:rsidP="003E0377">
            <w:pPr>
              <w:spacing w:line="259" w:lineRule="auto"/>
              <w:ind w:left="36"/>
              <w:jc w:val="center"/>
              <w:rPr>
                <w:rFonts w:ascii="Arial" w:hAnsi="Arial" w:cs="Arial"/>
                <w:sz w:val="20"/>
                <w:szCs w:val="20"/>
              </w:rPr>
            </w:pPr>
            <w:r w:rsidRPr="00A52A1F">
              <w:rPr>
                <w:rFonts w:ascii="Arial" w:hAnsi="Arial" w:cs="Arial"/>
                <w:sz w:val="20"/>
                <w:szCs w:val="20"/>
              </w:rPr>
              <w:t>CGE</w:t>
            </w:r>
          </w:p>
        </w:tc>
        <w:tc>
          <w:tcPr>
            <w:tcW w:w="1142" w:type="pct"/>
            <w:tcBorders>
              <w:top w:val="single" w:sz="4" w:space="0" w:color="auto"/>
            </w:tcBorders>
            <w:shd w:val="clear" w:color="auto" w:fill="F2F2F2" w:themeFill="background1" w:themeFillShade="F2"/>
            <w:vAlign w:val="center"/>
          </w:tcPr>
          <w:p w14:paraId="42C4B919" w14:textId="77777777" w:rsidR="00A52A1F" w:rsidRPr="00A52A1F" w:rsidRDefault="00A52A1F" w:rsidP="003E0377">
            <w:pPr>
              <w:spacing w:line="259" w:lineRule="auto"/>
              <w:ind w:right="375"/>
              <w:rPr>
                <w:rFonts w:ascii="Arial" w:hAnsi="Arial" w:cs="Arial"/>
                <w:sz w:val="20"/>
                <w:szCs w:val="20"/>
              </w:rPr>
            </w:pPr>
            <w:r w:rsidRPr="00A52A1F">
              <w:rPr>
                <w:rFonts w:ascii="Arial" w:hAnsi="Arial" w:cs="Arial"/>
                <w:sz w:val="20"/>
                <w:szCs w:val="20"/>
              </w:rPr>
              <w:t>Exogenous labor force change, linked to population growth</w:t>
            </w:r>
          </w:p>
        </w:tc>
        <w:tc>
          <w:tcPr>
            <w:tcW w:w="2441" w:type="pct"/>
            <w:tcBorders>
              <w:top w:val="single" w:sz="4" w:space="0" w:color="auto"/>
            </w:tcBorders>
            <w:shd w:val="clear" w:color="auto" w:fill="F2F2F2" w:themeFill="background1" w:themeFillShade="F2"/>
            <w:vAlign w:val="center"/>
          </w:tcPr>
          <w:p w14:paraId="0FFDDE69" w14:textId="77777777" w:rsidR="00A52A1F" w:rsidRPr="00A52A1F" w:rsidRDefault="00A52A1F" w:rsidP="003E0377">
            <w:pPr>
              <w:spacing w:line="248" w:lineRule="auto"/>
              <w:ind w:right="211"/>
              <w:rPr>
                <w:rFonts w:ascii="Arial" w:hAnsi="Arial" w:cs="Arial"/>
                <w:sz w:val="20"/>
                <w:szCs w:val="20"/>
              </w:rPr>
            </w:pPr>
            <w:r w:rsidRPr="00A52A1F">
              <w:rPr>
                <w:rFonts w:ascii="Arial" w:hAnsi="Arial" w:cs="Arial"/>
                <w:sz w:val="20"/>
                <w:szCs w:val="20"/>
              </w:rPr>
              <w:t>Calibrate economy-wide TFP to target the exogenous GDP growth</w:t>
            </w:r>
          </w:p>
        </w:tc>
        <w:tc>
          <w:tcPr>
            <w:tcW w:w="620" w:type="pct"/>
            <w:tcBorders>
              <w:top w:val="single" w:sz="4" w:space="0" w:color="auto"/>
            </w:tcBorders>
            <w:shd w:val="clear" w:color="auto" w:fill="F2F2F2" w:themeFill="background1" w:themeFillShade="F2"/>
            <w:vAlign w:val="center"/>
          </w:tcPr>
          <w:p w14:paraId="194A0BF5" w14:textId="27EAAF27" w:rsidR="00A52A1F" w:rsidRPr="00A52A1F" w:rsidRDefault="00A52A1F" w:rsidP="003E0377">
            <w:pPr>
              <w:spacing w:line="248" w:lineRule="auto"/>
              <w:ind w:right="211"/>
              <w:jc w:val="center"/>
              <w:rPr>
                <w:rFonts w:ascii="Arial" w:hAnsi="Arial" w:cs="Arial"/>
                <w:sz w:val="20"/>
                <w:szCs w:val="20"/>
              </w:rPr>
            </w:pPr>
            <w:r w:rsidRPr="00A52A1F">
              <w:rPr>
                <w:rFonts w:ascii="Arial" w:hAnsi="Arial" w:cs="Arial"/>
                <w:sz w:val="20"/>
                <w:szCs w:val="20"/>
              </w:rPr>
              <w:t>Fujimori et al. (2017)</w:t>
            </w:r>
            <w:r w:rsidRPr="00A52A1F">
              <w:rPr>
                <w:rFonts w:ascii="Arial" w:hAnsi="Arial" w:cs="Arial"/>
                <w:sz w:val="20"/>
                <w:szCs w:val="20"/>
              </w:rPr>
              <w:fldChar w:fldCharType="begin"/>
            </w:r>
            <w:r w:rsidR="00E805A4">
              <w:rPr>
                <w:rFonts w:ascii="Arial" w:hAnsi="Arial" w:cs="Arial"/>
                <w:sz w:val="20"/>
                <w:szCs w:val="20"/>
              </w:rPr>
              <w:instrText xml:space="preserve"> ADDIN ZOTERO_ITEM CSL_CITATION {"citationID":"5VHpYqmi","properties":{"formattedCitation":"\\super 22\\nosupersub{}","plainCitation":"22","noteIndex":0},"citationItems":[{"id":"SV7kDkUs/lzaeOp6A","uris":["http://zotero.org/users/9896081/items/HSL5MNBS"],"itemData":{"id":1911,"type":"chapter","abstract":"This chapter documents a main model structure and how to implement scenario assumptions for the analysis of long-term climate mitigation taken by AIM/CGE (Asia-Paciﬁc Integrated Model/Computable General Equilibrium). There are six aspects which are going to be discussed. First, macroeconomy, labor, and population treatment are explained. Second, energy supply sector representation is described. Energy supply sectors are one of the key elements for decarbonizing economic systems. Third, energy demand sectors are discussed. Fourth, agriculture and land use are critically important for stringent climate mitigation policy since large bioenergy implementation combined with carbon capture and storage and afforestation would be thought as measures which enables so-called negative emissions. Fifth, nonenergy-related GHG reduction measures follow. They are mostly related to agricultural sectors. Sixth, we discuss how to add new sectors into the CGE system.","container-title":"Post-2020 Climate Action","event-place":"Singapore","ISBN":"978-981-10-3868-6","language":"en","note":"DOI: 10.1007/978-981-10-3869-3_13","page":"305-328","publisher":"Springer Singapore","publisher-place":"Singapore","source":"DOI.org (Crossref)","title":"AIM/CGE V2.0: Basic Feature of the Model","title-short":"AIM/CGE V2.0","URL":"http://link.springer.com/10.1007/978-981-10-3869-3_13","editor":[{"family":"Fujimori","given":"Shinichiro"},{"family":"Kainuma","given":"Mikiko"},{"family":"Masui","given":"Toshihiko"}],"author":[{"family":"Fujimori","given":"Shinichiro"},{"family":"Hasegawa","given":"Tomoko"},{"family":"Masui","given":"Toshihiko"}],"accessed":{"date-parts":[["2023",6,6]]},"issued":{"date-parts":[["2017"]]}},"label":"page","suppress-author":true}],"schema":"https://github.com/citation-style-language/schema/raw/master/csl-citation.json"} </w:instrText>
            </w:r>
            <w:r w:rsidRPr="00A52A1F">
              <w:rPr>
                <w:rFonts w:ascii="Arial" w:hAnsi="Arial" w:cs="Arial"/>
                <w:sz w:val="20"/>
                <w:szCs w:val="20"/>
              </w:rPr>
              <w:fldChar w:fldCharType="separate"/>
            </w:r>
            <w:r w:rsidR="00794F95" w:rsidRPr="00794F95">
              <w:rPr>
                <w:rFonts w:ascii="Arial" w:hAnsi="Arial" w:cs="Arial"/>
                <w:sz w:val="20"/>
                <w:szCs w:val="24"/>
                <w:vertAlign w:val="superscript"/>
              </w:rPr>
              <w:t>22</w:t>
            </w:r>
            <w:r w:rsidRPr="00A52A1F">
              <w:rPr>
                <w:rFonts w:ascii="Arial" w:hAnsi="Arial" w:cs="Arial"/>
                <w:sz w:val="20"/>
                <w:szCs w:val="20"/>
              </w:rPr>
              <w:fldChar w:fldCharType="end"/>
            </w:r>
          </w:p>
        </w:tc>
      </w:tr>
      <w:tr w:rsidR="00A52A1F" w:rsidRPr="00A52A1F" w14:paraId="5657B980" w14:textId="77777777" w:rsidTr="00932BD5">
        <w:trPr>
          <w:trHeight w:val="648"/>
          <w:jc w:val="center"/>
        </w:trPr>
        <w:tc>
          <w:tcPr>
            <w:tcW w:w="527" w:type="pct"/>
            <w:shd w:val="clear" w:color="auto" w:fill="E7E6E6" w:themeFill="background2"/>
            <w:vAlign w:val="center"/>
          </w:tcPr>
          <w:p w14:paraId="0E1B8DD2" w14:textId="77777777" w:rsidR="00A52A1F" w:rsidRPr="00A52A1F" w:rsidRDefault="00A52A1F" w:rsidP="003E0377">
            <w:pPr>
              <w:spacing w:line="259" w:lineRule="auto"/>
              <w:rPr>
                <w:rFonts w:ascii="Arial" w:hAnsi="Arial" w:cs="Arial"/>
                <w:sz w:val="20"/>
                <w:szCs w:val="20"/>
              </w:rPr>
            </w:pPr>
            <w:r w:rsidRPr="00A52A1F">
              <w:rPr>
                <w:rFonts w:ascii="Arial" w:hAnsi="Arial" w:cs="Arial"/>
                <w:sz w:val="20"/>
                <w:szCs w:val="20"/>
              </w:rPr>
              <w:t xml:space="preserve">ENVISAGE </w:t>
            </w:r>
          </w:p>
          <w:p w14:paraId="521C758C" w14:textId="77777777" w:rsidR="00A52A1F" w:rsidRPr="00A52A1F" w:rsidRDefault="00A52A1F" w:rsidP="003E0377">
            <w:pPr>
              <w:spacing w:line="259" w:lineRule="auto"/>
              <w:rPr>
                <w:rFonts w:ascii="Arial" w:hAnsi="Arial" w:cs="Arial"/>
                <w:sz w:val="20"/>
                <w:szCs w:val="20"/>
              </w:rPr>
            </w:pPr>
            <w:r w:rsidRPr="00A52A1F">
              <w:rPr>
                <w:rFonts w:ascii="Arial" w:hAnsi="Arial" w:cs="Arial"/>
                <w:sz w:val="20"/>
                <w:szCs w:val="20"/>
              </w:rPr>
              <w:t>v 10.01</w:t>
            </w:r>
          </w:p>
        </w:tc>
        <w:tc>
          <w:tcPr>
            <w:tcW w:w="271" w:type="pct"/>
            <w:shd w:val="clear" w:color="auto" w:fill="E7E6E6" w:themeFill="background2"/>
            <w:vAlign w:val="center"/>
          </w:tcPr>
          <w:p w14:paraId="28D667E8" w14:textId="77777777" w:rsidR="00A52A1F" w:rsidRPr="00A52A1F" w:rsidRDefault="00A52A1F" w:rsidP="003E0377">
            <w:pPr>
              <w:spacing w:line="259" w:lineRule="auto"/>
              <w:ind w:left="36"/>
              <w:jc w:val="center"/>
              <w:rPr>
                <w:rFonts w:ascii="Arial" w:hAnsi="Arial" w:cs="Arial"/>
                <w:sz w:val="20"/>
                <w:szCs w:val="20"/>
              </w:rPr>
            </w:pPr>
            <w:r w:rsidRPr="00A52A1F">
              <w:rPr>
                <w:rFonts w:ascii="Arial" w:hAnsi="Arial" w:cs="Arial"/>
                <w:sz w:val="20"/>
                <w:szCs w:val="20"/>
              </w:rPr>
              <w:t>CGE</w:t>
            </w:r>
          </w:p>
        </w:tc>
        <w:tc>
          <w:tcPr>
            <w:tcW w:w="1142" w:type="pct"/>
            <w:shd w:val="clear" w:color="auto" w:fill="E7E6E6" w:themeFill="background2"/>
            <w:vAlign w:val="center"/>
          </w:tcPr>
          <w:p w14:paraId="445D0646" w14:textId="77777777" w:rsidR="00A52A1F" w:rsidRPr="00A52A1F" w:rsidRDefault="00A52A1F" w:rsidP="003E0377">
            <w:pPr>
              <w:spacing w:line="259" w:lineRule="auto"/>
              <w:rPr>
                <w:rFonts w:ascii="Arial" w:hAnsi="Arial" w:cs="Arial"/>
                <w:sz w:val="20"/>
                <w:szCs w:val="20"/>
              </w:rPr>
            </w:pPr>
            <w:r w:rsidRPr="00A52A1F">
              <w:rPr>
                <w:rFonts w:ascii="Arial" w:hAnsi="Arial" w:cs="Arial"/>
                <w:sz w:val="20"/>
                <w:szCs w:val="20"/>
              </w:rPr>
              <w:t>Exogenous labor force change, linked to population growth</w:t>
            </w:r>
          </w:p>
        </w:tc>
        <w:tc>
          <w:tcPr>
            <w:tcW w:w="2441" w:type="pct"/>
            <w:shd w:val="clear" w:color="auto" w:fill="E7E6E6" w:themeFill="background2"/>
            <w:vAlign w:val="center"/>
          </w:tcPr>
          <w:p w14:paraId="3FC680D9" w14:textId="77777777" w:rsidR="00A52A1F" w:rsidRPr="00A52A1F" w:rsidRDefault="00A52A1F" w:rsidP="003E0377">
            <w:pPr>
              <w:spacing w:line="259" w:lineRule="auto"/>
              <w:rPr>
                <w:rFonts w:ascii="Arial" w:hAnsi="Arial" w:cs="Arial"/>
                <w:sz w:val="20"/>
                <w:szCs w:val="20"/>
              </w:rPr>
            </w:pPr>
            <w:r w:rsidRPr="00A52A1F">
              <w:rPr>
                <w:rFonts w:ascii="Arial" w:hAnsi="Arial" w:cs="Arial"/>
                <w:sz w:val="20"/>
                <w:szCs w:val="20"/>
              </w:rPr>
              <w:t>Calibrate sector-specific labor productivity growth rate to target a level of per capita GDP growth</w:t>
            </w:r>
          </w:p>
        </w:tc>
        <w:tc>
          <w:tcPr>
            <w:tcW w:w="620" w:type="pct"/>
            <w:shd w:val="clear" w:color="auto" w:fill="E7E6E6" w:themeFill="background2"/>
            <w:vAlign w:val="center"/>
          </w:tcPr>
          <w:p w14:paraId="3D49E15E" w14:textId="00EE8F85" w:rsidR="00A52A1F" w:rsidRPr="00A52A1F" w:rsidRDefault="00A52A1F" w:rsidP="003E0377">
            <w:pPr>
              <w:spacing w:line="259" w:lineRule="auto"/>
              <w:jc w:val="center"/>
              <w:rPr>
                <w:rFonts w:ascii="Arial" w:hAnsi="Arial" w:cs="Arial"/>
                <w:sz w:val="20"/>
                <w:szCs w:val="20"/>
              </w:rPr>
            </w:pPr>
            <w:r w:rsidRPr="00A52A1F">
              <w:rPr>
                <w:rFonts w:ascii="Arial" w:hAnsi="Arial" w:cs="Arial"/>
                <w:sz w:val="20"/>
                <w:szCs w:val="20"/>
              </w:rPr>
              <w:t>Van der Mensbrugghe (2019)</w:t>
            </w:r>
            <w:r w:rsidRPr="00A52A1F">
              <w:rPr>
                <w:rFonts w:ascii="Arial" w:hAnsi="Arial" w:cs="Arial"/>
                <w:sz w:val="20"/>
                <w:szCs w:val="20"/>
              </w:rPr>
              <w:fldChar w:fldCharType="begin"/>
            </w:r>
            <w:r w:rsidR="00E805A4">
              <w:rPr>
                <w:rFonts w:ascii="Arial" w:hAnsi="Arial" w:cs="Arial"/>
                <w:sz w:val="20"/>
                <w:szCs w:val="20"/>
              </w:rPr>
              <w:instrText xml:space="preserve"> ADDIN ZOTERO_ITEM CSL_CITATION {"citationID":"rK89uyeF","properties":{"formattedCitation":"\\super 23\\nosupersub{}","plainCitation":"23","noteIndex":0},"citationItems":[{"id":"SV7kDkUs/7gDiARVD","uris":["http://zotero.org/users/9896081/items/TFT2LYG5"],"itemData":{"id":2456,"type":"document","title":"ENVISAGE10.01_Documentation.pdf","author":[{"family":"Mensbrugghe","given":"Dominique","non-dropping-particle":"van der"}],"issued":{"date-parts":[["2019"]]}},"label":"page","suppress-author":true}],"schema":"https://github.com/citation-style-language/schema/raw/master/csl-citation.json"} </w:instrText>
            </w:r>
            <w:r w:rsidRPr="00A52A1F">
              <w:rPr>
                <w:rFonts w:ascii="Arial" w:hAnsi="Arial" w:cs="Arial"/>
                <w:sz w:val="20"/>
                <w:szCs w:val="20"/>
              </w:rPr>
              <w:fldChar w:fldCharType="separate"/>
            </w:r>
            <w:r w:rsidR="00794F95" w:rsidRPr="00794F95">
              <w:rPr>
                <w:rFonts w:ascii="Arial" w:hAnsi="Arial" w:cs="Arial"/>
                <w:sz w:val="20"/>
                <w:szCs w:val="24"/>
                <w:vertAlign w:val="superscript"/>
              </w:rPr>
              <w:t>23</w:t>
            </w:r>
            <w:r w:rsidRPr="00A52A1F">
              <w:rPr>
                <w:rFonts w:ascii="Arial" w:hAnsi="Arial" w:cs="Arial"/>
                <w:sz w:val="20"/>
                <w:szCs w:val="20"/>
              </w:rPr>
              <w:fldChar w:fldCharType="end"/>
            </w:r>
          </w:p>
        </w:tc>
      </w:tr>
      <w:tr w:rsidR="00A52A1F" w:rsidRPr="00A52A1F" w14:paraId="783D3F51" w14:textId="77777777" w:rsidTr="00932BD5">
        <w:trPr>
          <w:trHeight w:val="648"/>
          <w:jc w:val="center"/>
        </w:trPr>
        <w:tc>
          <w:tcPr>
            <w:tcW w:w="527" w:type="pct"/>
            <w:shd w:val="clear" w:color="auto" w:fill="F2F2F2" w:themeFill="background1" w:themeFillShade="F2"/>
            <w:vAlign w:val="center"/>
          </w:tcPr>
          <w:p w14:paraId="7E7441FB" w14:textId="77777777" w:rsidR="00A52A1F" w:rsidRPr="00A52A1F" w:rsidRDefault="00A52A1F" w:rsidP="003E0377">
            <w:pPr>
              <w:spacing w:line="259" w:lineRule="auto"/>
              <w:rPr>
                <w:rFonts w:ascii="Arial" w:hAnsi="Arial" w:cs="Arial"/>
                <w:sz w:val="20"/>
                <w:szCs w:val="20"/>
              </w:rPr>
            </w:pPr>
            <w:r w:rsidRPr="00A52A1F">
              <w:rPr>
                <w:rFonts w:ascii="Arial" w:hAnsi="Arial" w:cs="Arial"/>
                <w:sz w:val="20"/>
                <w:szCs w:val="20"/>
              </w:rPr>
              <w:t xml:space="preserve">EPPA </w:t>
            </w:r>
          </w:p>
          <w:p w14:paraId="4D143C42" w14:textId="77777777" w:rsidR="00A52A1F" w:rsidRPr="00A52A1F" w:rsidRDefault="00A52A1F" w:rsidP="003E0377">
            <w:pPr>
              <w:spacing w:line="259" w:lineRule="auto"/>
              <w:rPr>
                <w:rFonts w:ascii="Arial" w:hAnsi="Arial" w:cs="Arial"/>
                <w:sz w:val="20"/>
                <w:szCs w:val="20"/>
              </w:rPr>
            </w:pPr>
            <w:r w:rsidRPr="00A52A1F">
              <w:rPr>
                <w:rFonts w:ascii="Arial" w:hAnsi="Arial" w:cs="Arial"/>
                <w:sz w:val="20"/>
                <w:szCs w:val="20"/>
              </w:rPr>
              <w:t>v 7</w:t>
            </w:r>
          </w:p>
        </w:tc>
        <w:tc>
          <w:tcPr>
            <w:tcW w:w="271" w:type="pct"/>
            <w:shd w:val="clear" w:color="auto" w:fill="F2F2F2" w:themeFill="background1" w:themeFillShade="F2"/>
            <w:vAlign w:val="center"/>
          </w:tcPr>
          <w:p w14:paraId="1C589668" w14:textId="77777777" w:rsidR="00A52A1F" w:rsidRPr="00A52A1F" w:rsidRDefault="00A52A1F" w:rsidP="003E0377">
            <w:pPr>
              <w:spacing w:line="259" w:lineRule="auto"/>
              <w:ind w:left="36"/>
              <w:jc w:val="center"/>
              <w:rPr>
                <w:rFonts w:ascii="Arial" w:hAnsi="Arial" w:cs="Arial"/>
                <w:sz w:val="20"/>
                <w:szCs w:val="20"/>
              </w:rPr>
            </w:pPr>
            <w:r w:rsidRPr="00A52A1F">
              <w:rPr>
                <w:rFonts w:ascii="Arial" w:hAnsi="Arial" w:cs="Arial"/>
                <w:sz w:val="20"/>
                <w:szCs w:val="20"/>
              </w:rPr>
              <w:t>CGE</w:t>
            </w:r>
          </w:p>
        </w:tc>
        <w:tc>
          <w:tcPr>
            <w:tcW w:w="1142" w:type="pct"/>
            <w:shd w:val="clear" w:color="auto" w:fill="F2F2F2" w:themeFill="background1" w:themeFillShade="F2"/>
            <w:vAlign w:val="center"/>
          </w:tcPr>
          <w:p w14:paraId="0D8ED2E0" w14:textId="77777777" w:rsidR="00A52A1F" w:rsidRPr="00A52A1F" w:rsidRDefault="00A52A1F" w:rsidP="003E0377">
            <w:pPr>
              <w:spacing w:line="259" w:lineRule="auto"/>
              <w:rPr>
                <w:rFonts w:ascii="Arial" w:hAnsi="Arial" w:cs="Arial"/>
                <w:sz w:val="20"/>
                <w:szCs w:val="20"/>
              </w:rPr>
            </w:pPr>
            <w:r w:rsidRPr="00A52A1F">
              <w:rPr>
                <w:rFonts w:ascii="Arial" w:hAnsi="Arial" w:cs="Arial"/>
                <w:sz w:val="20"/>
                <w:szCs w:val="20"/>
              </w:rPr>
              <w:t>Exogenous labor force change, linked to population growth</w:t>
            </w:r>
          </w:p>
        </w:tc>
        <w:tc>
          <w:tcPr>
            <w:tcW w:w="2441" w:type="pct"/>
            <w:shd w:val="clear" w:color="auto" w:fill="F2F2F2" w:themeFill="background1" w:themeFillShade="F2"/>
            <w:vAlign w:val="center"/>
          </w:tcPr>
          <w:p w14:paraId="3B3C8C9A" w14:textId="77777777" w:rsidR="00A52A1F" w:rsidRPr="00A52A1F" w:rsidRDefault="00A52A1F" w:rsidP="003E0377">
            <w:pPr>
              <w:spacing w:line="259" w:lineRule="auto"/>
              <w:rPr>
                <w:rFonts w:ascii="Arial" w:hAnsi="Arial" w:cs="Arial"/>
                <w:sz w:val="20"/>
                <w:szCs w:val="20"/>
              </w:rPr>
            </w:pPr>
            <w:r w:rsidRPr="00A52A1F">
              <w:rPr>
                <w:rFonts w:ascii="Arial" w:hAnsi="Arial" w:cs="Arial"/>
                <w:sz w:val="20"/>
                <w:szCs w:val="20"/>
              </w:rPr>
              <w:t xml:space="preserve">Calibrate economy-wide TFP to target the exogenous GDP growth </w:t>
            </w:r>
          </w:p>
        </w:tc>
        <w:tc>
          <w:tcPr>
            <w:tcW w:w="620" w:type="pct"/>
            <w:shd w:val="clear" w:color="auto" w:fill="F2F2F2" w:themeFill="background1" w:themeFillShade="F2"/>
            <w:vAlign w:val="center"/>
          </w:tcPr>
          <w:p w14:paraId="1CEAD6C0" w14:textId="1FE07856" w:rsidR="00A52A1F" w:rsidRPr="00A52A1F" w:rsidRDefault="00A52A1F" w:rsidP="003E0377">
            <w:pPr>
              <w:spacing w:line="259" w:lineRule="auto"/>
              <w:jc w:val="center"/>
              <w:rPr>
                <w:rFonts w:ascii="Arial" w:hAnsi="Arial" w:cs="Arial"/>
                <w:sz w:val="20"/>
                <w:szCs w:val="20"/>
              </w:rPr>
            </w:pPr>
            <w:r w:rsidRPr="00A52A1F">
              <w:rPr>
                <w:rFonts w:ascii="Arial" w:hAnsi="Arial" w:cs="Arial"/>
                <w:sz w:val="20"/>
                <w:szCs w:val="20"/>
              </w:rPr>
              <w:t>Chen et al. (2022)</w:t>
            </w:r>
            <w:r w:rsidRPr="00A52A1F">
              <w:rPr>
                <w:rFonts w:ascii="Arial" w:hAnsi="Arial" w:cs="Arial"/>
                <w:sz w:val="20"/>
                <w:szCs w:val="20"/>
              </w:rPr>
              <w:fldChar w:fldCharType="begin"/>
            </w:r>
            <w:r w:rsidR="00E805A4">
              <w:rPr>
                <w:rFonts w:ascii="Arial" w:hAnsi="Arial" w:cs="Arial"/>
                <w:sz w:val="20"/>
                <w:szCs w:val="20"/>
              </w:rPr>
              <w:instrText xml:space="preserve"> ADDIN ZOTERO_ITEM CSL_CITATION {"citationID":"qj5GwvHx","properties":{"formattedCitation":"\\super 24\\nosupersub{}","plainCitation":"24","noteIndex":0},"citationItems":[{"id":"SV7kDkUs/uScqmtkQ","uris":["http://zotero.org/users/9896081/items/P8PRZF7C"],"itemData":{"id":2457,"type":"document","title":"The MIT EPPA7: A Multisectoral Dynamic Model for Energy, Economic, and Climate Scenario Analysis","author":[{"family":"Chen","given":"Y.-H. Henry"},{"family":"Paltsev","given":"Sergey"},{"family":"Gurgel","given":"Angelo"},{"family":"Reilly","given":"John M"},{"family":"Morris","given":"Jennifer"}],"issued":{"date-parts":[["2022"]]}},"label":"page","suppress-author":true}],"schema":"https://github.com/citation-style-language/schema/raw/master/csl-citation.json"} </w:instrText>
            </w:r>
            <w:r w:rsidRPr="00A52A1F">
              <w:rPr>
                <w:rFonts w:ascii="Arial" w:hAnsi="Arial" w:cs="Arial"/>
                <w:sz w:val="20"/>
                <w:szCs w:val="20"/>
              </w:rPr>
              <w:fldChar w:fldCharType="separate"/>
            </w:r>
            <w:r w:rsidR="00794F95" w:rsidRPr="00794F95">
              <w:rPr>
                <w:rFonts w:ascii="Arial" w:hAnsi="Arial" w:cs="Arial"/>
                <w:sz w:val="20"/>
                <w:szCs w:val="24"/>
                <w:vertAlign w:val="superscript"/>
              </w:rPr>
              <w:t>24</w:t>
            </w:r>
            <w:r w:rsidRPr="00A52A1F">
              <w:rPr>
                <w:rFonts w:ascii="Arial" w:hAnsi="Arial" w:cs="Arial"/>
                <w:sz w:val="20"/>
                <w:szCs w:val="20"/>
              </w:rPr>
              <w:fldChar w:fldCharType="end"/>
            </w:r>
          </w:p>
        </w:tc>
      </w:tr>
      <w:tr w:rsidR="00A52A1F" w:rsidRPr="00A52A1F" w14:paraId="09D14C55" w14:textId="77777777" w:rsidTr="00932BD5">
        <w:trPr>
          <w:trHeight w:val="648"/>
          <w:jc w:val="center"/>
        </w:trPr>
        <w:tc>
          <w:tcPr>
            <w:tcW w:w="527" w:type="pct"/>
            <w:shd w:val="clear" w:color="auto" w:fill="E7E6E6" w:themeFill="background2"/>
            <w:vAlign w:val="center"/>
          </w:tcPr>
          <w:p w14:paraId="60B2EFC6" w14:textId="77777777" w:rsidR="00A52A1F" w:rsidRPr="00A52A1F" w:rsidRDefault="00A52A1F" w:rsidP="003E0377">
            <w:pPr>
              <w:spacing w:line="259" w:lineRule="auto"/>
              <w:rPr>
                <w:rFonts w:ascii="Arial" w:hAnsi="Arial" w:cs="Arial"/>
                <w:sz w:val="20"/>
                <w:szCs w:val="20"/>
              </w:rPr>
            </w:pPr>
            <w:r w:rsidRPr="00A52A1F">
              <w:rPr>
                <w:rFonts w:ascii="Arial" w:hAnsi="Arial" w:cs="Arial"/>
                <w:sz w:val="20"/>
                <w:szCs w:val="20"/>
              </w:rPr>
              <w:t>FARM</w:t>
            </w:r>
          </w:p>
        </w:tc>
        <w:tc>
          <w:tcPr>
            <w:tcW w:w="271" w:type="pct"/>
            <w:shd w:val="clear" w:color="auto" w:fill="E7E6E6" w:themeFill="background2"/>
            <w:vAlign w:val="center"/>
          </w:tcPr>
          <w:p w14:paraId="4BA567C1" w14:textId="77777777" w:rsidR="00A52A1F" w:rsidRPr="00A52A1F" w:rsidRDefault="00A52A1F" w:rsidP="003E0377">
            <w:pPr>
              <w:spacing w:line="259" w:lineRule="auto"/>
              <w:ind w:left="36"/>
              <w:jc w:val="center"/>
              <w:rPr>
                <w:rFonts w:ascii="Arial" w:hAnsi="Arial" w:cs="Arial"/>
                <w:sz w:val="20"/>
                <w:szCs w:val="20"/>
              </w:rPr>
            </w:pPr>
            <w:r w:rsidRPr="00A52A1F">
              <w:rPr>
                <w:rFonts w:ascii="Arial" w:hAnsi="Arial" w:cs="Arial"/>
                <w:sz w:val="20"/>
                <w:szCs w:val="20"/>
              </w:rPr>
              <w:t>CGE</w:t>
            </w:r>
          </w:p>
        </w:tc>
        <w:tc>
          <w:tcPr>
            <w:tcW w:w="1142" w:type="pct"/>
            <w:shd w:val="clear" w:color="auto" w:fill="E7E6E6" w:themeFill="background2"/>
            <w:vAlign w:val="center"/>
          </w:tcPr>
          <w:p w14:paraId="238A3560" w14:textId="77777777" w:rsidR="00A52A1F" w:rsidRPr="00A52A1F" w:rsidRDefault="00A52A1F" w:rsidP="003E0377">
            <w:pPr>
              <w:spacing w:line="259" w:lineRule="auto"/>
              <w:rPr>
                <w:rFonts w:ascii="Arial" w:hAnsi="Arial" w:cs="Arial"/>
                <w:sz w:val="20"/>
                <w:szCs w:val="20"/>
              </w:rPr>
            </w:pPr>
            <w:r w:rsidRPr="00A52A1F">
              <w:rPr>
                <w:rFonts w:ascii="Arial" w:hAnsi="Arial" w:cs="Arial"/>
                <w:sz w:val="20"/>
                <w:szCs w:val="20"/>
              </w:rPr>
              <w:t>Exogenous labor force change, linked to population growth</w:t>
            </w:r>
          </w:p>
        </w:tc>
        <w:tc>
          <w:tcPr>
            <w:tcW w:w="2441" w:type="pct"/>
            <w:shd w:val="clear" w:color="auto" w:fill="E7E6E6" w:themeFill="background2"/>
            <w:vAlign w:val="center"/>
          </w:tcPr>
          <w:p w14:paraId="082E6AB0" w14:textId="77777777" w:rsidR="00A52A1F" w:rsidRPr="00A52A1F" w:rsidRDefault="00A52A1F" w:rsidP="003E0377">
            <w:pPr>
              <w:spacing w:line="248" w:lineRule="auto"/>
              <w:rPr>
                <w:rFonts w:ascii="Arial" w:hAnsi="Arial" w:cs="Arial"/>
                <w:sz w:val="20"/>
                <w:szCs w:val="20"/>
              </w:rPr>
            </w:pPr>
            <w:r w:rsidRPr="00A52A1F">
              <w:rPr>
                <w:rFonts w:ascii="Arial" w:hAnsi="Arial" w:cs="Arial"/>
                <w:sz w:val="20"/>
                <w:szCs w:val="20"/>
              </w:rPr>
              <w:t>Calibrate economy-wide labor productivity growth to exogenous GDP growth</w:t>
            </w:r>
          </w:p>
        </w:tc>
        <w:tc>
          <w:tcPr>
            <w:tcW w:w="620" w:type="pct"/>
            <w:shd w:val="clear" w:color="auto" w:fill="E7E6E6" w:themeFill="background2"/>
            <w:vAlign w:val="center"/>
          </w:tcPr>
          <w:p w14:paraId="77BF87FF" w14:textId="24696CE6" w:rsidR="00A52A1F" w:rsidRPr="00A52A1F" w:rsidRDefault="00A52A1F" w:rsidP="003E0377">
            <w:pPr>
              <w:spacing w:line="248" w:lineRule="auto"/>
              <w:jc w:val="center"/>
              <w:rPr>
                <w:rFonts w:ascii="Arial" w:hAnsi="Arial" w:cs="Arial"/>
                <w:sz w:val="20"/>
                <w:szCs w:val="20"/>
              </w:rPr>
            </w:pPr>
            <w:r w:rsidRPr="00A52A1F">
              <w:rPr>
                <w:rFonts w:ascii="Arial" w:hAnsi="Arial" w:cs="Arial"/>
                <w:sz w:val="20"/>
                <w:szCs w:val="20"/>
              </w:rPr>
              <w:t>Sands et al. (2014)</w:t>
            </w:r>
            <w:r w:rsidRPr="00A52A1F">
              <w:rPr>
                <w:rFonts w:ascii="Arial" w:hAnsi="Arial" w:cs="Arial"/>
                <w:sz w:val="20"/>
                <w:szCs w:val="20"/>
              </w:rPr>
              <w:fldChar w:fldCharType="begin"/>
            </w:r>
            <w:r w:rsidR="00E805A4">
              <w:rPr>
                <w:rFonts w:ascii="Arial" w:hAnsi="Arial" w:cs="Arial"/>
                <w:sz w:val="20"/>
                <w:szCs w:val="20"/>
              </w:rPr>
              <w:instrText xml:space="preserve"> ADDIN ZOTERO_ITEM CSL_CITATION {"citationID":"zPvy1q5W","properties":{"formattedCitation":"\\super 25\\nosupersub{}","plainCitation":"25","noteIndex":0},"citationItems":[{"id":"SV7kDkUs/W6NH01SP","uris":["http://zotero.org/users/9896081/items/MQUUPRPQ"],"itemData":{"id":2383,"type":"article-journal","abstract":"Recent volatility in agricultural commodity prices and projections of world population growth raise concerns about the ability of global agricultural production to meet future demand. This report explores the potential for future agricultural production to 2050, using a model-based analysis that incorporates the key drivers of agricultural production, along with the responses of producers and consumers to changes to those drivers. Model results show that for a percentage change in population, global production and consumption of major field crops respond at nearly the same rate. In response to a change in per capita income, the percentage change in crop consumption is much lower, about one-third the percentage change in income. The model also suggests that the global economy absorbs changes in agricultural productivity growth through compensating responses in yield, cropland area, crop prices, and international trade.","language":"en","source":"Zotero","title":"Global Drivers of Agricultural Demand and Supply","author":[{"family":"Sands","given":"Ronald D"},{"family":"Jones","given":"Carol A"},{"family":"Marshall","given":"Elizabeth"}],"issued":{"date-parts":[["2014"]]}},"label":"page","suppress-author":true}],"schema":"https://github.com/citation-style-language/schema/raw/master/csl-citation.json"} </w:instrText>
            </w:r>
            <w:r w:rsidRPr="00A52A1F">
              <w:rPr>
                <w:rFonts w:ascii="Arial" w:hAnsi="Arial" w:cs="Arial"/>
                <w:sz w:val="20"/>
                <w:szCs w:val="20"/>
              </w:rPr>
              <w:fldChar w:fldCharType="separate"/>
            </w:r>
            <w:r w:rsidR="00794F95" w:rsidRPr="00794F95">
              <w:rPr>
                <w:rFonts w:ascii="Arial" w:hAnsi="Arial" w:cs="Arial"/>
                <w:sz w:val="20"/>
                <w:szCs w:val="24"/>
                <w:vertAlign w:val="superscript"/>
              </w:rPr>
              <w:t>25</w:t>
            </w:r>
            <w:r w:rsidRPr="00A52A1F">
              <w:rPr>
                <w:rFonts w:ascii="Arial" w:hAnsi="Arial" w:cs="Arial"/>
                <w:sz w:val="20"/>
                <w:szCs w:val="20"/>
              </w:rPr>
              <w:fldChar w:fldCharType="end"/>
            </w:r>
          </w:p>
        </w:tc>
      </w:tr>
      <w:tr w:rsidR="00A52A1F" w:rsidRPr="00A52A1F" w14:paraId="47337EC6" w14:textId="77777777" w:rsidTr="00932BD5">
        <w:trPr>
          <w:trHeight w:val="648"/>
          <w:jc w:val="center"/>
        </w:trPr>
        <w:tc>
          <w:tcPr>
            <w:tcW w:w="527" w:type="pct"/>
            <w:shd w:val="clear" w:color="auto" w:fill="F2F2F2" w:themeFill="background1" w:themeFillShade="F2"/>
            <w:vAlign w:val="center"/>
          </w:tcPr>
          <w:p w14:paraId="3D6A14BF" w14:textId="77777777" w:rsidR="00A52A1F" w:rsidRPr="00A52A1F" w:rsidRDefault="00A52A1F" w:rsidP="003E0377">
            <w:pPr>
              <w:spacing w:line="259" w:lineRule="auto"/>
              <w:rPr>
                <w:rFonts w:ascii="Arial" w:hAnsi="Arial" w:cs="Arial"/>
                <w:sz w:val="20"/>
                <w:szCs w:val="20"/>
              </w:rPr>
            </w:pPr>
            <w:r w:rsidRPr="00A52A1F">
              <w:rPr>
                <w:rFonts w:ascii="Arial" w:hAnsi="Arial" w:cs="Arial"/>
                <w:sz w:val="20"/>
                <w:szCs w:val="20"/>
              </w:rPr>
              <w:t>MAGNET</w:t>
            </w:r>
          </w:p>
        </w:tc>
        <w:tc>
          <w:tcPr>
            <w:tcW w:w="271" w:type="pct"/>
            <w:shd w:val="clear" w:color="auto" w:fill="F2F2F2" w:themeFill="background1" w:themeFillShade="F2"/>
            <w:vAlign w:val="center"/>
          </w:tcPr>
          <w:p w14:paraId="29AAC23F" w14:textId="77777777" w:rsidR="00A52A1F" w:rsidRPr="00A52A1F" w:rsidRDefault="00A52A1F" w:rsidP="003E0377">
            <w:pPr>
              <w:spacing w:line="259" w:lineRule="auto"/>
              <w:ind w:left="36"/>
              <w:jc w:val="center"/>
              <w:rPr>
                <w:rFonts w:ascii="Arial" w:hAnsi="Arial" w:cs="Arial"/>
                <w:sz w:val="20"/>
                <w:szCs w:val="20"/>
              </w:rPr>
            </w:pPr>
            <w:r w:rsidRPr="00A52A1F">
              <w:rPr>
                <w:rFonts w:ascii="Arial" w:hAnsi="Arial" w:cs="Arial"/>
                <w:sz w:val="20"/>
                <w:szCs w:val="20"/>
              </w:rPr>
              <w:t>CGE</w:t>
            </w:r>
          </w:p>
        </w:tc>
        <w:tc>
          <w:tcPr>
            <w:tcW w:w="1142" w:type="pct"/>
            <w:shd w:val="clear" w:color="auto" w:fill="F2F2F2" w:themeFill="background1" w:themeFillShade="F2"/>
            <w:vAlign w:val="center"/>
          </w:tcPr>
          <w:p w14:paraId="16EAC315" w14:textId="77777777" w:rsidR="00A52A1F" w:rsidRPr="00A52A1F" w:rsidRDefault="00A52A1F" w:rsidP="003E0377">
            <w:pPr>
              <w:spacing w:line="259" w:lineRule="auto"/>
              <w:rPr>
                <w:rFonts w:ascii="Arial" w:hAnsi="Arial" w:cs="Arial"/>
                <w:sz w:val="20"/>
                <w:szCs w:val="20"/>
              </w:rPr>
            </w:pPr>
            <w:r w:rsidRPr="00A52A1F">
              <w:rPr>
                <w:rFonts w:ascii="Arial" w:hAnsi="Arial" w:cs="Arial"/>
                <w:sz w:val="20"/>
                <w:szCs w:val="20"/>
              </w:rPr>
              <w:t>Exogenous labor force change, linked to population growth</w:t>
            </w:r>
          </w:p>
        </w:tc>
        <w:tc>
          <w:tcPr>
            <w:tcW w:w="2441" w:type="pct"/>
            <w:shd w:val="clear" w:color="auto" w:fill="F2F2F2" w:themeFill="background1" w:themeFillShade="F2"/>
            <w:vAlign w:val="center"/>
          </w:tcPr>
          <w:p w14:paraId="474AA816" w14:textId="77777777" w:rsidR="00A52A1F" w:rsidRPr="00A52A1F" w:rsidRDefault="00A52A1F" w:rsidP="003E0377">
            <w:pPr>
              <w:spacing w:line="248" w:lineRule="auto"/>
              <w:rPr>
                <w:rFonts w:ascii="Arial" w:hAnsi="Arial" w:cs="Arial"/>
                <w:sz w:val="20"/>
                <w:szCs w:val="20"/>
              </w:rPr>
            </w:pPr>
            <w:r w:rsidRPr="00A52A1F">
              <w:rPr>
                <w:rFonts w:ascii="Arial" w:hAnsi="Arial" w:cs="Arial"/>
                <w:sz w:val="20"/>
                <w:szCs w:val="20"/>
              </w:rPr>
              <w:t>Calibrate service-sector labor productivity growth, with exogenous sector-specific labor productivity growth relative to the service sector, to exogenous GDP growth.</w:t>
            </w:r>
          </w:p>
        </w:tc>
        <w:tc>
          <w:tcPr>
            <w:tcW w:w="620" w:type="pct"/>
            <w:shd w:val="clear" w:color="auto" w:fill="F2F2F2" w:themeFill="background1" w:themeFillShade="F2"/>
            <w:vAlign w:val="center"/>
          </w:tcPr>
          <w:p w14:paraId="161F3B52" w14:textId="30305D20" w:rsidR="00A52A1F" w:rsidRPr="00A52A1F" w:rsidRDefault="00A52A1F" w:rsidP="003E0377">
            <w:pPr>
              <w:spacing w:line="248" w:lineRule="auto"/>
              <w:jc w:val="center"/>
              <w:rPr>
                <w:rFonts w:ascii="Arial" w:hAnsi="Arial" w:cs="Arial"/>
                <w:sz w:val="20"/>
                <w:szCs w:val="20"/>
              </w:rPr>
            </w:pPr>
            <w:proofErr w:type="spellStart"/>
            <w:r w:rsidRPr="00A52A1F">
              <w:rPr>
                <w:rFonts w:ascii="Arial" w:hAnsi="Arial" w:cs="Arial"/>
                <w:sz w:val="20"/>
                <w:szCs w:val="20"/>
              </w:rPr>
              <w:t>Woltjer</w:t>
            </w:r>
            <w:proofErr w:type="spellEnd"/>
            <w:r w:rsidRPr="00A52A1F">
              <w:rPr>
                <w:rFonts w:ascii="Arial" w:hAnsi="Arial" w:cs="Arial"/>
                <w:sz w:val="20"/>
                <w:szCs w:val="20"/>
              </w:rPr>
              <w:t xml:space="preserve"> and Kuiper (2014)</w:t>
            </w:r>
            <w:r w:rsidRPr="00A52A1F">
              <w:rPr>
                <w:rFonts w:ascii="Arial" w:hAnsi="Arial" w:cs="Arial"/>
                <w:sz w:val="20"/>
                <w:szCs w:val="20"/>
              </w:rPr>
              <w:fldChar w:fldCharType="begin"/>
            </w:r>
            <w:r w:rsidR="00E805A4">
              <w:rPr>
                <w:rFonts w:ascii="Arial" w:hAnsi="Arial" w:cs="Arial"/>
                <w:sz w:val="20"/>
                <w:szCs w:val="20"/>
              </w:rPr>
              <w:instrText xml:space="preserve"> ADDIN ZOTERO_ITEM CSL_CITATION {"citationID":"jkL75HP2","properties":{"formattedCitation":"\\super 26\\nosupersub{}","plainCitation":"26","noteIndex":0},"citationItems":[{"id":"SV7kDkUs/EimkWNt1","uris":["http://zotero.org/users/9896081/items/TXI67CNN"],"itemData":{"id":2458,"type":"document","publisher":"LEI Wageningen UR (University &amp; Research centre)","title":"The MAGNET Model: Module description","author":[{"family":"Woltjer","given":"Geert"},{"family":"Kuiper","given":"Marijke"}],"issued":{"date-parts":[["2014"]]}},"label":"page","suppress-author":true}],"schema":"https://github.com/citation-style-language/schema/raw/master/csl-citation.json"} </w:instrText>
            </w:r>
            <w:r w:rsidRPr="00A52A1F">
              <w:rPr>
                <w:rFonts w:ascii="Arial" w:hAnsi="Arial" w:cs="Arial"/>
                <w:sz w:val="20"/>
                <w:szCs w:val="20"/>
              </w:rPr>
              <w:fldChar w:fldCharType="separate"/>
            </w:r>
            <w:r w:rsidR="00794F95" w:rsidRPr="00794F95">
              <w:rPr>
                <w:rFonts w:ascii="Arial" w:hAnsi="Arial" w:cs="Arial"/>
                <w:sz w:val="20"/>
                <w:szCs w:val="24"/>
                <w:vertAlign w:val="superscript"/>
              </w:rPr>
              <w:t>26</w:t>
            </w:r>
            <w:r w:rsidRPr="00A52A1F">
              <w:rPr>
                <w:rFonts w:ascii="Arial" w:hAnsi="Arial" w:cs="Arial"/>
                <w:sz w:val="20"/>
                <w:szCs w:val="20"/>
              </w:rPr>
              <w:fldChar w:fldCharType="end"/>
            </w:r>
          </w:p>
        </w:tc>
      </w:tr>
      <w:tr w:rsidR="00A52A1F" w:rsidRPr="00A52A1F" w14:paraId="18294C81" w14:textId="77777777" w:rsidTr="00932BD5">
        <w:trPr>
          <w:trHeight w:val="648"/>
          <w:jc w:val="center"/>
        </w:trPr>
        <w:tc>
          <w:tcPr>
            <w:tcW w:w="527" w:type="pct"/>
            <w:shd w:val="clear" w:color="auto" w:fill="E7E6E6" w:themeFill="background2"/>
            <w:vAlign w:val="center"/>
          </w:tcPr>
          <w:p w14:paraId="1D933E6F" w14:textId="77777777" w:rsidR="00A52A1F" w:rsidRPr="00A52A1F" w:rsidRDefault="00A52A1F" w:rsidP="003E0377">
            <w:pPr>
              <w:spacing w:line="259" w:lineRule="auto"/>
              <w:rPr>
                <w:rFonts w:ascii="Arial" w:hAnsi="Arial" w:cs="Arial"/>
                <w:sz w:val="20"/>
                <w:szCs w:val="20"/>
              </w:rPr>
            </w:pPr>
            <w:r w:rsidRPr="00A52A1F">
              <w:rPr>
                <w:rFonts w:ascii="Arial" w:hAnsi="Arial" w:cs="Arial"/>
                <w:sz w:val="20"/>
                <w:szCs w:val="20"/>
              </w:rPr>
              <w:t>IMAGE</w:t>
            </w:r>
          </w:p>
          <w:p w14:paraId="34CEED42" w14:textId="77777777" w:rsidR="00A52A1F" w:rsidRPr="00A52A1F" w:rsidRDefault="00A52A1F" w:rsidP="003E0377">
            <w:pPr>
              <w:spacing w:line="259" w:lineRule="auto"/>
              <w:rPr>
                <w:rFonts w:ascii="Arial" w:hAnsi="Arial" w:cs="Arial"/>
                <w:sz w:val="20"/>
                <w:szCs w:val="20"/>
              </w:rPr>
            </w:pPr>
            <w:r w:rsidRPr="00A52A1F">
              <w:rPr>
                <w:rFonts w:ascii="Arial" w:hAnsi="Arial" w:cs="Arial"/>
                <w:sz w:val="20"/>
                <w:szCs w:val="20"/>
              </w:rPr>
              <w:t>v 3.0</w:t>
            </w:r>
          </w:p>
        </w:tc>
        <w:tc>
          <w:tcPr>
            <w:tcW w:w="271" w:type="pct"/>
            <w:shd w:val="clear" w:color="auto" w:fill="E7E6E6" w:themeFill="background2"/>
            <w:vAlign w:val="center"/>
          </w:tcPr>
          <w:p w14:paraId="0170DB04" w14:textId="77777777" w:rsidR="00A52A1F" w:rsidRPr="00A52A1F" w:rsidRDefault="00A52A1F" w:rsidP="003E0377">
            <w:pPr>
              <w:spacing w:line="259" w:lineRule="auto"/>
              <w:ind w:left="36"/>
              <w:jc w:val="center"/>
              <w:rPr>
                <w:rFonts w:ascii="Arial" w:hAnsi="Arial" w:cs="Arial"/>
                <w:sz w:val="20"/>
                <w:szCs w:val="20"/>
              </w:rPr>
            </w:pPr>
            <w:r w:rsidRPr="00A52A1F">
              <w:rPr>
                <w:rFonts w:ascii="Arial" w:hAnsi="Arial" w:cs="Arial"/>
                <w:sz w:val="20"/>
                <w:szCs w:val="20"/>
              </w:rPr>
              <w:t>PE</w:t>
            </w:r>
          </w:p>
        </w:tc>
        <w:tc>
          <w:tcPr>
            <w:tcW w:w="3582" w:type="pct"/>
            <w:gridSpan w:val="2"/>
            <w:shd w:val="clear" w:color="auto" w:fill="E7E6E6" w:themeFill="background2"/>
            <w:vAlign w:val="center"/>
          </w:tcPr>
          <w:p w14:paraId="618EDA5B" w14:textId="77777777" w:rsidR="00A52A1F" w:rsidRPr="00A52A1F" w:rsidRDefault="00A52A1F" w:rsidP="003E0377">
            <w:pPr>
              <w:spacing w:line="259" w:lineRule="auto"/>
              <w:jc w:val="center"/>
              <w:rPr>
                <w:rFonts w:ascii="Arial" w:hAnsi="Arial" w:cs="Arial"/>
                <w:sz w:val="20"/>
                <w:szCs w:val="20"/>
              </w:rPr>
            </w:pPr>
            <w:r w:rsidRPr="00A52A1F">
              <w:rPr>
                <w:rFonts w:ascii="Arial" w:hAnsi="Arial" w:cs="Arial"/>
                <w:sz w:val="20"/>
                <w:szCs w:val="20"/>
              </w:rPr>
              <w:t>No agricultural labor market</w:t>
            </w:r>
          </w:p>
        </w:tc>
        <w:tc>
          <w:tcPr>
            <w:tcW w:w="620" w:type="pct"/>
            <w:shd w:val="clear" w:color="auto" w:fill="E7E6E6" w:themeFill="background2"/>
            <w:vAlign w:val="center"/>
          </w:tcPr>
          <w:p w14:paraId="405BADDA" w14:textId="5E99B568" w:rsidR="00A52A1F" w:rsidRPr="00A52A1F" w:rsidRDefault="00A52A1F" w:rsidP="003E0377">
            <w:pPr>
              <w:spacing w:line="248" w:lineRule="auto"/>
              <w:jc w:val="center"/>
              <w:rPr>
                <w:rFonts w:ascii="Arial" w:hAnsi="Arial" w:cs="Arial"/>
                <w:sz w:val="20"/>
                <w:szCs w:val="20"/>
              </w:rPr>
            </w:pPr>
            <w:proofErr w:type="spellStart"/>
            <w:r w:rsidRPr="00A52A1F">
              <w:rPr>
                <w:rFonts w:ascii="Arial" w:hAnsi="Arial" w:cs="Arial"/>
                <w:sz w:val="20"/>
                <w:szCs w:val="20"/>
              </w:rPr>
              <w:t>Stehfest</w:t>
            </w:r>
            <w:proofErr w:type="spellEnd"/>
            <w:r w:rsidRPr="00A52A1F">
              <w:rPr>
                <w:rFonts w:ascii="Arial" w:hAnsi="Arial" w:cs="Arial"/>
                <w:sz w:val="20"/>
                <w:szCs w:val="20"/>
              </w:rPr>
              <w:t xml:space="preserve"> et al. (2014)</w:t>
            </w:r>
            <w:r w:rsidRPr="00A52A1F">
              <w:rPr>
                <w:rFonts w:ascii="Arial" w:hAnsi="Arial" w:cs="Arial"/>
                <w:sz w:val="20"/>
                <w:szCs w:val="20"/>
              </w:rPr>
              <w:fldChar w:fldCharType="begin"/>
            </w:r>
            <w:r w:rsidR="00E805A4">
              <w:rPr>
                <w:rFonts w:ascii="Arial" w:hAnsi="Arial" w:cs="Arial"/>
                <w:sz w:val="20"/>
                <w:szCs w:val="20"/>
              </w:rPr>
              <w:instrText xml:space="preserve"> ADDIN ZOTERO_ITEM CSL_CITATION {"citationID":"OI6DdZq9","properties":{"formattedCitation":"\\super 27\\nosupersub{}","plainCitation":"27","noteIndex":0},"citationItems":[{"id":"SV7kDkUs/yEBnKpxa","uris":["http://zotero.org/users/9896081/items/RHU6ZSZE"],"itemData":{"id":2119,"type":"book","ISBN":"94-91506-71-4","publisher":"Netherlands Environmental Assessment Agency (PBL)","title":"Integrated assessment of global environmental change with IMAGE 3.0: Model description and policy applications","author":[{"family":"Stehfest","given":"Elke"},{"family":"Vuuren","given":"Detlef","non-dropping-particle":"van"},{"family":"Bouwman","given":"Lex"},{"family":"Kram","given":"Tom"}],"issued":{"date-parts":[["2014"]]}},"label":"page","suppress-author":true}],"schema":"https://github.com/citation-style-language/schema/raw/master/csl-citation.json"} </w:instrText>
            </w:r>
            <w:r w:rsidRPr="00A52A1F">
              <w:rPr>
                <w:rFonts w:ascii="Arial" w:hAnsi="Arial" w:cs="Arial"/>
                <w:sz w:val="20"/>
                <w:szCs w:val="20"/>
              </w:rPr>
              <w:fldChar w:fldCharType="separate"/>
            </w:r>
            <w:r w:rsidR="00794F95" w:rsidRPr="00794F95">
              <w:rPr>
                <w:rFonts w:ascii="Arial" w:hAnsi="Arial" w:cs="Arial"/>
                <w:sz w:val="20"/>
                <w:szCs w:val="24"/>
                <w:vertAlign w:val="superscript"/>
              </w:rPr>
              <w:t>27</w:t>
            </w:r>
            <w:r w:rsidRPr="00A52A1F">
              <w:rPr>
                <w:rFonts w:ascii="Arial" w:hAnsi="Arial" w:cs="Arial"/>
                <w:sz w:val="20"/>
                <w:szCs w:val="20"/>
              </w:rPr>
              <w:fldChar w:fldCharType="end"/>
            </w:r>
          </w:p>
        </w:tc>
      </w:tr>
      <w:tr w:rsidR="00A52A1F" w:rsidRPr="00A52A1F" w14:paraId="29F9E2FC" w14:textId="77777777" w:rsidTr="00932BD5">
        <w:trPr>
          <w:trHeight w:val="648"/>
          <w:jc w:val="center"/>
        </w:trPr>
        <w:tc>
          <w:tcPr>
            <w:tcW w:w="527" w:type="pct"/>
            <w:shd w:val="clear" w:color="auto" w:fill="F2F2F2" w:themeFill="background1" w:themeFillShade="F2"/>
            <w:vAlign w:val="center"/>
          </w:tcPr>
          <w:p w14:paraId="0368AF35" w14:textId="77777777" w:rsidR="00A52A1F" w:rsidRPr="00A52A1F" w:rsidRDefault="00A52A1F" w:rsidP="003E0377">
            <w:pPr>
              <w:rPr>
                <w:rFonts w:ascii="Arial" w:hAnsi="Arial" w:cs="Arial"/>
                <w:sz w:val="20"/>
                <w:szCs w:val="20"/>
              </w:rPr>
            </w:pPr>
            <w:r w:rsidRPr="00A52A1F">
              <w:rPr>
                <w:rFonts w:ascii="Arial" w:hAnsi="Arial" w:cs="Arial"/>
                <w:sz w:val="20"/>
                <w:szCs w:val="20"/>
              </w:rPr>
              <w:t xml:space="preserve">IMPACT </w:t>
            </w:r>
          </w:p>
          <w:p w14:paraId="62163C86" w14:textId="77777777" w:rsidR="00A52A1F" w:rsidRPr="00A52A1F" w:rsidRDefault="00A52A1F" w:rsidP="003E0377">
            <w:pPr>
              <w:rPr>
                <w:rFonts w:ascii="Arial" w:hAnsi="Arial" w:cs="Arial"/>
                <w:sz w:val="20"/>
                <w:szCs w:val="20"/>
              </w:rPr>
            </w:pPr>
            <w:r w:rsidRPr="00A52A1F">
              <w:rPr>
                <w:rFonts w:ascii="Arial" w:hAnsi="Arial" w:cs="Arial"/>
                <w:sz w:val="20"/>
                <w:szCs w:val="20"/>
              </w:rPr>
              <w:t>v 3</w:t>
            </w:r>
          </w:p>
        </w:tc>
        <w:tc>
          <w:tcPr>
            <w:tcW w:w="271" w:type="pct"/>
            <w:shd w:val="clear" w:color="auto" w:fill="F2F2F2" w:themeFill="background1" w:themeFillShade="F2"/>
            <w:vAlign w:val="center"/>
          </w:tcPr>
          <w:p w14:paraId="0A1CCA55" w14:textId="77777777" w:rsidR="00A52A1F" w:rsidRPr="00A52A1F" w:rsidRDefault="00A52A1F" w:rsidP="003E0377">
            <w:pPr>
              <w:ind w:left="36"/>
              <w:jc w:val="center"/>
              <w:rPr>
                <w:rFonts w:ascii="Arial" w:hAnsi="Arial" w:cs="Arial"/>
                <w:sz w:val="20"/>
                <w:szCs w:val="20"/>
              </w:rPr>
            </w:pPr>
            <w:r w:rsidRPr="00A52A1F">
              <w:rPr>
                <w:rFonts w:ascii="Arial" w:hAnsi="Arial" w:cs="Arial"/>
                <w:sz w:val="20"/>
                <w:szCs w:val="20"/>
              </w:rPr>
              <w:t>PE</w:t>
            </w:r>
          </w:p>
        </w:tc>
        <w:tc>
          <w:tcPr>
            <w:tcW w:w="3582" w:type="pct"/>
            <w:gridSpan w:val="2"/>
            <w:shd w:val="clear" w:color="auto" w:fill="F2F2F2" w:themeFill="background1" w:themeFillShade="F2"/>
            <w:vAlign w:val="center"/>
          </w:tcPr>
          <w:p w14:paraId="0D8AD6B4" w14:textId="77777777" w:rsidR="00A52A1F" w:rsidRPr="00A52A1F" w:rsidRDefault="00A52A1F" w:rsidP="003E0377">
            <w:pPr>
              <w:spacing w:line="259" w:lineRule="auto"/>
              <w:jc w:val="center"/>
              <w:rPr>
                <w:rFonts w:ascii="Arial" w:hAnsi="Arial" w:cs="Arial"/>
                <w:sz w:val="20"/>
                <w:szCs w:val="20"/>
              </w:rPr>
            </w:pPr>
            <w:r w:rsidRPr="00A52A1F">
              <w:rPr>
                <w:rFonts w:ascii="Arial" w:hAnsi="Arial" w:cs="Arial"/>
                <w:sz w:val="20"/>
                <w:szCs w:val="20"/>
              </w:rPr>
              <w:t>No agricultural labor market</w:t>
            </w:r>
          </w:p>
        </w:tc>
        <w:tc>
          <w:tcPr>
            <w:tcW w:w="620" w:type="pct"/>
            <w:shd w:val="clear" w:color="auto" w:fill="F2F2F2" w:themeFill="background1" w:themeFillShade="F2"/>
            <w:vAlign w:val="center"/>
          </w:tcPr>
          <w:p w14:paraId="225B773B" w14:textId="3A6ADE8E" w:rsidR="00A52A1F" w:rsidRPr="00A52A1F" w:rsidRDefault="00A52A1F" w:rsidP="003E0377">
            <w:pPr>
              <w:spacing w:line="248" w:lineRule="auto"/>
              <w:jc w:val="center"/>
              <w:rPr>
                <w:rFonts w:ascii="Arial" w:hAnsi="Arial" w:cs="Arial"/>
                <w:sz w:val="20"/>
                <w:szCs w:val="20"/>
              </w:rPr>
            </w:pPr>
            <w:r w:rsidRPr="00A52A1F">
              <w:rPr>
                <w:rFonts w:ascii="Arial" w:hAnsi="Arial" w:cs="Arial"/>
                <w:sz w:val="20"/>
                <w:szCs w:val="20"/>
              </w:rPr>
              <w:t>Robinson et al. (2015)</w:t>
            </w:r>
            <w:r w:rsidRPr="00A52A1F">
              <w:rPr>
                <w:rFonts w:ascii="Arial" w:hAnsi="Arial" w:cs="Arial"/>
                <w:sz w:val="20"/>
                <w:szCs w:val="20"/>
              </w:rPr>
              <w:fldChar w:fldCharType="begin"/>
            </w:r>
            <w:r w:rsidR="00E805A4">
              <w:rPr>
                <w:rFonts w:ascii="Arial" w:hAnsi="Arial" w:cs="Arial"/>
                <w:sz w:val="20"/>
                <w:szCs w:val="20"/>
              </w:rPr>
              <w:instrText xml:space="preserve"> ADDIN ZOTERO_ITEM CSL_CITATION {"citationID":"XHKCLKpi","properties":{"formattedCitation":"\\super 28\\nosupersub{}","plainCitation":"28","noteIndex":0},"citationItems":[{"id":"SV7kDkUs/sXDX3OYP","uris":["http://zotero.org/users/9896081/items/QNCMCW8D"],"itemData":{"id":2428,"type":"article-journal","container-title":"SSRN Electronic Journal","DOI":"10.2139/ssrn.2741234","ISSN":"1556-5068","journalAbbreviation":"SSRN Journal","language":"en","source":"DOI.org (Crossref)","title":"The International Model for Policy Analysis of Agricultural Commodities and Trade (IMPACT): Model Description for Version 3","title-short":"The International Model for Policy Analysis of Agricultural Commodities and Trade (IMPACT)","URL":"http://www.ssrn.com/abstract=2741234","author":[{"family":"Robinson","given":"Sherman"},{"family":"Mason-D'Croz","given":"Daniel"},{"family":"Sulser","given":"Timothy"},{"family":"Islam","given":"Shahnila"},{"family":"Robertson","given":"Ricky"},{"family":"Zhu","given":"Tingju"},{"family":"Gueneau","given":"Arthur"},{"family":"Pitois","given":"Gauthier"},{"family":"Rosegrant","given":"Mark W."}],"accessed":{"date-parts":[["2023",8,1]]},"issued":{"date-parts":[["2015"]]}},"label":"page","suppress-author":true}],"schema":"https://github.com/citation-style-language/schema/raw/master/csl-citation.json"} </w:instrText>
            </w:r>
            <w:r w:rsidRPr="00A52A1F">
              <w:rPr>
                <w:rFonts w:ascii="Arial" w:hAnsi="Arial" w:cs="Arial"/>
                <w:sz w:val="20"/>
                <w:szCs w:val="20"/>
              </w:rPr>
              <w:fldChar w:fldCharType="separate"/>
            </w:r>
            <w:r w:rsidR="00794F95" w:rsidRPr="00794F95">
              <w:rPr>
                <w:rFonts w:ascii="Arial" w:hAnsi="Arial" w:cs="Arial"/>
                <w:sz w:val="20"/>
                <w:szCs w:val="24"/>
                <w:vertAlign w:val="superscript"/>
              </w:rPr>
              <w:t>28</w:t>
            </w:r>
            <w:r w:rsidRPr="00A52A1F">
              <w:rPr>
                <w:rFonts w:ascii="Arial" w:hAnsi="Arial" w:cs="Arial"/>
                <w:sz w:val="20"/>
                <w:szCs w:val="20"/>
              </w:rPr>
              <w:fldChar w:fldCharType="end"/>
            </w:r>
          </w:p>
        </w:tc>
      </w:tr>
      <w:tr w:rsidR="00A52A1F" w:rsidRPr="00A52A1F" w14:paraId="7D911B4C" w14:textId="77777777" w:rsidTr="00932BD5">
        <w:trPr>
          <w:trHeight w:val="648"/>
          <w:jc w:val="center"/>
        </w:trPr>
        <w:tc>
          <w:tcPr>
            <w:tcW w:w="527" w:type="pct"/>
            <w:shd w:val="clear" w:color="auto" w:fill="E7E6E6" w:themeFill="background2"/>
            <w:vAlign w:val="center"/>
          </w:tcPr>
          <w:p w14:paraId="72859B23" w14:textId="77777777" w:rsidR="00A52A1F" w:rsidRPr="00A52A1F" w:rsidRDefault="00A52A1F" w:rsidP="003E0377">
            <w:pPr>
              <w:spacing w:line="259" w:lineRule="auto"/>
              <w:rPr>
                <w:rFonts w:ascii="Arial" w:hAnsi="Arial" w:cs="Arial"/>
                <w:sz w:val="20"/>
                <w:szCs w:val="20"/>
              </w:rPr>
            </w:pPr>
            <w:r w:rsidRPr="00A52A1F">
              <w:rPr>
                <w:rFonts w:ascii="Arial" w:hAnsi="Arial" w:cs="Arial"/>
                <w:sz w:val="20"/>
                <w:szCs w:val="20"/>
              </w:rPr>
              <w:t>GLOBIOM</w:t>
            </w:r>
          </w:p>
        </w:tc>
        <w:tc>
          <w:tcPr>
            <w:tcW w:w="271" w:type="pct"/>
            <w:shd w:val="clear" w:color="auto" w:fill="E7E6E6" w:themeFill="background2"/>
            <w:vAlign w:val="center"/>
          </w:tcPr>
          <w:p w14:paraId="0A9D7365" w14:textId="77777777" w:rsidR="00A52A1F" w:rsidRPr="00A52A1F" w:rsidRDefault="00A52A1F" w:rsidP="003E0377">
            <w:pPr>
              <w:spacing w:line="259" w:lineRule="auto"/>
              <w:ind w:left="112"/>
              <w:jc w:val="center"/>
              <w:rPr>
                <w:rFonts w:ascii="Arial" w:hAnsi="Arial" w:cs="Arial"/>
                <w:sz w:val="20"/>
                <w:szCs w:val="20"/>
              </w:rPr>
            </w:pPr>
            <w:r w:rsidRPr="00A52A1F">
              <w:rPr>
                <w:rFonts w:ascii="Arial" w:hAnsi="Arial" w:cs="Arial"/>
                <w:sz w:val="20"/>
                <w:szCs w:val="20"/>
              </w:rPr>
              <w:t>PE</w:t>
            </w:r>
          </w:p>
        </w:tc>
        <w:tc>
          <w:tcPr>
            <w:tcW w:w="3582" w:type="pct"/>
            <w:gridSpan w:val="2"/>
            <w:shd w:val="clear" w:color="auto" w:fill="E7E6E6" w:themeFill="background2"/>
            <w:vAlign w:val="center"/>
          </w:tcPr>
          <w:p w14:paraId="5560AFE6" w14:textId="77777777" w:rsidR="00A52A1F" w:rsidRPr="00A52A1F" w:rsidRDefault="00A52A1F" w:rsidP="003E0377">
            <w:pPr>
              <w:spacing w:line="259" w:lineRule="auto"/>
              <w:jc w:val="center"/>
              <w:rPr>
                <w:rFonts w:ascii="Arial" w:hAnsi="Arial" w:cs="Arial"/>
                <w:sz w:val="20"/>
                <w:szCs w:val="20"/>
              </w:rPr>
            </w:pPr>
            <w:r w:rsidRPr="00A52A1F">
              <w:rPr>
                <w:rFonts w:ascii="Arial" w:hAnsi="Arial" w:cs="Arial"/>
                <w:sz w:val="20"/>
                <w:szCs w:val="20"/>
              </w:rPr>
              <w:t>No agricultural labor market</w:t>
            </w:r>
          </w:p>
        </w:tc>
        <w:tc>
          <w:tcPr>
            <w:tcW w:w="620" w:type="pct"/>
            <w:shd w:val="clear" w:color="auto" w:fill="E7E6E6" w:themeFill="background2"/>
            <w:vAlign w:val="center"/>
          </w:tcPr>
          <w:p w14:paraId="7948EBF5" w14:textId="10C58B32" w:rsidR="00A52A1F" w:rsidRPr="00A52A1F" w:rsidRDefault="00A52A1F" w:rsidP="003E0377">
            <w:pPr>
              <w:spacing w:line="259" w:lineRule="auto"/>
              <w:ind w:right="84"/>
              <w:jc w:val="center"/>
              <w:rPr>
                <w:rFonts w:ascii="Arial" w:hAnsi="Arial" w:cs="Arial"/>
                <w:sz w:val="20"/>
                <w:szCs w:val="20"/>
              </w:rPr>
            </w:pPr>
            <w:r w:rsidRPr="00A52A1F">
              <w:rPr>
                <w:rFonts w:ascii="Arial" w:hAnsi="Arial" w:cs="Arial"/>
                <w:sz w:val="20"/>
                <w:szCs w:val="20"/>
              </w:rPr>
              <w:t>IIASA, (2018)</w:t>
            </w:r>
            <w:r w:rsidRPr="00A52A1F">
              <w:rPr>
                <w:rFonts w:ascii="Arial" w:hAnsi="Arial" w:cs="Arial"/>
                <w:sz w:val="20"/>
                <w:szCs w:val="20"/>
              </w:rPr>
              <w:fldChar w:fldCharType="begin"/>
            </w:r>
            <w:r w:rsidR="00E805A4">
              <w:rPr>
                <w:rFonts w:ascii="Arial" w:hAnsi="Arial" w:cs="Arial"/>
                <w:sz w:val="20"/>
                <w:szCs w:val="20"/>
              </w:rPr>
              <w:instrText xml:space="preserve"> ADDIN ZOTERO_ITEM CSL_CITATION {"citationID":"9p2C5rR0","properties":{"formattedCitation":"\\super 29\\nosupersub{}","plainCitation":"29","noteIndex":0},"citationItems":[{"id":"SV7kDkUs/avapE5eG","uris":["http://zotero.org/users/9896081/items/CC7RJCIH"],"itemData":{"id":2459,"type":"document","title":"Documentation for the GLOBIOM model","URL":"https://iiasa.github.io/GLOBIOM/documentation.html","author":[{"family":"IIASA","given":""}],"issued":{"date-parts":[["2018"]]}},"label":"page","suppress-author":true}],"schema":"https://github.com/citation-style-language/schema/raw/master/csl-citation.json"} </w:instrText>
            </w:r>
            <w:r w:rsidRPr="00A52A1F">
              <w:rPr>
                <w:rFonts w:ascii="Arial" w:hAnsi="Arial" w:cs="Arial"/>
                <w:sz w:val="20"/>
                <w:szCs w:val="20"/>
              </w:rPr>
              <w:fldChar w:fldCharType="separate"/>
            </w:r>
            <w:r w:rsidR="00794F95" w:rsidRPr="00794F95">
              <w:rPr>
                <w:rFonts w:ascii="Arial" w:hAnsi="Arial" w:cs="Arial"/>
                <w:sz w:val="20"/>
                <w:szCs w:val="24"/>
                <w:vertAlign w:val="superscript"/>
              </w:rPr>
              <w:t>29</w:t>
            </w:r>
            <w:r w:rsidRPr="00A52A1F">
              <w:rPr>
                <w:rFonts w:ascii="Arial" w:hAnsi="Arial" w:cs="Arial"/>
                <w:sz w:val="20"/>
                <w:szCs w:val="20"/>
              </w:rPr>
              <w:fldChar w:fldCharType="end"/>
            </w:r>
          </w:p>
        </w:tc>
      </w:tr>
      <w:tr w:rsidR="00A52A1F" w:rsidRPr="00A52A1F" w14:paraId="3E6EED11" w14:textId="77777777" w:rsidTr="00932BD5">
        <w:trPr>
          <w:trHeight w:val="648"/>
          <w:jc w:val="center"/>
        </w:trPr>
        <w:tc>
          <w:tcPr>
            <w:tcW w:w="527" w:type="pct"/>
            <w:shd w:val="clear" w:color="auto" w:fill="F2F2F2" w:themeFill="background1" w:themeFillShade="F2"/>
            <w:vAlign w:val="center"/>
          </w:tcPr>
          <w:p w14:paraId="42D13835" w14:textId="77777777" w:rsidR="00A52A1F" w:rsidRPr="00A52A1F" w:rsidRDefault="00A52A1F" w:rsidP="003E0377">
            <w:pPr>
              <w:spacing w:line="259" w:lineRule="auto"/>
              <w:rPr>
                <w:rFonts w:ascii="Arial" w:hAnsi="Arial" w:cs="Arial"/>
                <w:sz w:val="20"/>
                <w:szCs w:val="20"/>
              </w:rPr>
            </w:pPr>
            <w:proofErr w:type="spellStart"/>
            <w:r w:rsidRPr="00A52A1F">
              <w:rPr>
                <w:rFonts w:ascii="Arial" w:hAnsi="Arial" w:cs="Arial"/>
                <w:sz w:val="20"/>
                <w:szCs w:val="20"/>
              </w:rPr>
              <w:t>MAgPIE</w:t>
            </w:r>
            <w:proofErr w:type="spellEnd"/>
            <w:r w:rsidRPr="00A52A1F">
              <w:rPr>
                <w:rFonts w:ascii="Arial" w:hAnsi="Arial" w:cs="Arial"/>
                <w:sz w:val="20"/>
                <w:szCs w:val="20"/>
              </w:rPr>
              <w:t xml:space="preserve"> </w:t>
            </w:r>
          </w:p>
          <w:p w14:paraId="6F661DFF" w14:textId="77777777" w:rsidR="00A52A1F" w:rsidRPr="00A52A1F" w:rsidRDefault="00A52A1F" w:rsidP="003E0377">
            <w:pPr>
              <w:spacing w:line="259" w:lineRule="auto"/>
              <w:rPr>
                <w:rFonts w:ascii="Arial" w:hAnsi="Arial" w:cs="Arial"/>
                <w:sz w:val="20"/>
                <w:szCs w:val="20"/>
              </w:rPr>
            </w:pPr>
            <w:r w:rsidRPr="00A52A1F">
              <w:rPr>
                <w:rFonts w:ascii="Arial" w:hAnsi="Arial" w:cs="Arial"/>
                <w:sz w:val="20"/>
                <w:szCs w:val="20"/>
              </w:rPr>
              <w:t>v 4.6.0</w:t>
            </w:r>
          </w:p>
        </w:tc>
        <w:tc>
          <w:tcPr>
            <w:tcW w:w="271" w:type="pct"/>
            <w:shd w:val="clear" w:color="auto" w:fill="F2F2F2" w:themeFill="background1" w:themeFillShade="F2"/>
            <w:vAlign w:val="center"/>
          </w:tcPr>
          <w:p w14:paraId="3B99AA2F" w14:textId="77777777" w:rsidR="00A52A1F" w:rsidRPr="00A52A1F" w:rsidRDefault="00A52A1F" w:rsidP="003E0377">
            <w:pPr>
              <w:spacing w:line="259" w:lineRule="auto"/>
              <w:ind w:left="112"/>
              <w:jc w:val="center"/>
              <w:rPr>
                <w:rFonts w:ascii="Arial" w:hAnsi="Arial" w:cs="Arial"/>
                <w:sz w:val="20"/>
                <w:szCs w:val="20"/>
              </w:rPr>
            </w:pPr>
            <w:r w:rsidRPr="00A52A1F">
              <w:rPr>
                <w:rFonts w:ascii="Arial" w:hAnsi="Arial" w:cs="Arial"/>
                <w:sz w:val="20"/>
                <w:szCs w:val="20"/>
              </w:rPr>
              <w:t>PE</w:t>
            </w:r>
          </w:p>
        </w:tc>
        <w:tc>
          <w:tcPr>
            <w:tcW w:w="1142" w:type="pct"/>
            <w:shd w:val="clear" w:color="auto" w:fill="F2F2F2" w:themeFill="background1" w:themeFillShade="F2"/>
            <w:vAlign w:val="center"/>
          </w:tcPr>
          <w:p w14:paraId="1122B24E" w14:textId="77777777" w:rsidR="00A52A1F" w:rsidRPr="00A52A1F" w:rsidRDefault="00A52A1F" w:rsidP="003E0377">
            <w:pPr>
              <w:spacing w:line="259" w:lineRule="auto"/>
              <w:ind w:left="82"/>
              <w:rPr>
                <w:rFonts w:ascii="Arial" w:hAnsi="Arial" w:cs="Arial"/>
                <w:sz w:val="20"/>
                <w:szCs w:val="20"/>
              </w:rPr>
            </w:pPr>
            <w:r w:rsidRPr="00A52A1F">
              <w:rPr>
                <w:rFonts w:ascii="Arial" w:hAnsi="Arial" w:cs="Arial"/>
                <w:sz w:val="20"/>
                <w:szCs w:val="20"/>
              </w:rPr>
              <w:t>Unlimited agricultural labor supply</w:t>
            </w:r>
          </w:p>
        </w:tc>
        <w:tc>
          <w:tcPr>
            <w:tcW w:w="2441" w:type="pct"/>
            <w:shd w:val="clear" w:color="auto" w:fill="F2F2F2" w:themeFill="background1" w:themeFillShade="F2"/>
            <w:vAlign w:val="center"/>
          </w:tcPr>
          <w:p w14:paraId="7B1F1D05" w14:textId="77777777" w:rsidR="00A52A1F" w:rsidRPr="00A52A1F" w:rsidRDefault="00A52A1F" w:rsidP="003E0377">
            <w:pPr>
              <w:spacing w:line="259" w:lineRule="auto"/>
              <w:rPr>
                <w:rFonts w:ascii="Arial" w:hAnsi="Arial" w:cs="Arial"/>
                <w:sz w:val="20"/>
                <w:szCs w:val="20"/>
              </w:rPr>
            </w:pPr>
            <w:r w:rsidRPr="00A52A1F">
              <w:rPr>
                <w:rFonts w:ascii="Arial" w:hAnsi="Arial" w:cs="Arial"/>
                <w:sz w:val="20"/>
                <w:szCs w:val="20"/>
              </w:rPr>
              <w:t>Exogenous assumptions on growth in labor costs, which is linked to GDP pc; labor + capital cost per production unit is kept constant</w:t>
            </w:r>
          </w:p>
        </w:tc>
        <w:tc>
          <w:tcPr>
            <w:tcW w:w="620" w:type="pct"/>
            <w:shd w:val="clear" w:color="auto" w:fill="F2F2F2" w:themeFill="background1" w:themeFillShade="F2"/>
            <w:vAlign w:val="center"/>
          </w:tcPr>
          <w:p w14:paraId="73A93BFA" w14:textId="2F08BE1F" w:rsidR="00A52A1F" w:rsidRPr="00A52A1F" w:rsidRDefault="00A52A1F" w:rsidP="003E0377">
            <w:pPr>
              <w:spacing w:line="259" w:lineRule="auto"/>
              <w:jc w:val="center"/>
              <w:rPr>
                <w:rFonts w:ascii="Arial" w:hAnsi="Arial" w:cs="Arial"/>
                <w:sz w:val="20"/>
                <w:szCs w:val="20"/>
              </w:rPr>
            </w:pPr>
            <w:r w:rsidRPr="00A52A1F">
              <w:rPr>
                <w:rFonts w:ascii="Arial" w:hAnsi="Arial" w:cs="Arial"/>
                <w:sz w:val="20"/>
                <w:szCs w:val="20"/>
              </w:rPr>
              <w:t>Dietrich et al. (2022)</w:t>
            </w:r>
            <w:r w:rsidRPr="00A52A1F">
              <w:rPr>
                <w:rFonts w:ascii="Arial" w:hAnsi="Arial" w:cs="Arial"/>
                <w:sz w:val="20"/>
                <w:szCs w:val="20"/>
              </w:rPr>
              <w:fldChar w:fldCharType="begin"/>
            </w:r>
            <w:r w:rsidR="00E805A4">
              <w:rPr>
                <w:rFonts w:ascii="Arial" w:hAnsi="Arial" w:cs="Arial"/>
                <w:sz w:val="20"/>
                <w:szCs w:val="20"/>
              </w:rPr>
              <w:instrText xml:space="preserve"> ADDIN ZOTERO_ITEM CSL_CITATION {"citationID":"h6bJalh2","properties":{"formattedCitation":"\\super 30\\nosupersub{}","plainCitation":"30","noteIndex":0},"citationItems":[{"id":"SV7kDkUs/j3hVGHdy","uris":["http://zotero.org/users/9896081/items/KWQ4XVMJ"],"itemData":{"id":2460,"type":"document","title":"MAgPIE - An Open Source land-use modeling framework - Version 4.6.0","author":[{"family":"Dietrich","given":"J"},{"family":"Bodirsky","given":"B"},{"family":"Weindl","given":"I"},{"family":"Humpenöder","given":"F"}],"issued":{"date-parts":[["2022"]]}},"label":"page","suppress-author":true}],"schema":"https://github.com/citation-style-language/schema/raw/master/csl-citation.json"} </w:instrText>
            </w:r>
            <w:r w:rsidRPr="00A52A1F">
              <w:rPr>
                <w:rFonts w:ascii="Arial" w:hAnsi="Arial" w:cs="Arial"/>
                <w:sz w:val="20"/>
                <w:szCs w:val="20"/>
              </w:rPr>
              <w:fldChar w:fldCharType="separate"/>
            </w:r>
            <w:r w:rsidR="00794F95" w:rsidRPr="00794F95">
              <w:rPr>
                <w:rFonts w:ascii="Arial" w:hAnsi="Arial" w:cs="Arial"/>
                <w:sz w:val="20"/>
                <w:szCs w:val="24"/>
                <w:vertAlign w:val="superscript"/>
              </w:rPr>
              <w:t>30</w:t>
            </w:r>
            <w:r w:rsidRPr="00A52A1F">
              <w:rPr>
                <w:rFonts w:ascii="Arial" w:hAnsi="Arial" w:cs="Arial"/>
                <w:sz w:val="20"/>
                <w:szCs w:val="20"/>
              </w:rPr>
              <w:fldChar w:fldCharType="end"/>
            </w:r>
          </w:p>
        </w:tc>
      </w:tr>
      <w:tr w:rsidR="00A52A1F" w:rsidRPr="00A52A1F" w14:paraId="392D34C5" w14:textId="77777777" w:rsidTr="00932BD5">
        <w:trPr>
          <w:trHeight w:val="648"/>
          <w:jc w:val="center"/>
        </w:trPr>
        <w:tc>
          <w:tcPr>
            <w:tcW w:w="527" w:type="pct"/>
            <w:shd w:val="clear" w:color="auto" w:fill="E7E6E6" w:themeFill="background2"/>
            <w:vAlign w:val="center"/>
          </w:tcPr>
          <w:p w14:paraId="408979C5" w14:textId="77777777" w:rsidR="00A52A1F" w:rsidRPr="00A52A1F" w:rsidRDefault="00A52A1F" w:rsidP="003E0377">
            <w:pPr>
              <w:spacing w:line="259" w:lineRule="auto"/>
              <w:rPr>
                <w:rFonts w:ascii="Arial" w:hAnsi="Arial" w:cs="Arial"/>
                <w:sz w:val="20"/>
                <w:szCs w:val="20"/>
              </w:rPr>
            </w:pPr>
            <w:r w:rsidRPr="00A52A1F">
              <w:rPr>
                <w:rFonts w:ascii="Arial" w:hAnsi="Arial" w:cs="Arial"/>
                <w:sz w:val="20"/>
                <w:szCs w:val="20"/>
              </w:rPr>
              <w:t xml:space="preserve">GCAM </w:t>
            </w:r>
          </w:p>
          <w:p w14:paraId="7511572D" w14:textId="77777777" w:rsidR="00A52A1F" w:rsidRPr="00A52A1F" w:rsidRDefault="00A52A1F" w:rsidP="003E0377">
            <w:pPr>
              <w:spacing w:line="259" w:lineRule="auto"/>
              <w:rPr>
                <w:rFonts w:ascii="Arial" w:hAnsi="Arial" w:cs="Arial"/>
                <w:sz w:val="20"/>
                <w:szCs w:val="20"/>
              </w:rPr>
            </w:pPr>
            <w:r w:rsidRPr="00A52A1F">
              <w:rPr>
                <w:rFonts w:ascii="Arial" w:hAnsi="Arial" w:cs="Arial"/>
                <w:sz w:val="20"/>
                <w:szCs w:val="20"/>
              </w:rPr>
              <w:t>v 7.0</w:t>
            </w:r>
          </w:p>
        </w:tc>
        <w:tc>
          <w:tcPr>
            <w:tcW w:w="271" w:type="pct"/>
            <w:shd w:val="clear" w:color="auto" w:fill="E7E6E6" w:themeFill="background2"/>
            <w:vAlign w:val="center"/>
          </w:tcPr>
          <w:p w14:paraId="354A46AB" w14:textId="77777777" w:rsidR="00A52A1F" w:rsidRPr="00A52A1F" w:rsidRDefault="00A52A1F" w:rsidP="003E0377">
            <w:pPr>
              <w:spacing w:line="259" w:lineRule="auto"/>
              <w:ind w:left="112"/>
              <w:jc w:val="center"/>
              <w:rPr>
                <w:rFonts w:ascii="Arial" w:hAnsi="Arial" w:cs="Arial"/>
                <w:sz w:val="20"/>
                <w:szCs w:val="20"/>
              </w:rPr>
            </w:pPr>
            <w:r w:rsidRPr="00A52A1F">
              <w:rPr>
                <w:rFonts w:ascii="Arial" w:hAnsi="Arial" w:cs="Arial"/>
                <w:sz w:val="20"/>
                <w:szCs w:val="20"/>
              </w:rPr>
              <w:t>PE</w:t>
            </w:r>
          </w:p>
        </w:tc>
        <w:tc>
          <w:tcPr>
            <w:tcW w:w="1142" w:type="pct"/>
            <w:shd w:val="clear" w:color="auto" w:fill="E7E6E6" w:themeFill="background2"/>
            <w:vAlign w:val="center"/>
          </w:tcPr>
          <w:p w14:paraId="7D85E88E" w14:textId="77777777" w:rsidR="00A52A1F" w:rsidRPr="00A52A1F" w:rsidRDefault="00A52A1F" w:rsidP="003E0377">
            <w:pPr>
              <w:spacing w:line="259" w:lineRule="auto"/>
              <w:ind w:left="82"/>
              <w:rPr>
                <w:rFonts w:ascii="Arial" w:hAnsi="Arial" w:cs="Arial"/>
                <w:sz w:val="20"/>
                <w:szCs w:val="20"/>
              </w:rPr>
            </w:pPr>
            <w:r w:rsidRPr="00A52A1F">
              <w:rPr>
                <w:rFonts w:ascii="Arial" w:hAnsi="Arial" w:cs="Arial"/>
                <w:sz w:val="20"/>
                <w:szCs w:val="20"/>
              </w:rPr>
              <w:t>Unlimited agricultural labor supply</w:t>
            </w:r>
          </w:p>
        </w:tc>
        <w:tc>
          <w:tcPr>
            <w:tcW w:w="2441" w:type="pct"/>
            <w:shd w:val="clear" w:color="auto" w:fill="E7E6E6" w:themeFill="background2"/>
            <w:vAlign w:val="center"/>
          </w:tcPr>
          <w:p w14:paraId="15379902" w14:textId="77777777" w:rsidR="00A52A1F" w:rsidRPr="00A52A1F" w:rsidRDefault="00A52A1F" w:rsidP="003E0377">
            <w:pPr>
              <w:spacing w:line="259" w:lineRule="auto"/>
              <w:rPr>
                <w:rFonts w:ascii="Arial" w:hAnsi="Arial" w:cs="Arial"/>
                <w:sz w:val="20"/>
                <w:szCs w:val="20"/>
              </w:rPr>
            </w:pPr>
            <w:r w:rsidRPr="00A52A1F">
              <w:rPr>
                <w:rFonts w:ascii="Arial" w:hAnsi="Arial" w:cs="Arial"/>
                <w:sz w:val="20"/>
                <w:szCs w:val="20"/>
              </w:rPr>
              <w:t>Constant labor and capital cost per unit, implying constant agricultural labor productivity when the agricultural labor supply is unlimited.</w:t>
            </w:r>
          </w:p>
        </w:tc>
        <w:tc>
          <w:tcPr>
            <w:tcW w:w="620" w:type="pct"/>
            <w:shd w:val="clear" w:color="auto" w:fill="E7E6E6" w:themeFill="background2"/>
            <w:vAlign w:val="center"/>
          </w:tcPr>
          <w:p w14:paraId="10F59A4D" w14:textId="0298BF7A" w:rsidR="00A52A1F" w:rsidRPr="00A52A1F" w:rsidRDefault="00A52A1F" w:rsidP="003E0377">
            <w:pPr>
              <w:spacing w:line="259" w:lineRule="auto"/>
              <w:jc w:val="center"/>
              <w:rPr>
                <w:rFonts w:ascii="Arial" w:hAnsi="Arial" w:cs="Arial"/>
                <w:sz w:val="20"/>
                <w:szCs w:val="20"/>
              </w:rPr>
            </w:pPr>
            <w:r w:rsidRPr="00A52A1F">
              <w:rPr>
                <w:rFonts w:ascii="Arial" w:hAnsi="Arial" w:cs="Arial"/>
                <w:sz w:val="20"/>
                <w:szCs w:val="20"/>
              </w:rPr>
              <w:t>Calvin et al. (2019)</w:t>
            </w:r>
            <w:r w:rsidRPr="00A52A1F">
              <w:rPr>
                <w:rFonts w:ascii="Arial" w:hAnsi="Arial" w:cs="Arial"/>
                <w:sz w:val="20"/>
                <w:szCs w:val="20"/>
              </w:rPr>
              <w:fldChar w:fldCharType="begin"/>
            </w:r>
            <w:r w:rsidR="00E805A4">
              <w:rPr>
                <w:rFonts w:ascii="Arial" w:hAnsi="Arial" w:cs="Arial"/>
                <w:sz w:val="20"/>
                <w:szCs w:val="20"/>
              </w:rPr>
              <w:instrText xml:space="preserve"> ADDIN ZOTERO_ITEM CSL_CITATION {"citationID":"DCmuJhBq","properties":{"formattedCitation":"\\super 31\\nosupersub{}","plainCitation":"31","noteIndex":0},"citationItems":[{"id":"SV7kDkUs/qpNYyKke","uris":["http://zotero.org/users/9896081/items/YT3CGSK7"],"itemData":{"id":2461,"type":"article-journal","abstract":"This paper describes GCAM v5.1, an open source model that represents the linkages between energy, water, land, climate, and economic systems. GCAM is a market equilibrium model, is global in scope, and operates from 1990 to 2100 in 5-year time steps. It can be used to examine, for example, how changes in population, income, or technology cost might alter crop production, energy demand, or water withdrawals, or how changes in one region's demand for energy affect energy, water, and land in other regions. This paper describes the model, including its assumptions, inputs, and outputs. We then use 11 scenarios, varying the socioeconomic and climate policy assumptions, to illustrate the results from the model. The resulting scenarios demonstrate a wide range of potential future energy, water, and land uses. We compare the results from GCAM v5.1 to historical data and to future scenario simulations from earlier versions of GCAM and from other models. Finally, we provide information on how to obtain the model.","container-title":"Geoscientific Model Development","DOI":"10.5194/gmd-12-677-2019","ISSN":"1991-959X","issue":"2","language":"English","note":"publisher: Copernicus GmbH","page":"677-698","source":"Copernicus Online Journals","title":"GCAM v5.1: representing the linkages between energy, water, land, climate, and economic systems","title-short":"GCAM v5.1","volume":"12","author":[{"family":"Calvin","given":"Katherine"},{"family":"Patel","given":"Pralit"},{"family":"Clarke","given":"Leon"},{"family":"Asrar","given":"Ghassem"},{"family":"Bond-Lamberty","given":"Ben"},{"family":"Cui","given":"Ryna Yiyun"},{"family":"Di Vittorio","given":"Alan"},{"family":"Dorheim","given":"Kalyn"},{"family":"Edmonds","given":"Jae"},{"family":"Hartin","given":"Corinne"},{"family":"Hejazi","given":"Mohamad"},{"family":"Horowitz","given":"Russell"},{"family":"Iyer","given":"Gokul"},{"family":"Kyle","given":"Page"},{"family":"Kim","given":"Sonny"},{"family":"Link","given":"Robert"},{"family":"McJeon","given":"Haewon"},{"family":"Smith","given":"Steven J."},{"family":"Snyder","given":"Abigail"},{"family":"Waldhoff","given":"Stephanie"},{"family":"Wise","given":"Marshall"}],"issued":{"date-parts":[["2019",2,15]]}},"label":"page","suppress-author":true}],"schema":"https://github.com/citation-style-language/schema/raw/master/csl-citation.json"} </w:instrText>
            </w:r>
            <w:r w:rsidRPr="00A52A1F">
              <w:rPr>
                <w:rFonts w:ascii="Arial" w:hAnsi="Arial" w:cs="Arial"/>
                <w:sz w:val="20"/>
                <w:szCs w:val="20"/>
              </w:rPr>
              <w:fldChar w:fldCharType="separate"/>
            </w:r>
            <w:r w:rsidR="00794F95" w:rsidRPr="00794F95">
              <w:rPr>
                <w:rFonts w:ascii="Arial" w:hAnsi="Arial" w:cs="Arial"/>
                <w:sz w:val="20"/>
                <w:szCs w:val="24"/>
                <w:vertAlign w:val="superscript"/>
              </w:rPr>
              <w:t>31</w:t>
            </w:r>
            <w:r w:rsidRPr="00A52A1F">
              <w:rPr>
                <w:rFonts w:ascii="Arial" w:hAnsi="Arial" w:cs="Arial"/>
                <w:sz w:val="20"/>
                <w:szCs w:val="20"/>
              </w:rPr>
              <w:fldChar w:fldCharType="end"/>
            </w:r>
          </w:p>
        </w:tc>
      </w:tr>
    </w:tbl>
    <w:p w14:paraId="154C3451" w14:textId="77777777" w:rsidR="00932BD5" w:rsidRDefault="00932BD5" w:rsidP="00932BD5">
      <w:pPr>
        <w:pStyle w:val="Caption"/>
        <w:rPr>
          <w:rFonts w:eastAsiaTheme="minorEastAsia" w:cs="Arial"/>
          <w:bCs/>
          <w:sz w:val="22"/>
          <w:szCs w:val="22"/>
        </w:rPr>
      </w:pPr>
      <w:bookmarkStart w:id="7" w:name="_Ref162114372"/>
    </w:p>
    <w:p w14:paraId="6C93662C" w14:textId="77777777" w:rsidR="00932BD5" w:rsidRDefault="00932BD5">
      <w:pPr>
        <w:rPr>
          <w:rFonts w:ascii="Arial" w:eastAsiaTheme="minorEastAsia" w:hAnsi="Arial" w:cs="Arial"/>
          <w:b/>
          <w:bCs/>
          <w:iCs/>
        </w:rPr>
      </w:pPr>
      <w:r>
        <w:rPr>
          <w:rFonts w:eastAsiaTheme="minorEastAsia" w:cs="Arial"/>
          <w:bCs/>
        </w:rPr>
        <w:br w:type="page"/>
      </w:r>
    </w:p>
    <w:p w14:paraId="62F97A76" w14:textId="23933BAB" w:rsidR="00932BD5" w:rsidRPr="007C5734" w:rsidRDefault="00932BD5" w:rsidP="00932BD5">
      <w:pPr>
        <w:pStyle w:val="Caption"/>
        <w:rPr>
          <w:rFonts w:eastAsiaTheme="minorEastAsia" w:cs="Arial"/>
          <w:bCs/>
          <w:sz w:val="22"/>
          <w:szCs w:val="22"/>
        </w:rPr>
      </w:pPr>
      <w:bookmarkStart w:id="8" w:name="_Ref162555959"/>
      <w:bookmarkStart w:id="9" w:name="_Toc162998106"/>
      <w:r w:rsidRPr="007C5734">
        <w:rPr>
          <w:rFonts w:eastAsiaTheme="minorEastAsia" w:cs="Arial"/>
          <w:bCs/>
          <w:sz w:val="22"/>
          <w:szCs w:val="22"/>
        </w:rPr>
        <w:lastRenderedPageBreak/>
        <w:t>Table S</w:t>
      </w:r>
      <w:r w:rsidRPr="007C5734">
        <w:rPr>
          <w:rFonts w:eastAsiaTheme="minorEastAsia" w:cs="Arial"/>
          <w:bCs/>
          <w:sz w:val="22"/>
          <w:szCs w:val="22"/>
        </w:rPr>
        <w:fldChar w:fldCharType="begin"/>
      </w:r>
      <w:r w:rsidRPr="007C5734">
        <w:rPr>
          <w:rFonts w:eastAsiaTheme="minorEastAsia" w:cs="Arial"/>
          <w:bCs/>
          <w:sz w:val="22"/>
          <w:szCs w:val="22"/>
        </w:rPr>
        <w:instrText xml:space="preserve"> SEQ Table \* ARABIC </w:instrText>
      </w:r>
      <w:r w:rsidRPr="007C5734">
        <w:rPr>
          <w:rFonts w:eastAsiaTheme="minorEastAsia" w:cs="Arial"/>
          <w:bCs/>
          <w:sz w:val="22"/>
          <w:szCs w:val="22"/>
        </w:rPr>
        <w:fldChar w:fldCharType="separate"/>
      </w:r>
      <w:r w:rsidR="009141B0">
        <w:rPr>
          <w:rFonts w:eastAsiaTheme="minorEastAsia" w:cs="Arial"/>
          <w:bCs/>
          <w:noProof/>
          <w:sz w:val="22"/>
          <w:szCs w:val="22"/>
        </w:rPr>
        <w:t>2</w:t>
      </w:r>
      <w:r w:rsidRPr="007C5734">
        <w:rPr>
          <w:rFonts w:eastAsiaTheme="minorEastAsia" w:cs="Arial"/>
          <w:bCs/>
          <w:sz w:val="22"/>
          <w:szCs w:val="22"/>
        </w:rPr>
        <w:fldChar w:fldCharType="end"/>
      </w:r>
      <w:bookmarkEnd w:id="7"/>
      <w:bookmarkEnd w:id="8"/>
      <w:r w:rsidRPr="007C5734">
        <w:rPr>
          <w:rFonts w:eastAsiaTheme="minorEastAsia" w:cs="Arial"/>
          <w:bCs/>
          <w:sz w:val="22"/>
          <w:szCs w:val="22"/>
        </w:rPr>
        <w:t xml:space="preserve"> | Regional mapping between GCAM regions and IPCC R10 regions</w:t>
      </w:r>
      <w:bookmarkEnd w:id="9"/>
    </w:p>
    <w:tbl>
      <w:tblPr>
        <w:tblW w:w="5000" w:type="pct"/>
        <w:tblLook w:val="04A0" w:firstRow="1" w:lastRow="0" w:firstColumn="1" w:lastColumn="0" w:noHBand="0" w:noVBand="1"/>
      </w:tblPr>
      <w:tblGrid>
        <w:gridCol w:w="3588"/>
        <w:gridCol w:w="1933"/>
        <w:gridCol w:w="5279"/>
      </w:tblGrid>
      <w:tr w:rsidR="00932BD5" w:rsidRPr="00CF1857" w14:paraId="13D0D43D" w14:textId="77777777" w:rsidTr="004B6116">
        <w:trPr>
          <w:trHeight w:val="288"/>
        </w:trPr>
        <w:tc>
          <w:tcPr>
            <w:tcW w:w="1661" w:type="pct"/>
            <w:tcBorders>
              <w:top w:val="single" w:sz="4" w:space="0" w:color="auto"/>
              <w:left w:val="nil"/>
              <w:bottom w:val="single" w:sz="4" w:space="0" w:color="auto"/>
              <w:right w:val="nil"/>
            </w:tcBorders>
            <w:shd w:val="clear" w:color="auto" w:fill="auto"/>
            <w:noWrap/>
            <w:vAlign w:val="center"/>
            <w:hideMark/>
          </w:tcPr>
          <w:p w14:paraId="17DBF66F" w14:textId="77777777" w:rsidR="00932BD5" w:rsidRPr="00CF1857" w:rsidRDefault="00932BD5" w:rsidP="004B6116">
            <w:pPr>
              <w:spacing w:after="0" w:line="240" w:lineRule="auto"/>
              <w:jc w:val="center"/>
              <w:rPr>
                <w:rFonts w:ascii="Arial" w:eastAsia="Times New Roman" w:hAnsi="Arial" w:cs="Arial"/>
                <w:color w:val="000000"/>
                <w:sz w:val="20"/>
                <w:szCs w:val="20"/>
              </w:rPr>
            </w:pPr>
            <w:r w:rsidRPr="00CF1857">
              <w:rPr>
                <w:rFonts w:ascii="Arial" w:eastAsia="Times New Roman" w:hAnsi="Arial" w:cs="Arial"/>
                <w:color w:val="000000"/>
                <w:sz w:val="20"/>
                <w:szCs w:val="20"/>
              </w:rPr>
              <w:t>GCAM region</w:t>
            </w:r>
          </w:p>
        </w:tc>
        <w:tc>
          <w:tcPr>
            <w:tcW w:w="895" w:type="pct"/>
            <w:tcBorders>
              <w:top w:val="single" w:sz="4" w:space="0" w:color="auto"/>
              <w:left w:val="nil"/>
              <w:bottom w:val="single" w:sz="4" w:space="0" w:color="auto"/>
              <w:right w:val="nil"/>
            </w:tcBorders>
            <w:shd w:val="clear" w:color="auto" w:fill="auto"/>
            <w:noWrap/>
            <w:vAlign w:val="center"/>
            <w:hideMark/>
          </w:tcPr>
          <w:p w14:paraId="6C89B393" w14:textId="77777777" w:rsidR="00932BD5" w:rsidRPr="00CF1857" w:rsidRDefault="00932BD5" w:rsidP="004B6116">
            <w:pPr>
              <w:spacing w:after="0" w:line="240" w:lineRule="auto"/>
              <w:jc w:val="center"/>
              <w:rPr>
                <w:rFonts w:ascii="Arial" w:eastAsia="Times New Roman" w:hAnsi="Arial" w:cs="Arial"/>
                <w:color w:val="000000"/>
                <w:sz w:val="20"/>
                <w:szCs w:val="20"/>
              </w:rPr>
            </w:pPr>
            <w:r w:rsidRPr="00CF1857">
              <w:rPr>
                <w:rFonts w:ascii="Arial" w:eastAsia="Times New Roman" w:hAnsi="Arial" w:cs="Arial"/>
                <w:color w:val="000000"/>
                <w:sz w:val="20"/>
                <w:szCs w:val="20"/>
              </w:rPr>
              <w:t>IPCC R10 region</w:t>
            </w:r>
          </w:p>
        </w:tc>
        <w:tc>
          <w:tcPr>
            <w:tcW w:w="2444" w:type="pct"/>
            <w:tcBorders>
              <w:top w:val="single" w:sz="4" w:space="0" w:color="auto"/>
              <w:left w:val="nil"/>
              <w:bottom w:val="single" w:sz="4" w:space="0" w:color="auto"/>
              <w:right w:val="nil"/>
            </w:tcBorders>
            <w:shd w:val="clear" w:color="auto" w:fill="auto"/>
            <w:noWrap/>
            <w:vAlign w:val="center"/>
            <w:hideMark/>
          </w:tcPr>
          <w:p w14:paraId="79BAF187" w14:textId="77777777" w:rsidR="00932BD5" w:rsidRPr="00CF1857" w:rsidRDefault="00932BD5" w:rsidP="004B6116">
            <w:pPr>
              <w:spacing w:after="0" w:line="240" w:lineRule="auto"/>
              <w:jc w:val="center"/>
              <w:rPr>
                <w:rFonts w:ascii="Arial" w:eastAsia="Times New Roman" w:hAnsi="Arial" w:cs="Arial"/>
                <w:color w:val="000000"/>
                <w:sz w:val="20"/>
                <w:szCs w:val="20"/>
              </w:rPr>
            </w:pPr>
            <w:r w:rsidRPr="00CF1857">
              <w:rPr>
                <w:rFonts w:ascii="Arial" w:eastAsia="Times New Roman" w:hAnsi="Arial" w:cs="Arial"/>
                <w:color w:val="000000"/>
                <w:sz w:val="20"/>
                <w:szCs w:val="20"/>
              </w:rPr>
              <w:t>IPCC R10 region name</w:t>
            </w:r>
          </w:p>
        </w:tc>
      </w:tr>
      <w:tr w:rsidR="00932BD5" w:rsidRPr="00CF1857" w14:paraId="058C0E61" w14:textId="77777777" w:rsidTr="004B6116">
        <w:trPr>
          <w:trHeight w:val="288"/>
        </w:trPr>
        <w:tc>
          <w:tcPr>
            <w:tcW w:w="1661" w:type="pct"/>
            <w:tcBorders>
              <w:top w:val="nil"/>
              <w:left w:val="nil"/>
              <w:bottom w:val="nil"/>
              <w:right w:val="nil"/>
            </w:tcBorders>
            <w:shd w:val="clear" w:color="auto" w:fill="E7E6E6" w:themeFill="background2"/>
            <w:noWrap/>
            <w:vAlign w:val="center"/>
            <w:hideMark/>
          </w:tcPr>
          <w:p w14:paraId="4D6AD5F1" w14:textId="77777777" w:rsidR="00932BD5" w:rsidRPr="00CF1857" w:rsidRDefault="00932BD5" w:rsidP="004B6116">
            <w:pPr>
              <w:spacing w:after="0" w:line="240" w:lineRule="auto"/>
              <w:rPr>
                <w:rFonts w:ascii="Arial" w:eastAsia="Times New Roman" w:hAnsi="Arial" w:cs="Arial"/>
                <w:color w:val="000000"/>
                <w:sz w:val="20"/>
                <w:szCs w:val="20"/>
              </w:rPr>
            </w:pPr>
            <w:proofErr w:type="spellStart"/>
            <w:r w:rsidRPr="00CF1857">
              <w:rPr>
                <w:rFonts w:ascii="Arial" w:eastAsia="Times New Roman" w:hAnsi="Arial" w:cs="Arial"/>
                <w:color w:val="000000"/>
                <w:sz w:val="20"/>
                <w:szCs w:val="20"/>
              </w:rPr>
              <w:t>Africa_Eastern</w:t>
            </w:r>
            <w:proofErr w:type="spellEnd"/>
          </w:p>
        </w:tc>
        <w:tc>
          <w:tcPr>
            <w:tcW w:w="895" w:type="pct"/>
            <w:vMerge w:val="restart"/>
            <w:tcBorders>
              <w:top w:val="nil"/>
              <w:left w:val="nil"/>
              <w:bottom w:val="nil"/>
              <w:right w:val="nil"/>
            </w:tcBorders>
            <w:shd w:val="clear" w:color="auto" w:fill="E7E6E6" w:themeFill="background2"/>
            <w:noWrap/>
            <w:vAlign w:val="center"/>
            <w:hideMark/>
          </w:tcPr>
          <w:p w14:paraId="169E57B8"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AFRICA</w:t>
            </w:r>
          </w:p>
        </w:tc>
        <w:tc>
          <w:tcPr>
            <w:tcW w:w="2444" w:type="pct"/>
            <w:vMerge w:val="restart"/>
            <w:tcBorders>
              <w:top w:val="nil"/>
              <w:left w:val="nil"/>
              <w:bottom w:val="nil"/>
              <w:right w:val="nil"/>
            </w:tcBorders>
            <w:shd w:val="clear" w:color="auto" w:fill="E7E6E6" w:themeFill="background2"/>
            <w:noWrap/>
            <w:vAlign w:val="center"/>
            <w:hideMark/>
          </w:tcPr>
          <w:p w14:paraId="5397E72A"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Countries of Sub-Saharan Africa</w:t>
            </w:r>
          </w:p>
        </w:tc>
      </w:tr>
      <w:tr w:rsidR="00932BD5" w:rsidRPr="00CF1857" w14:paraId="5154289F" w14:textId="77777777" w:rsidTr="004B6116">
        <w:trPr>
          <w:trHeight w:val="288"/>
        </w:trPr>
        <w:tc>
          <w:tcPr>
            <w:tcW w:w="1661" w:type="pct"/>
            <w:tcBorders>
              <w:top w:val="nil"/>
              <w:left w:val="nil"/>
              <w:bottom w:val="nil"/>
              <w:right w:val="nil"/>
            </w:tcBorders>
            <w:shd w:val="clear" w:color="auto" w:fill="E7E6E6" w:themeFill="background2"/>
            <w:noWrap/>
            <w:vAlign w:val="center"/>
            <w:hideMark/>
          </w:tcPr>
          <w:p w14:paraId="691043BA" w14:textId="77777777" w:rsidR="00932BD5" w:rsidRPr="00CF1857" w:rsidRDefault="00932BD5" w:rsidP="004B6116">
            <w:pPr>
              <w:spacing w:after="0" w:line="240" w:lineRule="auto"/>
              <w:rPr>
                <w:rFonts w:ascii="Arial" w:eastAsia="Times New Roman" w:hAnsi="Arial" w:cs="Arial"/>
                <w:color w:val="000000"/>
                <w:sz w:val="20"/>
                <w:szCs w:val="20"/>
              </w:rPr>
            </w:pPr>
            <w:proofErr w:type="spellStart"/>
            <w:r w:rsidRPr="00CF1857">
              <w:rPr>
                <w:rFonts w:ascii="Arial" w:eastAsia="Times New Roman" w:hAnsi="Arial" w:cs="Arial"/>
                <w:color w:val="000000"/>
                <w:sz w:val="20"/>
                <w:szCs w:val="20"/>
              </w:rPr>
              <w:t>Africa_Northern</w:t>
            </w:r>
            <w:proofErr w:type="spellEnd"/>
          </w:p>
        </w:tc>
        <w:tc>
          <w:tcPr>
            <w:tcW w:w="895" w:type="pct"/>
            <w:vMerge/>
            <w:tcBorders>
              <w:top w:val="nil"/>
              <w:left w:val="nil"/>
              <w:bottom w:val="nil"/>
              <w:right w:val="nil"/>
            </w:tcBorders>
            <w:shd w:val="clear" w:color="auto" w:fill="E7E6E6" w:themeFill="background2"/>
            <w:vAlign w:val="center"/>
            <w:hideMark/>
          </w:tcPr>
          <w:p w14:paraId="30032205" w14:textId="77777777" w:rsidR="00932BD5" w:rsidRPr="00CF1857" w:rsidRDefault="00932BD5" w:rsidP="004B6116">
            <w:pPr>
              <w:spacing w:after="0" w:line="240" w:lineRule="auto"/>
              <w:rPr>
                <w:rFonts w:ascii="Arial" w:eastAsia="Times New Roman" w:hAnsi="Arial" w:cs="Arial"/>
                <w:color w:val="000000"/>
                <w:sz w:val="20"/>
                <w:szCs w:val="20"/>
              </w:rPr>
            </w:pPr>
          </w:p>
        </w:tc>
        <w:tc>
          <w:tcPr>
            <w:tcW w:w="2444" w:type="pct"/>
            <w:vMerge/>
            <w:tcBorders>
              <w:top w:val="nil"/>
              <w:left w:val="nil"/>
              <w:bottom w:val="nil"/>
              <w:right w:val="nil"/>
            </w:tcBorders>
            <w:shd w:val="clear" w:color="auto" w:fill="E7E6E6" w:themeFill="background2"/>
            <w:vAlign w:val="center"/>
            <w:hideMark/>
          </w:tcPr>
          <w:p w14:paraId="033CDF6E" w14:textId="77777777" w:rsidR="00932BD5" w:rsidRPr="00CF1857" w:rsidRDefault="00932BD5" w:rsidP="004B6116">
            <w:pPr>
              <w:spacing w:after="0" w:line="240" w:lineRule="auto"/>
              <w:rPr>
                <w:rFonts w:ascii="Arial" w:eastAsia="Times New Roman" w:hAnsi="Arial" w:cs="Arial"/>
                <w:color w:val="000000"/>
                <w:sz w:val="20"/>
                <w:szCs w:val="20"/>
              </w:rPr>
            </w:pPr>
          </w:p>
        </w:tc>
      </w:tr>
      <w:tr w:rsidR="00932BD5" w:rsidRPr="00CF1857" w14:paraId="467F533B" w14:textId="77777777" w:rsidTr="004B6116">
        <w:trPr>
          <w:trHeight w:val="288"/>
        </w:trPr>
        <w:tc>
          <w:tcPr>
            <w:tcW w:w="1661" w:type="pct"/>
            <w:tcBorders>
              <w:top w:val="nil"/>
              <w:left w:val="nil"/>
              <w:bottom w:val="nil"/>
              <w:right w:val="nil"/>
            </w:tcBorders>
            <w:shd w:val="clear" w:color="auto" w:fill="E7E6E6" w:themeFill="background2"/>
            <w:noWrap/>
            <w:vAlign w:val="center"/>
            <w:hideMark/>
          </w:tcPr>
          <w:p w14:paraId="24A7354E" w14:textId="77777777" w:rsidR="00932BD5" w:rsidRPr="00CF1857" w:rsidRDefault="00932BD5" w:rsidP="004B6116">
            <w:pPr>
              <w:spacing w:after="0" w:line="240" w:lineRule="auto"/>
              <w:rPr>
                <w:rFonts w:ascii="Arial" w:eastAsia="Times New Roman" w:hAnsi="Arial" w:cs="Arial"/>
                <w:color w:val="000000"/>
                <w:sz w:val="20"/>
                <w:szCs w:val="20"/>
              </w:rPr>
            </w:pPr>
            <w:proofErr w:type="spellStart"/>
            <w:r w:rsidRPr="00CF1857">
              <w:rPr>
                <w:rFonts w:ascii="Arial" w:eastAsia="Times New Roman" w:hAnsi="Arial" w:cs="Arial"/>
                <w:color w:val="000000"/>
                <w:sz w:val="20"/>
                <w:szCs w:val="20"/>
              </w:rPr>
              <w:t>Africa_Southern</w:t>
            </w:r>
            <w:proofErr w:type="spellEnd"/>
          </w:p>
        </w:tc>
        <w:tc>
          <w:tcPr>
            <w:tcW w:w="895" w:type="pct"/>
            <w:vMerge/>
            <w:tcBorders>
              <w:top w:val="nil"/>
              <w:left w:val="nil"/>
              <w:bottom w:val="nil"/>
              <w:right w:val="nil"/>
            </w:tcBorders>
            <w:shd w:val="clear" w:color="auto" w:fill="E7E6E6" w:themeFill="background2"/>
            <w:vAlign w:val="center"/>
            <w:hideMark/>
          </w:tcPr>
          <w:p w14:paraId="3DB4BE23" w14:textId="77777777" w:rsidR="00932BD5" w:rsidRPr="00CF1857" w:rsidRDefault="00932BD5" w:rsidP="004B6116">
            <w:pPr>
              <w:spacing w:after="0" w:line="240" w:lineRule="auto"/>
              <w:rPr>
                <w:rFonts w:ascii="Arial" w:eastAsia="Times New Roman" w:hAnsi="Arial" w:cs="Arial"/>
                <w:color w:val="000000"/>
                <w:sz w:val="20"/>
                <w:szCs w:val="20"/>
              </w:rPr>
            </w:pPr>
          </w:p>
        </w:tc>
        <w:tc>
          <w:tcPr>
            <w:tcW w:w="2444" w:type="pct"/>
            <w:vMerge/>
            <w:tcBorders>
              <w:top w:val="nil"/>
              <w:left w:val="nil"/>
              <w:bottom w:val="nil"/>
              <w:right w:val="nil"/>
            </w:tcBorders>
            <w:shd w:val="clear" w:color="auto" w:fill="E7E6E6" w:themeFill="background2"/>
            <w:vAlign w:val="center"/>
            <w:hideMark/>
          </w:tcPr>
          <w:p w14:paraId="59EF2585" w14:textId="77777777" w:rsidR="00932BD5" w:rsidRPr="00CF1857" w:rsidRDefault="00932BD5" w:rsidP="004B6116">
            <w:pPr>
              <w:spacing w:after="0" w:line="240" w:lineRule="auto"/>
              <w:rPr>
                <w:rFonts w:ascii="Arial" w:eastAsia="Times New Roman" w:hAnsi="Arial" w:cs="Arial"/>
                <w:color w:val="000000"/>
                <w:sz w:val="20"/>
                <w:szCs w:val="20"/>
              </w:rPr>
            </w:pPr>
          </w:p>
        </w:tc>
      </w:tr>
      <w:tr w:rsidR="00932BD5" w:rsidRPr="00CF1857" w14:paraId="59D5D4C3" w14:textId="77777777" w:rsidTr="004B6116">
        <w:trPr>
          <w:trHeight w:val="288"/>
        </w:trPr>
        <w:tc>
          <w:tcPr>
            <w:tcW w:w="1661" w:type="pct"/>
            <w:tcBorders>
              <w:top w:val="nil"/>
              <w:left w:val="nil"/>
              <w:bottom w:val="nil"/>
              <w:right w:val="nil"/>
            </w:tcBorders>
            <w:shd w:val="clear" w:color="auto" w:fill="E7E6E6" w:themeFill="background2"/>
            <w:noWrap/>
            <w:vAlign w:val="center"/>
            <w:hideMark/>
          </w:tcPr>
          <w:p w14:paraId="1DA8D833" w14:textId="77777777" w:rsidR="00932BD5" w:rsidRPr="00CF1857" w:rsidRDefault="00932BD5" w:rsidP="004B6116">
            <w:pPr>
              <w:spacing w:after="0" w:line="240" w:lineRule="auto"/>
              <w:rPr>
                <w:rFonts w:ascii="Arial" w:eastAsia="Times New Roman" w:hAnsi="Arial" w:cs="Arial"/>
                <w:color w:val="000000"/>
                <w:sz w:val="20"/>
                <w:szCs w:val="20"/>
              </w:rPr>
            </w:pPr>
            <w:proofErr w:type="spellStart"/>
            <w:r w:rsidRPr="00CF1857">
              <w:rPr>
                <w:rFonts w:ascii="Arial" w:eastAsia="Times New Roman" w:hAnsi="Arial" w:cs="Arial"/>
                <w:color w:val="000000"/>
                <w:sz w:val="20"/>
                <w:szCs w:val="20"/>
              </w:rPr>
              <w:t>Africa_Western</w:t>
            </w:r>
            <w:proofErr w:type="spellEnd"/>
          </w:p>
        </w:tc>
        <w:tc>
          <w:tcPr>
            <w:tcW w:w="895" w:type="pct"/>
            <w:vMerge/>
            <w:tcBorders>
              <w:top w:val="nil"/>
              <w:left w:val="nil"/>
              <w:bottom w:val="nil"/>
              <w:right w:val="nil"/>
            </w:tcBorders>
            <w:shd w:val="clear" w:color="auto" w:fill="E7E6E6" w:themeFill="background2"/>
            <w:vAlign w:val="center"/>
            <w:hideMark/>
          </w:tcPr>
          <w:p w14:paraId="717AE73A" w14:textId="77777777" w:rsidR="00932BD5" w:rsidRPr="00CF1857" w:rsidRDefault="00932BD5" w:rsidP="004B6116">
            <w:pPr>
              <w:spacing w:after="0" w:line="240" w:lineRule="auto"/>
              <w:rPr>
                <w:rFonts w:ascii="Arial" w:eastAsia="Times New Roman" w:hAnsi="Arial" w:cs="Arial"/>
                <w:color w:val="000000"/>
                <w:sz w:val="20"/>
                <w:szCs w:val="20"/>
              </w:rPr>
            </w:pPr>
          </w:p>
        </w:tc>
        <w:tc>
          <w:tcPr>
            <w:tcW w:w="2444" w:type="pct"/>
            <w:vMerge/>
            <w:tcBorders>
              <w:top w:val="nil"/>
              <w:left w:val="nil"/>
              <w:bottom w:val="nil"/>
              <w:right w:val="nil"/>
            </w:tcBorders>
            <w:shd w:val="clear" w:color="auto" w:fill="E7E6E6" w:themeFill="background2"/>
            <w:vAlign w:val="center"/>
            <w:hideMark/>
          </w:tcPr>
          <w:p w14:paraId="13059FF2" w14:textId="77777777" w:rsidR="00932BD5" w:rsidRPr="00CF1857" w:rsidRDefault="00932BD5" w:rsidP="004B6116">
            <w:pPr>
              <w:spacing w:after="0" w:line="240" w:lineRule="auto"/>
              <w:rPr>
                <w:rFonts w:ascii="Arial" w:eastAsia="Times New Roman" w:hAnsi="Arial" w:cs="Arial"/>
                <w:color w:val="000000"/>
                <w:sz w:val="20"/>
                <w:szCs w:val="20"/>
              </w:rPr>
            </w:pPr>
          </w:p>
        </w:tc>
      </w:tr>
      <w:tr w:rsidR="00932BD5" w:rsidRPr="00CF1857" w14:paraId="717AB818" w14:textId="77777777" w:rsidTr="004B6116">
        <w:trPr>
          <w:trHeight w:val="288"/>
        </w:trPr>
        <w:tc>
          <w:tcPr>
            <w:tcW w:w="1661" w:type="pct"/>
            <w:tcBorders>
              <w:top w:val="nil"/>
              <w:left w:val="nil"/>
              <w:bottom w:val="nil"/>
              <w:right w:val="nil"/>
            </w:tcBorders>
            <w:shd w:val="clear" w:color="auto" w:fill="E7E6E6" w:themeFill="background2"/>
            <w:noWrap/>
            <w:vAlign w:val="center"/>
            <w:hideMark/>
          </w:tcPr>
          <w:p w14:paraId="7B503279"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South Africa</w:t>
            </w:r>
          </w:p>
        </w:tc>
        <w:tc>
          <w:tcPr>
            <w:tcW w:w="895" w:type="pct"/>
            <w:vMerge/>
            <w:tcBorders>
              <w:top w:val="nil"/>
              <w:left w:val="nil"/>
              <w:bottom w:val="nil"/>
              <w:right w:val="nil"/>
            </w:tcBorders>
            <w:shd w:val="clear" w:color="auto" w:fill="E7E6E6" w:themeFill="background2"/>
            <w:vAlign w:val="center"/>
            <w:hideMark/>
          </w:tcPr>
          <w:p w14:paraId="4EAD52E7" w14:textId="77777777" w:rsidR="00932BD5" w:rsidRPr="00CF1857" w:rsidRDefault="00932BD5" w:rsidP="004B6116">
            <w:pPr>
              <w:spacing w:after="0" w:line="240" w:lineRule="auto"/>
              <w:rPr>
                <w:rFonts w:ascii="Arial" w:eastAsia="Times New Roman" w:hAnsi="Arial" w:cs="Arial"/>
                <w:color w:val="000000"/>
                <w:sz w:val="20"/>
                <w:szCs w:val="20"/>
              </w:rPr>
            </w:pPr>
          </w:p>
        </w:tc>
        <w:tc>
          <w:tcPr>
            <w:tcW w:w="2444" w:type="pct"/>
            <w:vMerge/>
            <w:tcBorders>
              <w:top w:val="nil"/>
              <w:left w:val="nil"/>
              <w:bottom w:val="nil"/>
              <w:right w:val="nil"/>
            </w:tcBorders>
            <w:shd w:val="clear" w:color="auto" w:fill="E7E6E6" w:themeFill="background2"/>
            <w:vAlign w:val="center"/>
            <w:hideMark/>
          </w:tcPr>
          <w:p w14:paraId="6A524700" w14:textId="77777777" w:rsidR="00932BD5" w:rsidRPr="00CF1857" w:rsidRDefault="00932BD5" w:rsidP="004B6116">
            <w:pPr>
              <w:spacing w:after="0" w:line="240" w:lineRule="auto"/>
              <w:rPr>
                <w:rFonts w:ascii="Arial" w:eastAsia="Times New Roman" w:hAnsi="Arial" w:cs="Arial"/>
                <w:color w:val="000000"/>
                <w:sz w:val="20"/>
                <w:szCs w:val="20"/>
              </w:rPr>
            </w:pPr>
          </w:p>
        </w:tc>
      </w:tr>
      <w:tr w:rsidR="00932BD5" w:rsidRPr="00CF1857" w14:paraId="500BEF34" w14:textId="77777777" w:rsidTr="004B6116">
        <w:trPr>
          <w:trHeight w:val="288"/>
        </w:trPr>
        <w:tc>
          <w:tcPr>
            <w:tcW w:w="1661" w:type="pct"/>
            <w:tcBorders>
              <w:top w:val="nil"/>
              <w:left w:val="nil"/>
              <w:bottom w:val="nil"/>
              <w:right w:val="nil"/>
            </w:tcBorders>
            <w:shd w:val="clear" w:color="auto" w:fill="auto"/>
            <w:noWrap/>
            <w:vAlign w:val="center"/>
            <w:hideMark/>
          </w:tcPr>
          <w:p w14:paraId="0BF55C8B"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China</w:t>
            </w:r>
          </w:p>
        </w:tc>
        <w:tc>
          <w:tcPr>
            <w:tcW w:w="895" w:type="pct"/>
            <w:vMerge w:val="restart"/>
            <w:tcBorders>
              <w:top w:val="nil"/>
              <w:left w:val="nil"/>
              <w:bottom w:val="nil"/>
              <w:right w:val="nil"/>
            </w:tcBorders>
            <w:shd w:val="clear" w:color="auto" w:fill="auto"/>
            <w:noWrap/>
            <w:vAlign w:val="center"/>
            <w:hideMark/>
          </w:tcPr>
          <w:p w14:paraId="5EEC02A8"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CHINA+</w:t>
            </w:r>
          </w:p>
        </w:tc>
        <w:tc>
          <w:tcPr>
            <w:tcW w:w="2444" w:type="pct"/>
            <w:vMerge w:val="restart"/>
            <w:tcBorders>
              <w:top w:val="nil"/>
              <w:left w:val="nil"/>
              <w:bottom w:val="nil"/>
              <w:right w:val="nil"/>
            </w:tcBorders>
            <w:shd w:val="clear" w:color="auto" w:fill="auto"/>
            <w:noWrap/>
            <w:vAlign w:val="center"/>
            <w:hideMark/>
          </w:tcPr>
          <w:p w14:paraId="1F2ECFC9"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 xml:space="preserve">Countries of centrally-planned Asia; </w:t>
            </w:r>
          </w:p>
          <w:p w14:paraId="61E602F2"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primarily China</w:t>
            </w:r>
          </w:p>
        </w:tc>
      </w:tr>
      <w:tr w:rsidR="00932BD5" w:rsidRPr="00CF1857" w14:paraId="491B2C93" w14:textId="77777777" w:rsidTr="004B6116">
        <w:trPr>
          <w:trHeight w:val="288"/>
        </w:trPr>
        <w:tc>
          <w:tcPr>
            <w:tcW w:w="1661" w:type="pct"/>
            <w:tcBorders>
              <w:top w:val="nil"/>
              <w:left w:val="nil"/>
              <w:bottom w:val="nil"/>
              <w:right w:val="nil"/>
            </w:tcBorders>
            <w:shd w:val="clear" w:color="auto" w:fill="auto"/>
            <w:noWrap/>
            <w:vAlign w:val="center"/>
            <w:hideMark/>
          </w:tcPr>
          <w:p w14:paraId="74E4904E"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Taiwan</w:t>
            </w:r>
          </w:p>
        </w:tc>
        <w:tc>
          <w:tcPr>
            <w:tcW w:w="895" w:type="pct"/>
            <w:vMerge/>
            <w:tcBorders>
              <w:top w:val="nil"/>
              <w:left w:val="nil"/>
              <w:bottom w:val="nil"/>
              <w:right w:val="nil"/>
            </w:tcBorders>
            <w:vAlign w:val="center"/>
            <w:hideMark/>
          </w:tcPr>
          <w:p w14:paraId="7F80E82F" w14:textId="77777777" w:rsidR="00932BD5" w:rsidRPr="00CF1857" w:rsidRDefault="00932BD5" w:rsidP="004B6116">
            <w:pPr>
              <w:spacing w:after="0" w:line="240" w:lineRule="auto"/>
              <w:rPr>
                <w:rFonts w:ascii="Arial" w:eastAsia="Times New Roman" w:hAnsi="Arial" w:cs="Arial"/>
                <w:color w:val="000000"/>
                <w:sz w:val="20"/>
                <w:szCs w:val="20"/>
              </w:rPr>
            </w:pPr>
          </w:p>
        </w:tc>
        <w:tc>
          <w:tcPr>
            <w:tcW w:w="2444" w:type="pct"/>
            <w:vMerge/>
            <w:tcBorders>
              <w:top w:val="nil"/>
              <w:left w:val="nil"/>
              <w:bottom w:val="nil"/>
              <w:right w:val="nil"/>
            </w:tcBorders>
            <w:vAlign w:val="center"/>
            <w:hideMark/>
          </w:tcPr>
          <w:p w14:paraId="0F5849FD" w14:textId="77777777" w:rsidR="00932BD5" w:rsidRPr="00CF1857" w:rsidRDefault="00932BD5" w:rsidP="004B6116">
            <w:pPr>
              <w:spacing w:after="0" w:line="240" w:lineRule="auto"/>
              <w:rPr>
                <w:rFonts w:ascii="Arial" w:eastAsia="Times New Roman" w:hAnsi="Arial" w:cs="Arial"/>
                <w:color w:val="000000"/>
                <w:sz w:val="20"/>
                <w:szCs w:val="20"/>
              </w:rPr>
            </w:pPr>
          </w:p>
        </w:tc>
      </w:tr>
      <w:tr w:rsidR="00932BD5" w:rsidRPr="00CF1857" w14:paraId="05A3A0B6" w14:textId="77777777" w:rsidTr="004B6116">
        <w:trPr>
          <w:trHeight w:val="288"/>
        </w:trPr>
        <w:tc>
          <w:tcPr>
            <w:tcW w:w="1661" w:type="pct"/>
            <w:tcBorders>
              <w:top w:val="nil"/>
              <w:left w:val="nil"/>
              <w:bottom w:val="nil"/>
              <w:right w:val="nil"/>
            </w:tcBorders>
            <w:shd w:val="clear" w:color="auto" w:fill="E7E6E6" w:themeFill="background2"/>
            <w:noWrap/>
            <w:vAlign w:val="center"/>
            <w:hideMark/>
          </w:tcPr>
          <w:p w14:paraId="3289F00D"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EU-12</w:t>
            </w:r>
          </w:p>
        </w:tc>
        <w:tc>
          <w:tcPr>
            <w:tcW w:w="895" w:type="pct"/>
            <w:vMerge w:val="restart"/>
            <w:tcBorders>
              <w:top w:val="nil"/>
              <w:left w:val="nil"/>
              <w:bottom w:val="nil"/>
              <w:right w:val="nil"/>
            </w:tcBorders>
            <w:shd w:val="clear" w:color="auto" w:fill="E7E6E6" w:themeFill="background2"/>
            <w:noWrap/>
            <w:vAlign w:val="center"/>
            <w:hideMark/>
          </w:tcPr>
          <w:p w14:paraId="70CAE4BB"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EUROPE</w:t>
            </w:r>
          </w:p>
        </w:tc>
        <w:tc>
          <w:tcPr>
            <w:tcW w:w="2444" w:type="pct"/>
            <w:vMerge w:val="restart"/>
            <w:tcBorders>
              <w:top w:val="nil"/>
              <w:left w:val="nil"/>
              <w:bottom w:val="nil"/>
              <w:right w:val="nil"/>
            </w:tcBorders>
            <w:shd w:val="clear" w:color="auto" w:fill="E7E6E6" w:themeFill="background2"/>
            <w:noWrap/>
            <w:vAlign w:val="center"/>
            <w:hideMark/>
          </w:tcPr>
          <w:p w14:paraId="32B5DB1C"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Eastern and Western Europe (i.e., the EU28)</w:t>
            </w:r>
          </w:p>
        </w:tc>
      </w:tr>
      <w:tr w:rsidR="00932BD5" w:rsidRPr="00CF1857" w14:paraId="2FE6E123" w14:textId="77777777" w:rsidTr="004B6116">
        <w:trPr>
          <w:trHeight w:val="288"/>
        </w:trPr>
        <w:tc>
          <w:tcPr>
            <w:tcW w:w="1661" w:type="pct"/>
            <w:tcBorders>
              <w:top w:val="nil"/>
              <w:left w:val="nil"/>
              <w:bottom w:val="nil"/>
              <w:right w:val="nil"/>
            </w:tcBorders>
            <w:shd w:val="clear" w:color="auto" w:fill="E7E6E6" w:themeFill="background2"/>
            <w:noWrap/>
            <w:vAlign w:val="center"/>
            <w:hideMark/>
          </w:tcPr>
          <w:p w14:paraId="715909EE"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EU-15</w:t>
            </w:r>
          </w:p>
        </w:tc>
        <w:tc>
          <w:tcPr>
            <w:tcW w:w="895" w:type="pct"/>
            <w:vMerge/>
            <w:tcBorders>
              <w:top w:val="nil"/>
              <w:left w:val="nil"/>
              <w:bottom w:val="nil"/>
              <w:right w:val="nil"/>
            </w:tcBorders>
            <w:vAlign w:val="center"/>
            <w:hideMark/>
          </w:tcPr>
          <w:p w14:paraId="7FDEE8EB" w14:textId="77777777" w:rsidR="00932BD5" w:rsidRPr="00CF1857" w:rsidRDefault="00932BD5" w:rsidP="004B6116">
            <w:pPr>
              <w:spacing w:after="0" w:line="240" w:lineRule="auto"/>
              <w:rPr>
                <w:rFonts w:ascii="Arial" w:eastAsia="Times New Roman" w:hAnsi="Arial" w:cs="Arial"/>
                <w:color w:val="000000"/>
                <w:sz w:val="20"/>
                <w:szCs w:val="20"/>
              </w:rPr>
            </w:pPr>
          </w:p>
        </w:tc>
        <w:tc>
          <w:tcPr>
            <w:tcW w:w="2444" w:type="pct"/>
            <w:vMerge/>
            <w:tcBorders>
              <w:top w:val="nil"/>
              <w:left w:val="nil"/>
              <w:bottom w:val="nil"/>
              <w:right w:val="nil"/>
            </w:tcBorders>
            <w:vAlign w:val="center"/>
            <w:hideMark/>
          </w:tcPr>
          <w:p w14:paraId="259A6A25" w14:textId="77777777" w:rsidR="00932BD5" w:rsidRPr="00CF1857" w:rsidRDefault="00932BD5" w:rsidP="004B6116">
            <w:pPr>
              <w:spacing w:after="0" w:line="240" w:lineRule="auto"/>
              <w:rPr>
                <w:rFonts w:ascii="Arial" w:eastAsia="Times New Roman" w:hAnsi="Arial" w:cs="Arial"/>
                <w:color w:val="000000"/>
                <w:sz w:val="20"/>
                <w:szCs w:val="20"/>
              </w:rPr>
            </w:pPr>
          </w:p>
        </w:tc>
      </w:tr>
      <w:tr w:rsidR="00932BD5" w:rsidRPr="00CF1857" w14:paraId="50601C39" w14:textId="77777777" w:rsidTr="004B6116">
        <w:trPr>
          <w:trHeight w:val="288"/>
        </w:trPr>
        <w:tc>
          <w:tcPr>
            <w:tcW w:w="1661" w:type="pct"/>
            <w:tcBorders>
              <w:top w:val="nil"/>
              <w:left w:val="nil"/>
              <w:bottom w:val="nil"/>
              <w:right w:val="nil"/>
            </w:tcBorders>
            <w:shd w:val="clear" w:color="auto" w:fill="E7E6E6" w:themeFill="background2"/>
            <w:noWrap/>
            <w:vAlign w:val="center"/>
            <w:hideMark/>
          </w:tcPr>
          <w:p w14:paraId="4757D16F" w14:textId="77777777" w:rsidR="00932BD5" w:rsidRPr="00CF1857" w:rsidRDefault="00932BD5" w:rsidP="004B6116">
            <w:pPr>
              <w:spacing w:after="0" w:line="240" w:lineRule="auto"/>
              <w:rPr>
                <w:rFonts w:ascii="Arial" w:eastAsia="Times New Roman" w:hAnsi="Arial" w:cs="Arial"/>
                <w:color w:val="000000"/>
                <w:sz w:val="20"/>
                <w:szCs w:val="20"/>
              </w:rPr>
            </w:pPr>
            <w:proofErr w:type="spellStart"/>
            <w:r w:rsidRPr="00CF1857">
              <w:rPr>
                <w:rFonts w:ascii="Arial" w:eastAsia="Times New Roman" w:hAnsi="Arial" w:cs="Arial"/>
                <w:color w:val="000000"/>
                <w:sz w:val="20"/>
                <w:szCs w:val="20"/>
              </w:rPr>
              <w:t>Europe_Eastern</w:t>
            </w:r>
            <w:proofErr w:type="spellEnd"/>
          </w:p>
        </w:tc>
        <w:tc>
          <w:tcPr>
            <w:tcW w:w="895" w:type="pct"/>
            <w:vMerge/>
            <w:tcBorders>
              <w:top w:val="nil"/>
              <w:left w:val="nil"/>
              <w:bottom w:val="nil"/>
              <w:right w:val="nil"/>
            </w:tcBorders>
            <w:vAlign w:val="center"/>
            <w:hideMark/>
          </w:tcPr>
          <w:p w14:paraId="0F0A6160" w14:textId="77777777" w:rsidR="00932BD5" w:rsidRPr="00CF1857" w:rsidRDefault="00932BD5" w:rsidP="004B6116">
            <w:pPr>
              <w:spacing w:after="0" w:line="240" w:lineRule="auto"/>
              <w:rPr>
                <w:rFonts w:ascii="Arial" w:eastAsia="Times New Roman" w:hAnsi="Arial" w:cs="Arial"/>
                <w:color w:val="000000"/>
                <w:sz w:val="20"/>
                <w:szCs w:val="20"/>
              </w:rPr>
            </w:pPr>
          </w:p>
        </w:tc>
        <w:tc>
          <w:tcPr>
            <w:tcW w:w="2444" w:type="pct"/>
            <w:vMerge/>
            <w:tcBorders>
              <w:top w:val="nil"/>
              <w:left w:val="nil"/>
              <w:bottom w:val="nil"/>
              <w:right w:val="nil"/>
            </w:tcBorders>
            <w:vAlign w:val="center"/>
            <w:hideMark/>
          </w:tcPr>
          <w:p w14:paraId="1C464F62" w14:textId="77777777" w:rsidR="00932BD5" w:rsidRPr="00CF1857" w:rsidRDefault="00932BD5" w:rsidP="004B6116">
            <w:pPr>
              <w:spacing w:after="0" w:line="240" w:lineRule="auto"/>
              <w:rPr>
                <w:rFonts w:ascii="Arial" w:eastAsia="Times New Roman" w:hAnsi="Arial" w:cs="Arial"/>
                <w:color w:val="000000"/>
                <w:sz w:val="20"/>
                <w:szCs w:val="20"/>
              </w:rPr>
            </w:pPr>
          </w:p>
        </w:tc>
      </w:tr>
      <w:tr w:rsidR="00932BD5" w:rsidRPr="00CF1857" w14:paraId="33AD5D49" w14:textId="77777777" w:rsidTr="004B6116">
        <w:trPr>
          <w:trHeight w:val="288"/>
        </w:trPr>
        <w:tc>
          <w:tcPr>
            <w:tcW w:w="1661" w:type="pct"/>
            <w:tcBorders>
              <w:top w:val="nil"/>
              <w:left w:val="nil"/>
              <w:bottom w:val="nil"/>
              <w:right w:val="nil"/>
            </w:tcBorders>
            <w:shd w:val="clear" w:color="auto" w:fill="E7E6E6" w:themeFill="background2"/>
            <w:noWrap/>
            <w:vAlign w:val="center"/>
            <w:hideMark/>
          </w:tcPr>
          <w:p w14:paraId="12278456" w14:textId="77777777" w:rsidR="00932BD5" w:rsidRPr="00CF1857" w:rsidRDefault="00932BD5" w:rsidP="004B6116">
            <w:pPr>
              <w:spacing w:after="0" w:line="240" w:lineRule="auto"/>
              <w:rPr>
                <w:rFonts w:ascii="Arial" w:eastAsia="Times New Roman" w:hAnsi="Arial" w:cs="Arial"/>
                <w:color w:val="000000"/>
                <w:sz w:val="20"/>
                <w:szCs w:val="20"/>
              </w:rPr>
            </w:pPr>
            <w:proofErr w:type="spellStart"/>
            <w:r w:rsidRPr="00CF1857">
              <w:rPr>
                <w:rFonts w:ascii="Arial" w:eastAsia="Times New Roman" w:hAnsi="Arial" w:cs="Arial"/>
                <w:color w:val="000000"/>
                <w:sz w:val="20"/>
                <w:szCs w:val="20"/>
              </w:rPr>
              <w:t>Europe_Non_EU</w:t>
            </w:r>
            <w:proofErr w:type="spellEnd"/>
          </w:p>
        </w:tc>
        <w:tc>
          <w:tcPr>
            <w:tcW w:w="895" w:type="pct"/>
            <w:vMerge/>
            <w:tcBorders>
              <w:top w:val="nil"/>
              <w:left w:val="nil"/>
              <w:bottom w:val="nil"/>
              <w:right w:val="nil"/>
            </w:tcBorders>
            <w:vAlign w:val="center"/>
            <w:hideMark/>
          </w:tcPr>
          <w:p w14:paraId="110C919D" w14:textId="77777777" w:rsidR="00932BD5" w:rsidRPr="00CF1857" w:rsidRDefault="00932BD5" w:rsidP="004B6116">
            <w:pPr>
              <w:spacing w:after="0" w:line="240" w:lineRule="auto"/>
              <w:rPr>
                <w:rFonts w:ascii="Arial" w:eastAsia="Times New Roman" w:hAnsi="Arial" w:cs="Arial"/>
                <w:color w:val="000000"/>
                <w:sz w:val="20"/>
                <w:szCs w:val="20"/>
              </w:rPr>
            </w:pPr>
          </w:p>
        </w:tc>
        <w:tc>
          <w:tcPr>
            <w:tcW w:w="2444" w:type="pct"/>
            <w:vMerge/>
            <w:tcBorders>
              <w:top w:val="nil"/>
              <w:left w:val="nil"/>
              <w:bottom w:val="nil"/>
              <w:right w:val="nil"/>
            </w:tcBorders>
            <w:vAlign w:val="center"/>
            <w:hideMark/>
          </w:tcPr>
          <w:p w14:paraId="2A3AFA9F" w14:textId="77777777" w:rsidR="00932BD5" w:rsidRPr="00CF1857" w:rsidRDefault="00932BD5" w:rsidP="004B6116">
            <w:pPr>
              <w:spacing w:after="0" w:line="240" w:lineRule="auto"/>
              <w:rPr>
                <w:rFonts w:ascii="Arial" w:eastAsia="Times New Roman" w:hAnsi="Arial" w:cs="Arial"/>
                <w:color w:val="000000"/>
                <w:sz w:val="20"/>
                <w:szCs w:val="20"/>
              </w:rPr>
            </w:pPr>
          </w:p>
        </w:tc>
      </w:tr>
      <w:tr w:rsidR="00932BD5" w:rsidRPr="00CF1857" w14:paraId="73CF2292" w14:textId="77777777" w:rsidTr="004B6116">
        <w:trPr>
          <w:trHeight w:val="288"/>
        </w:trPr>
        <w:tc>
          <w:tcPr>
            <w:tcW w:w="1661" w:type="pct"/>
            <w:tcBorders>
              <w:top w:val="nil"/>
              <w:left w:val="nil"/>
              <w:bottom w:val="nil"/>
              <w:right w:val="nil"/>
            </w:tcBorders>
            <w:shd w:val="clear" w:color="auto" w:fill="E7E6E6" w:themeFill="background2"/>
            <w:noWrap/>
            <w:vAlign w:val="center"/>
            <w:hideMark/>
          </w:tcPr>
          <w:p w14:paraId="1CE083DA"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European Free Trade Association</w:t>
            </w:r>
          </w:p>
        </w:tc>
        <w:tc>
          <w:tcPr>
            <w:tcW w:w="895" w:type="pct"/>
            <w:vMerge/>
            <w:tcBorders>
              <w:top w:val="nil"/>
              <w:left w:val="nil"/>
              <w:bottom w:val="nil"/>
              <w:right w:val="nil"/>
            </w:tcBorders>
            <w:vAlign w:val="center"/>
            <w:hideMark/>
          </w:tcPr>
          <w:p w14:paraId="6C2EFCDD" w14:textId="77777777" w:rsidR="00932BD5" w:rsidRPr="00CF1857" w:rsidRDefault="00932BD5" w:rsidP="004B6116">
            <w:pPr>
              <w:spacing w:after="0" w:line="240" w:lineRule="auto"/>
              <w:rPr>
                <w:rFonts w:ascii="Arial" w:eastAsia="Times New Roman" w:hAnsi="Arial" w:cs="Arial"/>
                <w:color w:val="000000"/>
                <w:sz w:val="20"/>
                <w:szCs w:val="20"/>
              </w:rPr>
            </w:pPr>
          </w:p>
        </w:tc>
        <w:tc>
          <w:tcPr>
            <w:tcW w:w="2444" w:type="pct"/>
            <w:vMerge/>
            <w:tcBorders>
              <w:top w:val="nil"/>
              <w:left w:val="nil"/>
              <w:bottom w:val="nil"/>
              <w:right w:val="nil"/>
            </w:tcBorders>
            <w:vAlign w:val="center"/>
            <w:hideMark/>
          </w:tcPr>
          <w:p w14:paraId="61A78CBD" w14:textId="77777777" w:rsidR="00932BD5" w:rsidRPr="00CF1857" w:rsidRDefault="00932BD5" w:rsidP="004B6116">
            <w:pPr>
              <w:spacing w:after="0" w:line="240" w:lineRule="auto"/>
              <w:rPr>
                <w:rFonts w:ascii="Arial" w:eastAsia="Times New Roman" w:hAnsi="Arial" w:cs="Arial"/>
                <w:color w:val="000000"/>
                <w:sz w:val="20"/>
                <w:szCs w:val="20"/>
              </w:rPr>
            </w:pPr>
          </w:p>
        </w:tc>
      </w:tr>
      <w:tr w:rsidR="00932BD5" w:rsidRPr="00CF1857" w14:paraId="4526D13E" w14:textId="77777777" w:rsidTr="004B6116">
        <w:trPr>
          <w:trHeight w:val="288"/>
        </w:trPr>
        <w:tc>
          <w:tcPr>
            <w:tcW w:w="1661" w:type="pct"/>
            <w:tcBorders>
              <w:top w:val="nil"/>
              <w:left w:val="nil"/>
              <w:bottom w:val="nil"/>
              <w:right w:val="nil"/>
            </w:tcBorders>
            <w:shd w:val="clear" w:color="auto" w:fill="auto"/>
            <w:noWrap/>
            <w:vAlign w:val="center"/>
            <w:hideMark/>
          </w:tcPr>
          <w:p w14:paraId="6C6E3B2A"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India</w:t>
            </w:r>
          </w:p>
        </w:tc>
        <w:tc>
          <w:tcPr>
            <w:tcW w:w="895" w:type="pct"/>
            <w:vMerge w:val="restart"/>
            <w:tcBorders>
              <w:top w:val="nil"/>
              <w:left w:val="nil"/>
              <w:bottom w:val="nil"/>
              <w:right w:val="nil"/>
            </w:tcBorders>
            <w:shd w:val="clear" w:color="auto" w:fill="auto"/>
            <w:noWrap/>
            <w:vAlign w:val="center"/>
            <w:hideMark/>
          </w:tcPr>
          <w:p w14:paraId="5BE0AB79"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INDIA+</w:t>
            </w:r>
          </w:p>
        </w:tc>
        <w:tc>
          <w:tcPr>
            <w:tcW w:w="2444" w:type="pct"/>
            <w:vMerge w:val="restart"/>
            <w:tcBorders>
              <w:top w:val="nil"/>
              <w:left w:val="nil"/>
              <w:bottom w:val="nil"/>
              <w:right w:val="nil"/>
            </w:tcBorders>
            <w:shd w:val="clear" w:color="auto" w:fill="auto"/>
            <w:noWrap/>
            <w:vAlign w:val="center"/>
            <w:hideMark/>
          </w:tcPr>
          <w:p w14:paraId="551F2C7A"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 xml:space="preserve">Countries of South Asia; </w:t>
            </w:r>
          </w:p>
          <w:p w14:paraId="27FA3743"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primarily India</w:t>
            </w:r>
          </w:p>
        </w:tc>
      </w:tr>
      <w:tr w:rsidR="00932BD5" w:rsidRPr="00CF1857" w14:paraId="34C26A7E" w14:textId="77777777" w:rsidTr="004B6116">
        <w:trPr>
          <w:trHeight w:val="288"/>
        </w:trPr>
        <w:tc>
          <w:tcPr>
            <w:tcW w:w="1661" w:type="pct"/>
            <w:tcBorders>
              <w:top w:val="nil"/>
              <w:left w:val="nil"/>
              <w:bottom w:val="nil"/>
              <w:right w:val="nil"/>
            </w:tcBorders>
            <w:shd w:val="clear" w:color="auto" w:fill="auto"/>
            <w:noWrap/>
            <w:vAlign w:val="center"/>
            <w:hideMark/>
          </w:tcPr>
          <w:p w14:paraId="7D36116F"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South Asia</w:t>
            </w:r>
          </w:p>
        </w:tc>
        <w:tc>
          <w:tcPr>
            <w:tcW w:w="895" w:type="pct"/>
            <w:vMerge/>
            <w:tcBorders>
              <w:top w:val="nil"/>
              <w:left w:val="nil"/>
              <w:bottom w:val="nil"/>
              <w:right w:val="nil"/>
            </w:tcBorders>
            <w:vAlign w:val="center"/>
            <w:hideMark/>
          </w:tcPr>
          <w:p w14:paraId="1E47CE54" w14:textId="77777777" w:rsidR="00932BD5" w:rsidRPr="00CF1857" w:rsidRDefault="00932BD5" w:rsidP="004B6116">
            <w:pPr>
              <w:spacing w:after="0" w:line="240" w:lineRule="auto"/>
              <w:rPr>
                <w:rFonts w:ascii="Arial" w:eastAsia="Times New Roman" w:hAnsi="Arial" w:cs="Arial"/>
                <w:color w:val="000000"/>
                <w:sz w:val="20"/>
                <w:szCs w:val="20"/>
              </w:rPr>
            </w:pPr>
          </w:p>
        </w:tc>
        <w:tc>
          <w:tcPr>
            <w:tcW w:w="2444" w:type="pct"/>
            <w:vMerge/>
            <w:tcBorders>
              <w:top w:val="nil"/>
              <w:left w:val="nil"/>
              <w:bottom w:val="nil"/>
              <w:right w:val="nil"/>
            </w:tcBorders>
            <w:vAlign w:val="center"/>
            <w:hideMark/>
          </w:tcPr>
          <w:p w14:paraId="43C341DC" w14:textId="77777777" w:rsidR="00932BD5" w:rsidRPr="00CF1857" w:rsidRDefault="00932BD5" w:rsidP="004B6116">
            <w:pPr>
              <w:spacing w:after="0" w:line="240" w:lineRule="auto"/>
              <w:rPr>
                <w:rFonts w:ascii="Arial" w:eastAsia="Times New Roman" w:hAnsi="Arial" w:cs="Arial"/>
                <w:color w:val="000000"/>
                <w:sz w:val="20"/>
                <w:szCs w:val="20"/>
              </w:rPr>
            </w:pPr>
          </w:p>
        </w:tc>
      </w:tr>
      <w:tr w:rsidR="00932BD5" w:rsidRPr="00CF1857" w14:paraId="75B13CDD" w14:textId="77777777" w:rsidTr="004B6116">
        <w:trPr>
          <w:trHeight w:val="288"/>
        </w:trPr>
        <w:tc>
          <w:tcPr>
            <w:tcW w:w="1661" w:type="pct"/>
            <w:tcBorders>
              <w:top w:val="nil"/>
              <w:left w:val="nil"/>
              <w:bottom w:val="nil"/>
              <w:right w:val="nil"/>
            </w:tcBorders>
            <w:shd w:val="clear" w:color="auto" w:fill="E7E6E6" w:themeFill="background2"/>
            <w:noWrap/>
            <w:vAlign w:val="center"/>
            <w:hideMark/>
          </w:tcPr>
          <w:p w14:paraId="217C27E3"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Argentina</w:t>
            </w:r>
          </w:p>
        </w:tc>
        <w:tc>
          <w:tcPr>
            <w:tcW w:w="895" w:type="pct"/>
            <w:vMerge w:val="restart"/>
            <w:tcBorders>
              <w:top w:val="nil"/>
              <w:left w:val="nil"/>
              <w:bottom w:val="nil"/>
              <w:right w:val="nil"/>
            </w:tcBorders>
            <w:shd w:val="clear" w:color="auto" w:fill="E7E6E6" w:themeFill="background2"/>
            <w:noWrap/>
            <w:vAlign w:val="center"/>
            <w:hideMark/>
          </w:tcPr>
          <w:p w14:paraId="3312E736"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LATIN_AM</w:t>
            </w:r>
          </w:p>
        </w:tc>
        <w:tc>
          <w:tcPr>
            <w:tcW w:w="2444" w:type="pct"/>
            <w:vMerge w:val="restart"/>
            <w:tcBorders>
              <w:top w:val="nil"/>
              <w:left w:val="nil"/>
              <w:bottom w:val="nil"/>
              <w:right w:val="nil"/>
            </w:tcBorders>
            <w:shd w:val="clear" w:color="auto" w:fill="E7E6E6" w:themeFill="background2"/>
            <w:noWrap/>
            <w:vAlign w:val="center"/>
            <w:hideMark/>
          </w:tcPr>
          <w:p w14:paraId="773CE1D9"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Countries of Latin America and the Caribbean</w:t>
            </w:r>
          </w:p>
        </w:tc>
      </w:tr>
      <w:tr w:rsidR="00932BD5" w:rsidRPr="00CF1857" w14:paraId="50C1D4E1" w14:textId="77777777" w:rsidTr="004B6116">
        <w:trPr>
          <w:trHeight w:val="288"/>
        </w:trPr>
        <w:tc>
          <w:tcPr>
            <w:tcW w:w="1661" w:type="pct"/>
            <w:tcBorders>
              <w:top w:val="nil"/>
              <w:left w:val="nil"/>
              <w:bottom w:val="nil"/>
              <w:right w:val="nil"/>
            </w:tcBorders>
            <w:shd w:val="clear" w:color="auto" w:fill="E7E6E6" w:themeFill="background2"/>
            <w:noWrap/>
            <w:vAlign w:val="center"/>
            <w:hideMark/>
          </w:tcPr>
          <w:p w14:paraId="2B78CE04"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Brazil</w:t>
            </w:r>
          </w:p>
        </w:tc>
        <w:tc>
          <w:tcPr>
            <w:tcW w:w="895" w:type="pct"/>
            <w:vMerge/>
            <w:tcBorders>
              <w:top w:val="nil"/>
              <w:left w:val="nil"/>
              <w:bottom w:val="nil"/>
              <w:right w:val="nil"/>
            </w:tcBorders>
            <w:shd w:val="clear" w:color="auto" w:fill="E7E6E6" w:themeFill="background2"/>
            <w:vAlign w:val="center"/>
            <w:hideMark/>
          </w:tcPr>
          <w:p w14:paraId="5484404D" w14:textId="77777777" w:rsidR="00932BD5" w:rsidRPr="00CF1857" w:rsidRDefault="00932BD5" w:rsidP="004B6116">
            <w:pPr>
              <w:spacing w:after="0" w:line="240" w:lineRule="auto"/>
              <w:rPr>
                <w:rFonts w:ascii="Arial" w:eastAsia="Times New Roman" w:hAnsi="Arial" w:cs="Arial"/>
                <w:color w:val="000000"/>
                <w:sz w:val="20"/>
                <w:szCs w:val="20"/>
              </w:rPr>
            </w:pPr>
          </w:p>
        </w:tc>
        <w:tc>
          <w:tcPr>
            <w:tcW w:w="2444" w:type="pct"/>
            <w:vMerge/>
            <w:tcBorders>
              <w:top w:val="nil"/>
              <w:left w:val="nil"/>
              <w:bottom w:val="nil"/>
              <w:right w:val="nil"/>
            </w:tcBorders>
            <w:shd w:val="clear" w:color="auto" w:fill="E7E6E6" w:themeFill="background2"/>
            <w:vAlign w:val="center"/>
            <w:hideMark/>
          </w:tcPr>
          <w:p w14:paraId="70A3A36F" w14:textId="77777777" w:rsidR="00932BD5" w:rsidRPr="00CF1857" w:rsidRDefault="00932BD5" w:rsidP="004B6116">
            <w:pPr>
              <w:spacing w:after="0" w:line="240" w:lineRule="auto"/>
              <w:rPr>
                <w:rFonts w:ascii="Arial" w:eastAsia="Times New Roman" w:hAnsi="Arial" w:cs="Arial"/>
                <w:color w:val="000000"/>
                <w:sz w:val="20"/>
                <w:szCs w:val="20"/>
              </w:rPr>
            </w:pPr>
          </w:p>
        </w:tc>
      </w:tr>
      <w:tr w:rsidR="00932BD5" w:rsidRPr="00CF1857" w14:paraId="11D45E3E" w14:textId="77777777" w:rsidTr="004B6116">
        <w:trPr>
          <w:trHeight w:val="288"/>
        </w:trPr>
        <w:tc>
          <w:tcPr>
            <w:tcW w:w="1661" w:type="pct"/>
            <w:tcBorders>
              <w:top w:val="nil"/>
              <w:left w:val="nil"/>
              <w:bottom w:val="nil"/>
              <w:right w:val="nil"/>
            </w:tcBorders>
            <w:shd w:val="clear" w:color="auto" w:fill="E7E6E6" w:themeFill="background2"/>
            <w:noWrap/>
            <w:vAlign w:val="center"/>
            <w:hideMark/>
          </w:tcPr>
          <w:p w14:paraId="3710A9CF"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Central America and Caribbean</w:t>
            </w:r>
          </w:p>
        </w:tc>
        <w:tc>
          <w:tcPr>
            <w:tcW w:w="895" w:type="pct"/>
            <w:vMerge/>
            <w:tcBorders>
              <w:top w:val="nil"/>
              <w:left w:val="nil"/>
              <w:bottom w:val="nil"/>
              <w:right w:val="nil"/>
            </w:tcBorders>
            <w:shd w:val="clear" w:color="auto" w:fill="E7E6E6" w:themeFill="background2"/>
            <w:vAlign w:val="center"/>
            <w:hideMark/>
          </w:tcPr>
          <w:p w14:paraId="154F3D86" w14:textId="77777777" w:rsidR="00932BD5" w:rsidRPr="00CF1857" w:rsidRDefault="00932BD5" w:rsidP="004B6116">
            <w:pPr>
              <w:spacing w:after="0" w:line="240" w:lineRule="auto"/>
              <w:rPr>
                <w:rFonts w:ascii="Arial" w:eastAsia="Times New Roman" w:hAnsi="Arial" w:cs="Arial"/>
                <w:color w:val="000000"/>
                <w:sz w:val="20"/>
                <w:szCs w:val="20"/>
              </w:rPr>
            </w:pPr>
          </w:p>
        </w:tc>
        <w:tc>
          <w:tcPr>
            <w:tcW w:w="2444" w:type="pct"/>
            <w:vMerge/>
            <w:tcBorders>
              <w:top w:val="nil"/>
              <w:left w:val="nil"/>
              <w:bottom w:val="nil"/>
              <w:right w:val="nil"/>
            </w:tcBorders>
            <w:shd w:val="clear" w:color="auto" w:fill="E7E6E6" w:themeFill="background2"/>
            <w:vAlign w:val="center"/>
            <w:hideMark/>
          </w:tcPr>
          <w:p w14:paraId="1BF7F08F" w14:textId="77777777" w:rsidR="00932BD5" w:rsidRPr="00CF1857" w:rsidRDefault="00932BD5" w:rsidP="004B6116">
            <w:pPr>
              <w:spacing w:after="0" w:line="240" w:lineRule="auto"/>
              <w:rPr>
                <w:rFonts w:ascii="Arial" w:eastAsia="Times New Roman" w:hAnsi="Arial" w:cs="Arial"/>
                <w:color w:val="000000"/>
                <w:sz w:val="20"/>
                <w:szCs w:val="20"/>
              </w:rPr>
            </w:pPr>
          </w:p>
        </w:tc>
      </w:tr>
      <w:tr w:rsidR="00932BD5" w:rsidRPr="00CF1857" w14:paraId="24FD7FC9" w14:textId="77777777" w:rsidTr="004B6116">
        <w:trPr>
          <w:trHeight w:val="288"/>
        </w:trPr>
        <w:tc>
          <w:tcPr>
            <w:tcW w:w="1661" w:type="pct"/>
            <w:tcBorders>
              <w:top w:val="nil"/>
              <w:left w:val="nil"/>
              <w:bottom w:val="nil"/>
              <w:right w:val="nil"/>
            </w:tcBorders>
            <w:shd w:val="clear" w:color="auto" w:fill="E7E6E6" w:themeFill="background2"/>
            <w:noWrap/>
            <w:vAlign w:val="center"/>
            <w:hideMark/>
          </w:tcPr>
          <w:p w14:paraId="1B301E28"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Colombia</w:t>
            </w:r>
          </w:p>
        </w:tc>
        <w:tc>
          <w:tcPr>
            <w:tcW w:w="895" w:type="pct"/>
            <w:vMerge/>
            <w:tcBorders>
              <w:top w:val="nil"/>
              <w:left w:val="nil"/>
              <w:bottom w:val="nil"/>
              <w:right w:val="nil"/>
            </w:tcBorders>
            <w:shd w:val="clear" w:color="auto" w:fill="E7E6E6" w:themeFill="background2"/>
            <w:vAlign w:val="center"/>
            <w:hideMark/>
          </w:tcPr>
          <w:p w14:paraId="2001AFC3" w14:textId="77777777" w:rsidR="00932BD5" w:rsidRPr="00CF1857" w:rsidRDefault="00932BD5" w:rsidP="004B6116">
            <w:pPr>
              <w:spacing w:after="0" w:line="240" w:lineRule="auto"/>
              <w:rPr>
                <w:rFonts w:ascii="Arial" w:eastAsia="Times New Roman" w:hAnsi="Arial" w:cs="Arial"/>
                <w:color w:val="000000"/>
                <w:sz w:val="20"/>
                <w:szCs w:val="20"/>
              </w:rPr>
            </w:pPr>
          </w:p>
        </w:tc>
        <w:tc>
          <w:tcPr>
            <w:tcW w:w="2444" w:type="pct"/>
            <w:vMerge/>
            <w:tcBorders>
              <w:top w:val="nil"/>
              <w:left w:val="nil"/>
              <w:bottom w:val="nil"/>
              <w:right w:val="nil"/>
            </w:tcBorders>
            <w:shd w:val="clear" w:color="auto" w:fill="E7E6E6" w:themeFill="background2"/>
            <w:vAlign w:val="center"/>
            <w:hideMark/>
          </w:tcPr>
          <w:p w14:paraId="7BC08D66" w14:textId="77777777" w:rsidR="00932BD5" w:rsidRPr="00CF1857" w:rsidRDefault="00932BD5" w:rsidP="004B6116">
            <w:pPr>
              <w:spacing w:after="0" w:line="240" w:lineRule="auto"/>
              <w:rPr>
                <w:rFonts w:ascii="Arial" w:eastAsia="Times New Roman" w:hAnsi="Arial" w:cs="Arial"/>
                <w:color w:val="000000"/>
                <w:sz w:val="20"/>
                <w:szCs w:val="20"/>
              </w:rPr>
            </w:pPr>
          </w:p>
        </w:tc>
      </w:tr>
      <w:tr w:rsidR="00932BD5" w:rsidRPr="00CF1857" w14:paraId="17D111D0" w14:textId="77777777" w:rsidTr="004B6116">
        <w:trPr>
          <w:trHeight w:val="288"/>
        </w:trPr>
        <w:tc>
          <w:tcPr>
            <w:tcW w:w="1661" w:type="pct"/>
            <w:tcBorders>
              <w:top w:val="nil"/>
              <w:left w:val="nil"/>
              <w:bottom w:val="nil"/>
              <w:right w:val="nil"/>
            </w:tcBorders>
            <w:shd w:val="clear" w:color="auto" w:fill="E7E6E6" w:themeFill="background2"/>
            <w:noWrap/>
            <w:vAlign w:val="center"/>
            <w:hideMark/>
          </w:tcPr>
          <w:p w14:paraId="2C1C1411"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Mexico</w:t>
            </w:r>
          </w:p>
        </w:tc>
        <w:tc>
          <w:tcPr>
            <w:tcW w:w="895" w:type="pct"/>
            <w:vMerge/>
            <w:tcBorders>
              <w:top w:val="nil"/>
              <w:left w:val="nil"/>
              <w:bottom w:val="nil"/>
              <w:right w:val="nil"/>
            </w:tcBorders>
            <w:shd w:val="clear" w:color="auto" w:fill="E7E6E6" w:themeFill="background2"/>
            <w:vAlign w:val="center"/>
            <w:hideMark/>
          </w:tcPr>
          <w:p w14:paraId="4C3AA60B" w14:textId="77777777" w:rsidR="00932BD5" w:rsidRPr="00CF1857" w:rsidRDefault="00932BD5" w:rsidP="004B6116">
            <w:pPr>
              <w:spacing w:after="0" w:line="240" w:lineRule="auto"/>
              <w:rPr>
                <w:rFonts w:ascii="Arial" w:eastAsia="Times New Roman" w:hAnsi="Arial" w:cs="Arial"/>
                <w:color w:val="000000"/>
                <w:sz w:val="20"/>
                <w:szCs w:val="20"/>
              </w:rPr>
            </w:pPr>
          </w:p>
        </w:tc>
        <w:tc>
          <w:tcPr>
            <w:tcW w:w="2444" w:type="pct"/>
            <w:vMerge/>
            <w:tcBorders>
              <w:top w:val="nil"/>
              <w:left w:val="nil"/>
              <w:bottom w:val="nil"/>
              <w:right w:val="nil"/>
            </w:tcBorders>
            <w:shd w:val="clear" w:color="auto" w:fill="E7E6E6" w:themeFill="background2"/>
            <w:vAlign w:val="center"/>
            <w:hideMark/>
          </w:tcPr>
          <w:p w14:paraId="0100D3FC" w14:textId="77777777" w:rsidR="00932BD5" w:rsidRPr="00CF1857" w:rsidRDefault="00932BD5" w:rsidP="004B6116">
            <w:pPr>
              <w:spacing w:after="0" w:line="240" w:lineRule="auto"/>
              <w:rPr>
                <w:rFonts w:ascii="Arial" w:eastAsia="Times New Roman" w:hAnsi="Arial" w:cs="Arial"/>
                <w:color w:val="000000"/>
                <w:sz w:val="20"/>
                <w:szCs w:val="20"/>
              </w:rPr>
            </w:pPr>
          </w:p>
        </w:tc>
      </w:tr>
      <w:tr w:rsidR="00932BD5" w:rsidRPr="00CF1857" w14:paraId="6FB028BB" w14:textId="77777777" w:rsidTr="004B6116">
        <w:trPr>
          <w:trHeight w:val="288"/>
        </w:trPr>
        <w:tc>
          <w:tcPr>
            <w:tcW w:w="1661" w:type="pct"/>
            <w:tcBorders>
              <w:top w:val="nil"/>
              <w:left w:val="nil"/>
              <w:bottom w:val="nil"/>
              <w:right w:val="nil"/>
            </w:tcBorders>
            <w:shd w:val="clear" w:color="auto" w:fill="E7E6E6" w:themeFill="background2"/>
            <w:noWrap/>
            <w:vAlign w:val="center"/>
            <w:hideMark/>
          </w:tcPr>
          <w:p w14:paraId="4AA512EF"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 xml:space="preserve">South </w:t>
            </w:r>
            <w:proofErr w:type="spellStart"/>
            <w:r w:rsidRPr="00CF1857">
              <w:rPr>
                <w:rFonts w:ascii="Arial" w:eastAsia="Times New Roman" w:hAnsi="Arial" w:cs="Arial"/>
                <w:color w:val="000000"/>
                <w:sz w:val="20"/>
                <w:szCs w:val="20"/>
              </w:rPr>
              <w:t>America_Northern</w:t>
            </w:r>
            <w:proofErr w:type="spellEnd"/>
          </w:p>
        </w:tc>
        <w:tc>
          <w:tcPr>
            <w:tcW w:w="895" w:type="pct"/>
            <w:vMerge/>
            <w:tcBorders>
              <w:top w:val="nil"/>
              <w:left w:val="nil"/>
              <w:bottom w:val="nil"/>
              <w:right w:val="nil"/>
            </w:tcBorders>
            <w:shd w:val="clear" w:color="auto" w:fill="E7E6E6" w:themeFill="background2"/>
            <w:vAlign w:val="center"/>
            <w:hideMark/>
          </w:tcPr>
          <w:p w14:paraId="39D42CE9" w14:textId="77777777" w:rsidR="00932BD5" w:rsidRPr="00CF1857" w:rsidRDefault="00932BD5" w:rsidP="004B6116">
            <w:pPr>
              <w:spacing w:after="0" w:line="240" w:lineRule="auto"/>
              <w:rPr>
                <w:rFonts w:ascii="Arial" w:eastAsia="Times New Roman" w:hAnsi="Arial" w:cs="Arial"/>
                <w:color w:val="000000"/>
                <w:sz w:val="20"/>
                <w:szCs w:val="20"/>
              </w:rPr>
            </w:pPr>
          </w:p>
        </w:tc>
        <w:tc>
          <w:tcPr>
            <w:tcW w:w="2444" w:type="pct"/>
            <w:vMerge/>
            <w:tcBorders>
              <w:top w:val="nil"/>
              <w:left w:val="nil"/>
              <w:bottom w:val="nil"/>
              <w:right w:val="nil"/>
            </w:tcBorders>
            <w:shd w:val="clear" w:color="auto" w:fill="E7E6E6" w:themeFill="background2"/>
            <w:vAlign w:val="center"/>
            <w:hideMark/>
          </w:tcPr>
          <w:p w14:paraId="1BCBACC8" w14:textId="77777777" w:rsidR="00932BD5" w:rsidRPr="00CF1857" w:rsidRDefault="00932BD5" w:rsidP="004B6116">
            <w:pPr>
              <w:spacing w:after="0" w:line="240" w:lineRule="auto"/>
              <w:rPr>
                <w:rFonts w:ascii="Arial" w:eastAsia="Times New Roman" w:hAnsi="Arial" w:cs="Arial"/>
                <w:color w:val="000000"/>
                <w:sz w:val="20"/>
                <w:szCs w:val="20"/>
              </w:rPr>
            </w:pPr>
          </w:p>
        </w:tc>
      </w:tr>
      <w:tr w:rsidR="00932BD5" w:rsidRPr="00CF1857" w14:paraId="061E4F31" w14:textId="77777777" w:rsidTr="004B6116">
        <w:trPr>
          <w:trHeight w:val="288"/>
        </w:trPr>
        <w:tc>
          <w:tcPr>
            <w:tcW w:w="1661" w:type="pct"/>
            <w:tcBorders>
              <w:top w:val="nil"/>
              <w:left w:val="nil"/>
              <w:bottom w:val="nil"/>
              <w:right w:val="nil"/>
            </w:tcBorders>
            <w:shd w:val="clear" w:color="auto" w:fill="E7E6E6" w:themeFill="background2"/>
            <w:noWrap/>
            <w:vAlign w:val="center"/>
            <w:hideMark/>
          </w:tcPr>
          <w:p w14:paraId="541770FD"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 xml:space="preserve">South </w:t>
            </w:r>
            <w:proofErr w:type="spellStart"/>
            <w:r w:rsidRPr="00CF1857">
              <w:rPr>
                <w:rFonts w:ascii="Arial" w:eastAsia="Times New Roman" w:hAnsi="Arial" w:cs="Arial"/>
                <w:color w:val="000000"/>
                <w:sz w:val="20"/>
                <w:szCs w:val="20"/>
              </w:rPr>
              <w:t>America_Southern</w:t>
            </w:r>
            <w:proofErr w:type="spellEnd"/>
          </w:p>
        </w:tc>
        <w:tc>
          <w:tcPr>
            <w:tcW w:w="895" w:type="pct"/>
            <w:vMerge/>
            <w:tcBorders>
              <w:top w:val="nil"/>
              <w:left w:val="nil"/>
              <w:bottom w:val="nil"/>
              <w:right w:val="nil"/>
            </w:tcBorders>
            <w:shd w:val="clear" w:color="auto" w:fill="E7E6E6" w:themeFill="background2"/>
            <w:vAlign w:val="center"/>
            <w:hideMark/>
          </w:tcPr>
          <w:p w14:paraId="225678D9" w14:textId="77777777" w:rsidR="00932BD5" w:rsidRPr="00CF1857" w:rsidRDefault="00932BD5" w:rsidP="004B6116">
            <w:pPr>
              <w:spacing w:after="0" w:line="240" w:lineRule="auto"/>
              <w:rPr>
                <w:rFonts w:ascii="Arial" w:eastAsia="Times New Roman" w:hAnsi="Arial" w:cs="Arial"/>
                <w:color w:val="000000"/>
                <w:sz w:val="20"/>
                <w:szCs w:val="20"/>
              </w:rPr>
            </w:pPr>
          </w:p>
        </w:tc>
        <w:tc>
          <w:tcPr>
            <w:tcW w:w="2444" w:type="pct"/>
            <w:vMerge/>
            <w:tcBorders>
              <w:top w:val="nil"/>
              <w:left w:val="nil"/>
              <w:bottom w:val="nil"/>
              <w:right w:val="nil"/>
            </w:tcBorders>
            <w:shd w:val="clear" w:color="auto" w:fill="E7E6E6" w:themeFill="background2"/>
            <w:vAlign w:val="center"/>
            <w:hideMark/>
          </w:tcPr>
          <w:p w14:paraId="6A66D5A0" w14:textId="77777777" w:rsidR="00932BD5" w:rsidRPr="00CF1857" w:rsidRDefault="00932BD5" w:rsidP="004B6116">
            <w:pPr>
              <w:spacing w:after="0" w:line="240" w:lineRule="auto"/>
              <w:rPr>
                <w:rFonts w:ascii="Arial" w:eastAsia="Times New Roman" w:hAnsi="Arial" w:cs="Arial"/>
                <w:color w:val="000000"/>
                <w:sz w:val="20"/>
                <w:szCs w:val="20"/>
              </w:rPr>
            </w:pPr>
          </w:p>
        </w:tc>
      </w:tr>
      <w:tr w:rsidR="00932BD5" w:rsidRPr="00CF1857" w14:paraId="68E9DAED" w14:textId="77777777" w:rsidTr="004B6116">
        <w:trPr>
          <w:trHeight w:val="288"/>
        </w:trPr>
        <w:tc>
          <w:tcPr>
            <w:tcW w:w="1661" w:type="pct"/>
            <w:tcBorders>
              <w:top w:val="nil"/>
              <w:left w:val="nil"/>
              <w:bottom w:val="nil"/>
              <w:right w:val="nil"/>
            </w:tcBorders>
            <w:shd w:val="clear" w:color="auto" w:fill="auto"/>
            <w:noWrap/>
            <w:vAlign w:val="center"/>
            <w:hideMark/>
          </w:tcPr>
          <w:p w14:paraId="53D0CC23"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Middle East</w:t>
            </w:r>
          </w:p>
        </w:tc>
        <w:tc>
          <w:tcPr>
            <w:tcW w:w="895" w:type="pct"/>
            <w:tcBorders>
              <w:top w:val="nil"/>
              <w:left w:val="nil"/>
              <w:bottom w:val="nil"/>
              <w:right w:val="nil"/>
            </w:tcBorders>
            <w:shd w:val="clear" w:color="auto" w:fill="auto"/>
            <w:noWrap/>
            <w:vAlign w:val="center"/>
            <w:hideMark/>
          </w:tcPr>
          <w:p w14:paraId="0C34438B"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MIDDLE_EAST</w:t>
            </w:r>
          </w:p>
        </w:tc>
        <w:tc>
          <w:tcPr>
            <w:tcW w:w="2444" w:type="pct"/>
            <w:tcBorders>
              <w:top w:val="nil"/>
              <w:left w:val="nil"/>
              <w:bottom w:val="nil"/>
              <w:right w:val="nil"/>
            </w:tcBorders>
            <w:shd w:val="clear" w:color="auto" w:fill="auto"/>
            <w:noWrap/>
            <w:vAlign w:val="center"/>
            <w:hideMark/>
          </w:tcPr>
          <w:p w14:paraId="4C0FE364"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 xml:space="preserve">Countries of the Middle East; </w:t>
            </w:r>
          </w:p>
          <w:p w14:paraId="18936080"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Iran, Iraq, Israel, Saudi Arabia, Qatar, etc.</w:t>
            </w:r>
          </w:p>
        </w:tc>
      </w:tr>
      <w:tr w:rsidR="00932BD5" w:rsidRPr="00CF1857" w14:paraId="03B5FD14" w14:textId="77777777" w:rsidTr="004B6116">
        <w:trPr>
          <w:trHeight w:val="288"/>
        </w:trPr>
        <w:tc>
          <w:tcPr>
            <w:tcW w:w="1661" w:type="pct"/>
            <w:tcBorders>
              <w:top w:val="nil"/>
              <w:left w:val="nil"/>
              <w:bottom w:val="nil"/>
              <w:right w:val="nil"/>
            </w:tcBorders>
            <w:shd w:val="clear" w:color="auto" w:fill="E7E6E6" w:themeFill="background2"/>
            <w:noWrap/>
            <w:vAlign w:val="center"/>
            <w:hideMark/>
          </w:tcPr>
          <w:p w14:paraId="6E809A6D"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Canada</w:t>
            </w:r>
          </w:p>
        </w:tc>
        <w:tc>
          <w:tcPr>
            <w:tcW w:w="895" w:type="pct"/>
            <w:vMerge w:val="restart"/>
            <w:tcBorders>
              <w:top w:val="nil"/>
              <w:left w:val="nil"/>
              <w:bottom w:val="nil"/>
              <w:right w:val="nil"/>
            </w:tcBorders>
            <w:shd w:val="clear" w:color="auto" w:fill="E7E6E6" w:themeFill="background2"/>
            <w:noWrap/>
            <w:vAlign w:val="center"/>
            <w:hideMark/>
          </w:tcPr>
          <w:p w14:paraId="56B129C1"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NORTH_AM</w:t>
            </w:r>
          </w:p>
        </w:tc>
        <w:tc>
          <w:tcPr>
            <w:tcW w:w="2444" w:type="pct"/>
            <w:vMerge w:val="restart"/>
            <w:tcBorders>
              <w:top w:val="nil"/>
              <w:left w:val="nil"/>
              <w:bottom w:val="nil"/>
              <w:right w:val="nil"/>
            </w:tcBorders>
            <w:shd w:val="clear" w:color="auto" w:fill="E7E6E6" w:themeFill="background2"/>
            <w:noWrap/>
            <w:vAlign w:val="center"/>
            <w:hideMark/>
          </w:tcPr>
          <w:p w14:paraId="659BA927"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 xml:space="preserve">North America; </w:t>
            </w:r>
          </w:p>
          <w:p w14:paraId="1FB5276B"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primarily the United States of America and Canada</w:t>
            </w:r>
          </w:p>
        </w:tc>
      </w:tr>
      <w:tr w:rsidR="00932BD5" w:rsidRPr="00CF1857" w14:paraId="49C1D63D" w14:textId="77777777" w:rsidTr="004B6116">
        <w:trPr>
          <w:trHeight w:val="288"/>
        </w:trPr>
        <w:tc>
          <w:tcPr>
            <w:tcW w:w="1661" w:type="pct"/>
            <w:tcBorders>
              <w:top w:val="nil"/>
              <w:left w:val="nil"/>
              <w:bottom w:val="nil"/>
              <w:right w:val="nil"/>
            </w:tcBorders>
            <w:shd w:val="clear" w:color="auto" w:fill="E7E6E6" w:themeFill="background2"/>
            <w:noWrap/>
            <w:vAlign w:val="center"/>
            <w:hideMark/>
          </w:tcPr>
          <w:p w14:paraId="77BAAD7F"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USA</w:t>
            </w:r>
          </w:p>
        </w:tc>
        <w:tc>
          <w:tcPr>
            <w:tcW w:w="895" w:type="pct"/>
            <w:vMerge/>
            <w:tcBorders>
              <w:top w:val="nil"/>
              <w:left w:val="nil"/>
              <w:bottom w:val="nil"/>
              <w:right w:val="nil"/>
            </w:tcBorders>
            <w:shd w:val="clear" w:color="auto" w:fill="E7E6E6" w:themeFill="background2"/>
            <w:vAlign w:val="center"/>
            <w:hideMark/>
          </w:tcPr>
          <w:p w14:paraId="4F9EDB0B" w14:textId="77777777" w:rsidR="00932BD5" w:rsidRPr="00CF1857" w:rsidRDefault="00932BD5" w:rsidP="004B6116">
            <w:pPr>
              <w:spacing w:after="0" w:line="240" w:lineRule="auto"/>
              <w:rPr>
                <w:rFonts w:ascii="Arial" w:eastAsia="Times New Roman" w:hAnsi="Arial" w:cs="Arial"/>
                <w:color w:val="000000"/>
                <w:sz w:val="20"/>
                <w:szCs w:val="20"/>
              </w:rPr>
            </w:pPr>
          </w:p>
        </w:tc>
        <w:tc>
          <w:tcPr>
            <w:tcW w:w="2444" w:type="pct"/>
            <w:vMerge/>
            <w:tcBorders>
              <w:top w:val="nil"/>
              <w:left w:val="nil"/>
              <w:bottom w:val="nil"/>
              <w:right w:val="nil"/>
            </w:tcBorders>
            <w:shd w:val="clear" w:color="auto" w:fill="E7E6E6" w:themeFill="background2"/>
            <w:vAlign w:val="center"/>
            <w:hideMark/>
          </w:tcPr>
          <w:p w14:paraId="1C462338" w14:textId="77777777" w:rsidR="00932BD5" w:rsidRPr="00CF1857" w:rsidRDefault="00932BD5" w:rsidP="004B6116">
            <w:pPr>
              <w:spacing w:after="0" w:line="240" w:lineRule="auto"/>
              <w:rPr>
                <w:rFonts w:ascii="Arial" w:eastAsia="Times New Roman" w:hAnsi="Arial" w:cs="Arial"/>
                <w:color w:val="000000"/>
                <w:sz w:val="20"/>
                <w:szCs w:val="20"/>
              </w:rPr>
            </w:pPr>
          </w:p>
        </w:tc>
      </w:tr>
      <w:tr w:rsidR="00932BD5" w:rsidRPr="00CF1857" w14:paraId="5537EFAC" w14:textId="77777777" w:rsidTr="004B6116">
        <w:trPr>
          <w:trHeight w:val="288"/>
        </w:trPr>
        <w:tc>
          <w:tcPr>
            <w:tcW w:w="1661" w:type="pct"/>
            <w:tcBorders>
              <w:top w:val="nil"/>
              <w:left w:val="nil"/>
              <w:bottom w:val="nil"/>
              <w:right w:val="nil"/>
            </w:tcBorders>
            <w:shd w:val="clear" w:color="auto" w:fill="auto"/>
            <w:noWrap/>
            <w:vAlign w:val="center"/>
            <w:hideMark/>
          </w:tcPr>
          <w:p w14:paraId="2C44B329" w14:textId="77777777" w:rsidR="00932BD5" w:rsidRPr="00CF1857" w:rsidRDefault="00932BD5" w:rsidP="004B6116">
            <w:pPr>
              <w:spacing w:after="0" w:line="240" w:lineRule="auto"/>
              <w:rPr>
                <w:rFonts w:ascii="Arial" w:eastAsia="Times New Roman" w:hAnsi="Arial" w:cs="Arial"/>
                <w:color w:val="000000"/>
                <w:sz w:val="20"/>
                <w:szCs w:val="20"/>
              </w:rPr>
            </w:pPr>
            <w:proofErr w:type="spellStart"/>
            <w:r w:rsidRPr="00CF1857">
              <w:rPr>
                <w:rFonts w:ascii="Arial" w:eastAsia="Times New Roman" w:hAnsi="Arial" w:cs="Arial"/>
                <w:color w:val="000000"/>
                <w:sz w:val="20"/>
                <w:szCs w:val="20"/>
              </w:rPr>
              <w:t>Australia_NZ</w:t>
            </w:r>
            <w:proofErr w:type="spellEnd"/>
          </w:p>
        </w:tc>
        <w:tc>
          <w:tcPr>
            <w:tcW w:w="895" w:type="pct"/>
            <w:vMerge w:val="restart"/>
            <w:tcBorders>
              <w:top w:val="nil"/>
              <w:left w:val="nil"/>
              <w:bottom w:val="nil"/>
              <w:right w:val="nil"/>
            </w:tcBorders>
            <w:shd w:val="clear" w:color="auto" w:fill="auto"/>
            <w:noWrap/>
            <w:vAlign w:val="center"/>
            <w:hideMark/>
          </w:tcPr>
          <w:p w14:paraId="6299ECEE"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PAC_OECD</w:t>
            </w:r>
          </w:p>
        </w:tc>
        <w:tc>
          <w:tcPr>
            <w:tcW w:w="2444" w:type="pct"/>
            <w:vMerge w:val="restart"/>
            <w:tcBorders>
              <w:top w:val="nil"/>
              <w:left w:val="nil"/>
              <w:bottom w:val="nil"/>
              <w:right w:val="nil"/>
            </w:tcBorders>
            <w:shd w:val="clear" w:color="auto" w:fill="auto"/>
            <w:noWrap/>
            <w:vAlign w:val="center"/>
            <w:hideMark/>
          </w:tcPr>
          <w:p w14:paraId="462359C7"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Pacific OECD</w:t>
            </w:r>
          </w:p>
        </w:tc>
      </w:tr>
      <w:tr w:rsidR="00932BD5" w:rsidRPr="00CF1857" w14:paraId="185DE47B" w14:textId="77777777" w:rsidTr="004B6116">
        <w:trPr>
          <w:trHeight w:val="288"/>
        </w:trPr>
        <w:tc>
          <w:tcPr>
            <w:tcW w:w="1661" w:type="pct"/>
            <w:tcBorders>
              <w:top w:val="nil"/>
              <w:left w:val="nil"/>
              <w:bottom w:val="nil"/>
              <w:right w:val="nil"/>
            </w:tcBorders>
            <w:shd w:val="clear" w:color="auto" w:fill="auto"/>
            <w:noWrap/>
            <w:vAlign w:val="center"/>
            <w:hideMark/>
          </w:tcPr>
          <w:p w14:paraId="5DF28528"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Japan</w:t>
            </w:r>
          </w:p>
        </w:tc>
        <w:tc>
          <w:tcPr>
            <w:tcW w:w="895" w:type="pct"/>
            <w:vMerge/>
            <w:tcBorders>
              <w:top w:val="nil"/>
              <w:left w:val="nil"/>
              <w:bottom w:val="nil"/>
              <w:right w:val="nil"/>
            </w:tcBorders>
            <w:vAlign w:val="center"/>
            <w:hideMark/>
          </w:tcPr>
          <w:p w14:paraId="3BEB2A0C" w14:textId="77777777" w:rsidR="00932BD5" w:rsidRPr="00CF1857" w:rsidRDefault="00932BD5" w:rsidP="004B6116">
            <w:pPr>
              <w:spacing w:after="0" w:line="240" w:lineRule="auto"/>
              <w:rPr>
                <w:rFonts w:ascii="Arial" w:eastAsia="Times New Roman" w:hAnsi="Arial" w:cs="Arial"/>
                <w:color w:val="000000"/>
                <w:sz w:val="20"/>
                <w:szCs w:val="20"/>
              </w:rPr>
            </w:pPr>
          </w:p>
        </w:tc>
        <w:tc>
          <w:tcPr>
            <w:tcW w:w="2444" w:type="pct"/>
            <w:vMerge/>
            <w:tcBorders>
              <w:top w:val="nil"/>
              <w:left w:val="nil"/>
              <w:bottom w:val="nil"/>
              <w:right w:val="nil"/>
            </w:tcBorders>
            <w:vAlign w:val="center"/>
            <w:hideMark/>
          </w:tcPr>
          <w:p w14:paraId="47B8D205" w14:textId="77777777" w:rsidR="00932BD5" w:rsidRPr="00CF1857" w:rsidRDefault="00932BD5" w:rsidP="004B6116">
            <w:pPr>
              <w:spacing w:after="0" w:line="240" w:lineRule="auto"/>
              <w:rPr>
                <w:rFonts w:ascii="Arial" w:eastAsia="Times New Roman" w:hAnsi="Arial" w:cs="Arial"/>
                <w:color w:val="000000"/>
                <w:sz w:val="20"/>
                <w:szCs w:val="20"/>
              </w:rPr>
            </w:pPr>
          </w:p>
        </w:tc>
      </w:tr>
      <w:tr w:rsidR="00932BD5" w:rsidRPr="00CF1857" w14:paraId="1D7D03EA" w14:textId="77777777" w:rsidTr="004B6116">
        <w:trPr>
          <w:trHeight w:val="288"/>
        </w:trPr>
        <w:tc>
          <w:tcPr>
            <w:tcW w:w="1661" w:type="pct"/>
            <w:tcBorders>
              <w:top w:val="nil"/>
              <w:left w:val="nil"/>
              <w:bottom w:val="nil"/>
              <w:right w:val="nil"/>
            </w:tcBorders>
            <w:shd w:val="clear" w:color="auto" w:fill="auto"/>
            <w:noWrap/>
            <w:vAlign w:val="center"/>
            <w:hideMark/>
          </w:tcPr>
          <w:p w14:paraId="65131447"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South Korea</w:t>
            </w:r>
          </w:p>
        </w:tc>
        <w:tc>
          <w:tcPr>
            <w:tcW w:w="895" w:type="pct"/>
            <w:vMerge/>
            <w:tcBorders>
              <w:top w:val="nil"/>
              <w:left w:val="nil"/>
              <w:bottom w:val="nil"/>
              <w:right w:val="nil"/>
            </w:tcBorders>
            <w:vAlign w:val="center"/>
            <w:hideMark/>
          </w:tcPr>
          <w:p w14:paraId="27FDE094" w14:textId="77777777" w:rsidR="00932BD5" w:rsidRPr="00CF1857" w:rsidRDefault="00932BD5" w:rsidP="004B6116">
            <w:pPr>
              <w:spacing w:after="0" w:line="240" w:lineRule="auto"/>
              <w:rPr>
                <w:rFonts w:ascii="Arial" w:eastAsia="Times New Roman" w:hAnsi="Arial" w:cs="Arial"/>
                <w:color w:val="000000"/>
                <w:sz w:val="20"/>
                <w:szCs w:val="20"/>
              </w:rPr>
            </w:pPr>
          </w:p>
        </w:tc>
        <w:tc>
          <w:tcPr>
            <w:tcW w:w="2444" w:type="pct"/>
            <w:vMerge/>
            <w:tcBorders>
              <w:top w:val="nil"/>
              <w:left w:val="nil"/>
              <w:bottom w:val="nil"/>
              <w:right w:val="nil"/>
            </w:tcBorders>
            <w:vAlign w:val="center"/>
            <w:hideMark/>
          </w:tcPr>
          <w:p w14:paraId="519D601C" w14:textId="77777777" w:rsidR="00932BD5" w:rsidRPr="00CF1857" w:rsidRDefault="00932BD5" w:rsidP="004B6116">
            <w:pPr>
              <w:spacing w:after="0" w:line="240" w:lineRule="auto"/>
              <w:rPr>
                <w:rFonts w:ascii="Arial" w:eastAsia="Times New Roman" w:hAnsi="Arial" w:cs="Arial"/>
                <w:color w:val="000000"/>
                <w:sz w:val="20"/>
                <w:szCs w:val="20"/>
              </w:rPr>
            </w:pPr>
          </w:p>
        </w:tc>
      </w:tr>
      <w:tr w:rsidR="00932BD5" w:rsidRPr="00CF1857" w14:paraId="4BCC06F0" w14:textId="77777777" w:rsidTr="004B6116">
        <w:trPr>
          <w:trHeight w:val="288"/>
        </w:trPr>
        <w:tc>
          <w:tcPr>
            <w:tcW w:w="1661" w:type="pct"/>
            <w:tcBorders>
              <w:top w:val="nil"/>
              <w:left w:val="nil"/>
              <w:bottom w:val="nil"/>
              <w:right w:val="nil"/>
            </w:tcBorders>
            <w:shd w:val="clear" w:color="auto" w:fill="E7E6E6" w:themeFill="background2"/>
            <w:noWrap/>
            <w:vAlign w:val="center"/>
            <w:hideMark/>
          </w:tcPr>
          <w:p w14:paraId="600BF781"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Central Asia</w:t>
            </w:r>
          </w:p>
        </w:tc>
        <w:tc>
          <w:tcPr>
            <w:tcW w:w="895" w:type="pct"/>
            <w:vMerge w:val="restart"/>
            <w:tcBorders>
              <w:top w:val="nil"/>
              <w:left w:val="nil"/>
              <w:bottom w:val="nil"/>
              <w:right w:val="nil"/>
            </w:tcBorders>
            <w:shd w:val="clear" w:color="auto" w:fill="E7E6E6" w:themeFill="background2"/>
            <w:noWrap/>
            <w:vAlign w:val="center"/>
            <w:hideMark/>
          </w:tcPr>
          <w:p w14:paraId="4623055A"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REF_ECON</w:t>
            </w:r>
          </w:p>
        </w:tc>
        <w:tc>
          <w:tcPr>
            <w:tcW w:w="2444" w:type="pct"/>
            <w:vMerge w:val="restart"/>
            <w:tcBorders>
              <w:top w:val="nil"/>
              <w:left w:val="nil"/>
              <w:bottom w:val="nil"/>
              <w:right w:val="nil"/>
            </w:tcBorders>
            <w:shd w:val="clear" w:color="auto" w:fill="E7E6E6" w:themeFill="background2"/>
            <w:noWrap/>
            <w:vAlign w:val="center"/>
            <w:hideMark/>
          </w:tcPr>
          <w:p w14:paraId="48912057"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 xml:space="preserve">Reforming Economies of Eastern Europe and </w:t>
            </w:r>
          </w:p>
          <w:p w14:paraId="029290DC"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the Former Soviet Union; primarily Russia</w:t>
            </w:r>
          </w:p>
        </w:tc>
      </w:tr>
      <w:tr w:rsidR="00932BD5" w:rsidRPr="00CF1857" w14:paraId="7EFAE1F8" w14:textId="77777777" w:rsidTr="004B6116">
        <w:trPr>
          <w:trHeight w:val="288"/>
        </w:trPr>
        <w:tc>
          <w:tcPr>
            <w:tcW w:w="1661" w:type="pct"/>
            <w:tcBorders>
              <w:top w:val="nil"/>
              <w:left w:val="nil"/>
              <w:bottom w:val="nil"/>
              <w:right w:val="nil"/>
            </w:tcBorders>
            <w:shd w:val="clear" w:color="auto" w:fill="E7E6E6" w:themeFill="background2"/>
            <w:noWrap/>
            <w:vAlign w:val="center"/>
            <w:hideMark/>
          </w:tcPr>
          <w:p w14:paraId="6D32F5CF"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Pakistan</w:t>
            </w:r>
          </w:p>
        </w:tc>
        <w:tc>
          <w:tcPr>
            <w:tcW w:w="895" w:type="pct"/>
            <w:vMerge/>
            <w:tcBorders>
              <w:top w:val="nil"/>
              <w:left w:val="nil"/>
              <w:bottom w:val="nil"/>
              <w:right w:val="nil"/>
            </w:tcBorders>
            <w:shd w:val="clear" w:color="auto" w:fill="E7E6E6" w:themeFill="background2"/>
            <w:vAlign w:val="center"/>
            <w:hideMark/>
          </w:tcPr>
          <w:p w14:paraId="570D0820" w14:textId="77777777" w:rsidR="00932BD5" w:rsidRPr="00CF1857" w:rsidRDefault="00932BD5" w:rsidP="004B6116">
            <w:pPr>
              <w:spacing w:after="0" w:line="240" w:lineRule="auto"/>
              <w:rPr>
                <w:rFonts w:ascii="Arial" w:eastAsia="Times New Roman" w:hAnsi="Arial" w:cs="Arial"/>
                <w:color w:val="000000"/>
                <w:sz w:val="20"/>
                <w:szCs w:val="20"/>
              </w:rPr>
            </w:pPr>
          </w:p>
        </w:tc>
        <w:tc>
          <w:tcPr>
            <w:tcW w:w="2444" w:type="pct"/>
            <w:vMerge/>
            <w:tcBorders>
              <w:top w:val="nil"/>
              <w:left w:val="nil"/>
              <w:bottom w:val="nil"/>
              <w:right w:val="nil"/>
            </w:tcBorders>
            <w:shd w:val="clear" w:color="auto" w:fill="E7E6E6" w:themeFill="background2"/>
            <w:vAlign w:val="center"/>
            <w:hideMark/>
          </w:tcPr>
          <w:p w14:paraId="29FD8C44" w14:textId="77777777" w:rsidR="00932BD5" w:rsidRPr="00CF1857" w:rsidRDefault="00932BD5" w:rsidP="004B6116">
            <w:pPr>
              <w:spacing w:after="0" w:line="240" w:lineRule="auto"/>
              <w:rPr>
                <w:rFonts w:ascii="Arial" w:eastAsia="Times New Roman" w:hAnsi="Arial" w:cs="Arial"/>
                <w:color w:val="000000"/>
                <w:sz w:val="20"/>
                <w:szCs w:val="20"/>
              </w:rPr>
            </w:pPr>
          </w:p>
        </w:tc>
      </w:tr>
      <w:tr w:rsidR="00932BD5" w:rsidRPr="00CF1857" w14:paraId="36C26B6F" w14:textId="77777777" w:rsidTr="004B6116">
        <w:trPr>
          <w:trHeight w:val="288"/>
        </w:trPr>
        <w:tc>
          <w:tcPr>
            <w:tcW w:w="1661" w:type="pct"/>
            <w:tcBorders>
              <w:top w:val="nil"/>
              <w:left w:val="nil"/>
              <w:bottom w:val="nil"/>
              <w:right w:val="nil"/>
            </w:tcBorders>
            <w:shd w:val="clear" w:color="auto" w:fill="E7E6E6" w:themeFill="background2"/>
            <w:noWrap/>
            <w:vAlign w:val="center"/>
            <w:hideMark/>
          </w:tcPr>
          <w:p w14:paraId="79BBDC0E"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Russia</w:t>
            </w:r>
          </w:p>
        </w:tc>
        <w:tc>
          <w:tcPr>
            <w:tcW w:w="895" w:type="pct"/>
            <w:vMerge/>
            <w:tcBorders>
              <w:top w:val="nil"/>
              <w:left w:val="nil"/>
              <w:bottom w:val="nil"/>
              <w:right w:val="nil"/>
            </w:tcBorders>
            <w:shd w:val="clear" w:color="auto" w:fill="E7E6E6" w:themeFill="background2"/>
            <w:vAlign w:val="center"/>
            <w:hideMark/>
          </w:tcPr>
          <w:p w14:paraId="36F5F3C2" w14:textId="77777777" w:rsidR="00932BD5" w:rsidRPr="00CF1857" w:rsidRDefault="00932BD5" w:rsidP="004B6116">
            <w:pPr>
              <w:spacing w:after="0" w:line="240" w:lineRule="auto"/>
              <w:rPr>
                <w:rFonts w:ascii="Arial" w:eastAsia="Times New Roman" w:hAnsi="Arial" w:cs="Arial"/>
                <w:color w:val="000000"/>
                <w:sz w:val="20"/>
                <w:szCs w:val="20"/>
              </w:rPr>
            </w:pPr>
          </w:p>
        </w:tc>
        <w:tc>
          <w:tcPr>
            <w:tcW w:w="2444" w:type="pct"/>
            <w:vMerge/>
            <w:tcBorders>
              <w:top w:val="nil"/>
              <w:left w:val="nil"/>
              <w:bottom w:val="nil"/>
              <w:right w:val="nil"/>
            </w:tcBorders>
            <w:shd w:val="clear" w:color="auto" w:fill="E7E6E6" w:themeFill="background2"/>
            <w:vAlign w:val="center"/>
            <w:hideMark/>
          </w:tcPr>
          <w:p w14:paraId="149517E5" w14:textId="77777777" w:rsidR="00932BD5" w:rsidRPr="00CF1857" w:rsidRDefault="00932BD5" w:rsidP="004B6116">
            <w:pPr>
              <w:spacing w:after="0" w:line="240" w:lineRule="auto"/>
              <w:rPr>
                <w:rFonts w:ascii="Arial" w:eastAsia="Times New Roman" w:hAnsi="Arial" w:cs="Arial"/>
                <w:color w:val="000000"/>
                <w:sz w:val="20"/>
                <w:szCs w:val="20"/>
              </w:rPr>
            </w:pPr>
          </w:p>
        </w:tc>
      </w:tr>
      <w:tr w:rsidR="00932BD5" w:rsidRPr="00CF1857" w14:paraId="6D064B3C" w14:textId="77777777" w:rsidTr="004B6116">
        <w:trPr>
          <w:trHeight w:val="288"/>
        </w:trPr>
        <w:tc>
          <w:tcPr>
            <w:tcW w:w="1661" w:type="pct"/>
            <w:tcBorders>
              <w:top w:val="nil"/>
              <w:left w:val="nil"/>
              <w:bottom w:val="nil"/>
              <w:right w:val="nil"/>
            </w:tcBorders>
            <w:shd w:val="clear" w:color="auto" w:fill="auto"/>
            <w:noWrap/>
            <w:vAlign w:val="center"/>
            <w:hideMark/>
          </w:tcPr>
          <w:p w14:paraId="5BA0407D"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Indonesia</w:t>
            </w:r>
          </w:p>
        </w:tc>
        <w:tc>
          <w:tcPr>
            <w:tcW w:w="895" w:type="pct"/>
            <w:vMerge w:val="restart"/>
            <w:tcBorders>
              <w:top w:val="nil"/>
              <w:left w:val="nil"/>
              <w:bottom w:val="single" w:sz="4" w:space="0" w:color="000000"/>
              <w:right w:val="nil"/>
            </w:tcBorders>
            <w:shd w:val="clear" w:color="auto" w:fill="auto"/>
            <w:noWrap/>
            <w:vAlign w:val="center"/>
            <w:hideMark/>
          </w:tcPr>
          <w:p w14:paraId="2DD6D9F9"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REST_ASIA</w:t>
            </w:r>
          </w:p>
        </w:tc>
        <w:tc>
          <w:tcPr>
            <w:tcW w:w="2444" w:type="pct"/>
            <w:vMerge w:val="restart"/>
            <w:tcBorders>
              <w:top w:val="nil"/>
              <w:left w:val="nil"/>
              <w:bottom w:val="single" w:sz="4" w:space="0" w:color="000000"/>
              <w:right w:val="nil"/>
            </w:tcBorders>
            <w:shd w:val="clear" w:color="auto" w:fill="auto"/>
            <w:noWrap/>
            <w:vAlign w:val="center"/>
            <w:hideMark/>
          </w:tcPr>
          <w:p w14:paraId="2674E1C7"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Other countries of Asia</w:t>
            </w:r>
          </w:p>
        </w:tc>
      </w:tr>
      <w:tr w:rsidR="00932BD5" w:rsidRPr="00CF1857" w14:paraId="35B38F1E" w14:textId="77777777" w:rsidTr="004B6116">
        <w:trPr>
          <w:trHeight w:val="288"/>
        </w:trPr>
        <w:tc>
          <w:tcPr>
            <w:tcW w:w="1661" w:type="pct"/>
            <w:tcBorders>
              <w:top w:val="nil"/>
              <w:left w:val="nil"/>
              <w:bottom w:val="single" w:sz="4" w:space="0" w:color="auto"/>
              <w:right w:val="nil"/>
            </w:tcBorders>
            <w:shd w:val="clear" w:color="auto" w:fill="auto"/>
            <w:noWrap/>
            <w:vAlign w:val="center"/>
            <w:hideMark/>
          </w:tcPr>
          <w:p w14:paraId="258122A0" w14:textId="77777777" w:rsidR="00932BD5" w:rsidRPr="00CF1857" w:rsidRDefault="00932BD5" w:rsidP="004B6116">
            <w:pPr>
              <w:spacing w:after="0" w:line="240" w:lineRule="auto"/>
              <w:rPr>
                <w:rFonts w:ascii="Arial" w:eastAsia="Times New Roman" w:hAnsi="Arial" w:cs="Arial"/>
                <w:color w:val="000000"/>
                <w:sz w:val="20"/>
                <w:szCs w:val="20"/>
              </w:rPr>
            </w:pPr>
            <w:r w:rsidRPr="00CF1857">
              <w:rPr>
                <w:rFonts w:ascii="Arial" w:eastAsia="Times New Roman" w:hAnsi="Arial" w:cs="Arial"/>
                <w:color w:val="000000"/>
                <w:sz w:val="20"/>
                <w:szCs w:val="20"/>
              </w:rPr>
              <w:t>Southeast Asia</w:t>
            </w:r>
          </w:p>
        </w:tc>
        <w:tc>
          <w:tcPr>
            <w:tcW w:w="895" w:type="pct"/>
            <w:vMerge/>
            <w:tcBorders>
              <w:top w:val="nil"/>
              <w:left w:val="nil"/>
              <w:bottom w:val="single" w:sz="4" w:space="0" w:color="000000"/>
              <w:right w:val="nil"/>
            </w:tcBorders>
            <w:vAlign w:val="center"/>
            <w:hideMark/>
          </w:tcPr>
          <w:p w14:paraId="661A2844" w14:textId="77777777" w:rsidR="00932BD5" w:rsidRPr="00CF1857" w:rsidRDefault="00932BD5" w:rsidP="004B6116">
            <w:pPr>
              <w:spacing w:after="0" w:line="240" w:lineRule="auto"/>
              <w:rPr>
                <w:rFonts w:ascii="Arial" w:eastAsia="Times New Roman" w:hAnsi="Arial" w:cs="Arial"/>
                <w:color w:val="000000"/>
                <w:sz w:val="20"/>
                <w:szCs w:val="20"/>
              </w:rPr>
            </w:pPr>
          </w:p>
        </w:tc>
        <w:tc>
          <w:tcPr>
            <w:tcW w:w="2444" w:type="pct"/>
            <w:vMerge/>
            <w:tcBorders>
              <w:top w:val="nil"/>
              <w:left w:val="nil"/>
              <w:bottom w:val="single" w:sz="4" w:space="0" w:color="000000"/>
              <w:right w:val="nil"/>
            </w:tcBorders>
            <w:vAlign w:val="center"/>
            <w:hideMark/>
          </w:tcPr>
          <w:p w14:paraId="1487B83C" w14:textId="77777777" w:rsidR="00932BD5" w:rsidRPr="00CF1857" w:rsidRDefault="00932BD5" w:rsidP="004B6116">
            <w:pPr>
              <w:spacing w:after="0" w:line="240" w:lineRule="auto"/>
              <w:rPr>
                <w:rFonts w:ascii="Arial" w:eastAsia="Times New Roman" w:hAnsi="Arial" w:cs="Arial"/>
                <w:color w:val="000000"/>
                <w:sz w:val="20"/>
                <w:szCs w:val="20"/>
              </w:rPr>
            </w:pPr>
          </w:p>
        </w:tc>
      </w:tr>
    </w:tbl>
    <w:p w14:paraId="44864A04" w14:textId="77777777" w:rsidR="00932BD5" w:rsidRDefault="00932BD5" w:rsidP="00932BD5">
      <w:pPr>
        <w:rPr>
          <w:rFonts w:ascii="Arial" w:hAnsi="Arial" w:cs="Arial"/>
        </w:rPr>
      </w:pPr>
    </w:p>
    <w:p w14:paraId="5F749840" w14:textId="77777777" w:rsidR="00932BD5" w:rsidRDefault="00932BD5">
      <w:pPr>
        <w:rPr>
          <w:rFonts w:ascii="Arial" w:eastAsiaTheme="minorEastAsia" w:hAnsi="Arial" w:cs="Arial"/>
          <w:b/>
          <w:bCs/>
          <w:iCs/>
        </w:rPr>
      </w:pPr>
      <w:bookmarkStart w:id="10" w:name="_Ref134864765"/>
      <w:bookmarkStart w:id="11" w:name="_Hlk161660416"/>
      <w:r>
        <w:rPr>
          <w:rFonts w:eastAsiaTheme="minorEastAsia" w:cs="Arial"/>
          <w:bCs/>
        </w:rPr>
        <w:br w:type="page"/>
      </w:r>
    </w:p>
    <w:p w14:paraId="1856A85F" w14:textId="0136E898" w:rsidR="00932BD5" w:rsidRPr="007C5734" w:rsidRDefault="00932BD5" w:rsidP="00932BD5">
      <w:pPr>
        <w:pStyle w:val="Caption"/>
        <w:spacing w:line="276" w:lineRule="auto"/>
        <w:jc w:val="both"/>
        <w:rPr>
          <w:rFonts w:eastAsiaTheme="minorEastAsia" w:cs="Arial"/>
          <w:bCs/>
          <w:vanish/>
          <w:sz w:val="22"/>
          <w:szCs w:val="22"/>
          <w:specVanish/>
        </w:rPr>
      </w:pPr>
      <w:bookmarkStart w:id="12" w:name="_Ref162476437"/>
      <w:bookmarkStart w:id="13" w:name="_Toc162998107"/>
      <w:r w:rsidRPr="007C5734">
        <w:rPr>
          <w:rFonts w:eastAsiaTheme="minorEastAsia" w:cs="Arial"/>
          <w:bCs/>
          <w:sz w:val="22"/>
          <w:szCs w:val="22"/>
        </w:rPr>
        <w:lastRenderedPageBreak/>
        <w:t>Table S</w:t>
      </w:r>
      <w:r w:rsidRPr="007C5734">
        <w:rPr>
          <w:rFonts w:eastAsiaTheme="minorEastAsia" w:cs="Arial"/>
          <w:bCs/>
          <w:sz w:val="22"/>
          <w:szCs w:val="22"/>
        </w:rPr>
        <w:fldChar w:fldCharType="begin"/>
      </w:r>
      <w:r w:rsidRPr="007C5734">
        <w:rPr>
          <w:rFonts w:eastAsiaTheme="minorEastAsia" w:cs="Arial"/>
          <w:bCs/>
          <w:sz w:val="22"/>
          <w:szCs w:val="22"/>
        </w:rPr>
        <w:instrText xml:space="preserve"> SEQ Table \* ARABIC </w:instrText>
      </w:r>
      <w:r w:rsidRPr="007C5734">
        <w:rPr>
          <w:rFonts w:eastAsiaTheme="minorEastAsia" w:cs="Arial"/>
          <w:bCs/>
          <w:sz w:val="22"/>
          <w:szCs w:val="22"/>
        </w:rPr>
        <w:fldChar w:fldCharType="separate"/>
      </w:r>
      <w:r w:rsidR="009141B0">
        <w:rPr>
          <w:rFonts w:eastAsiaTheme="minorEastAsia" w:cs="Arial"/>
          <w:bCs/>
          <w:noProof/>
          <w:sz w:val="22"/>
          <w:szCs w:val="22"/>
        </w:rPr>
        <w:t>3</w:t>
      </w:r>
      <w:r w:rsidRPr="007C5734">
        <w:rPr>
          <w:rFonts w:eastAsiaTheme="minorEastAsia" w:cs="Arial"/>
          <w:bCs/>
          <w:sz w:val="22"/>
          <w:szCs w:val="22"/>
        </w:rPr>
        <w:fldChar w:fldCharType="end"/>
      </w:r>
      <w:bookmarkEnd w:id="10"/>
      <w:bookmarkEnd w:id="12"/>
      <w:r w:rsidRPr="007C5734">
        <w:rPr>
          <w:rFonts w:eastAsiaTheme="minorEastAsia" w:cs="Arial"/>
          <w:bCs/>
          <w:sz w:val="22"/>
          <w:szCs w:val="22"/>
        </w:rPr>
        <w:t xml:space="preserve"> | Agricultural commodity mapping between GCAM commodity and FAO.</w:t>
      </w:r>
      <w:bookmarkEnd w:id="13"/>
      <w:r w:rsidRPr="007C5734">
        <w:rPr>
          <w:rFonts w:eastAsiaTheme="minorEastAsia" w:cs="Arial"/>
          <w:bCs/>
          <w:sz w:val="22"/>
          <w:szCs w:val="22"/>
        </w:rPr>
        <w:t xml:space="preserve"> </w:t>
      </w:r>
    </w:p>
    <w:bookmarkEnd w:id="11"/>
    <w:p w14:paraId="4F85FE6E" w14:textId="77777777" w:rsidR="00932BD5" w:rsidRPr="007C5734" w:rsidRDefault="00932BD5" w:rsidP="00932BD5">
      <w:pPr>
        <w:spacing w:line="276" w:lineRule="auto"/>
        <w:jc w:val="both"/>
        <w:rPr>
          <w:rFonts w:ascii="Arial" w:hAnsi="Arial" w:cs="Arial"/>
        </w:rPr>
      </w:pPr>
      <w:r w:rsidRPr="007C5734">
        <w:rPr>
          <w:rFonts w:ascii="Arial" w:hAnsi="Arial" w:cs="Arial"/>
        </w:rPr>
        <w:t xml:space="preserve"> GCAM staple crops include </w:t>
      </w:r>
      <w:bookmarkStart w:id="14" w:name="_Hlk160672050"/>
      <w:r w:rsidRPr="007C5734">
        <w:rPr>
          <w:rFonts w:ascii="Arial" w:hAnsi="Arial" w:cs="Arial"/>
        </w:rPr>
        <w:t xml:space="preserve">Wheat, Rice, Corn, </w:t>
      </w:r>
      <w:proofErr w:type="spellStart"/>
      <w:r w:rsidRPr="007C5734">
        <w:rPr>
          <w:rFonts w:ascii="Arial" w:hAnsi="Arial" w:cs="Arial"/>
        </w:rPr>
        <w:t>OtherGrain</w:t>
      </w:r>
      <w:proofErr w:type="spellEnd"/>
      <w:r w:rsidRPr="007C5734">
        <w:rPr>
          <w:rFonts w:ascii="Arial" w:hAnsi="Arial" w:cs="Arial"/>
        </w:rPr>
        <w:t xml:space="preserve">, and </w:t>
      </w:r>
      <w:proofErr w:type="spellStart"/>
      <w:r w:rsidRPr="007C5734">
        <w:rPr>
          <w:rFonts w:ascii="Arial" w:hAnsi="Arial" w:cs="Arial"/>
        </w:rPr>
        <w:t>RootTuber</w:t>
      </w:r>
      <w:bookmarkEnd w:id="14"/>
      <w:proofErr w:type="spellEnd"/>
      <w:r w:rsidRPr="007C5734">
        <w:rPr>
          <w:rFonts w:ascii="Arial" w:hAnsi="Arial" w:cs="Arial"/>
        </w:rPr>
        <w:t xml:space="preserve">. </w:t>
      </w:r>
    </w:p>
    <w:tbl>
      <w:tblPr>
        <w:tblStyle w:val="ListTable1Light-Accent3"/>
        <w:tblW w:w="0" w:type="auto"/>
        <w:tblLook w:val="04A0" w:firstRow="1" w:lastRow="0" w:firstColumn="1" w:lastColumn="0" w:noHBand="0" w:noVBand="1"/>
      </w:tblPr>
      <w:tblGrid>
        <w:gridCol w:w="1610"/>
        <w:gridCol w:w="9190"/>
      </w:tblGrid>
      <w:tr w:rsidR="00932BD5" w:rsidRPr="00BB7A1B" w14:paraId="6AB2ACFA" w14:textId="77777777" w:rsidTr="004B6116">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tcBorders>
            <w:noWrap/>
            <w:vAlign w:val="center"/>
            <w:hideMark/>
          </w:tcPr>
          <w:p w14:paraId="627EAB75" w14:textId="77777777" w:rsidR="00932BD5" w:rsidRPr="00072806" w:rsidRDefault="00932BD5" w:rsidP="004B6116">
            <w:pPr>
              <w:jc w:val="center"/>
              <w:rPr>
                <w:rFonts w:ascii="Arial" w:eastAsia="Times New Roman" w:hAnsi="Arial" w:cs="Arial"/>
                <w:b w:val="0"/>
                <w:bCs w:val="0"/>
                <w:color w:val="000000"/>
                <w:sz w:val="20"/>
                <w:szCs w:val="20"/>
              </w:rPr>
            </w:pPr>
            <w:r w:rsidRPr="00072806">
              <w:rPr>
                <w:rFonts w:ascii="Arial" w:eastAsia="Times New Roman" w:hAnsi="Arial" w:cs="Arial"/>
                <w:b w:val="0"/>
                <w:bCs w:val="0"/>
                <w:color w:val="000000"/>
                <w:sz w:val="20"/>
                <w:szCs w:val="20"/>
              </w:rPr>
              <w:t>GCAM commodity</w:t>
            </w:r>
          </w:p>
        </w:tc>
        <w:tc>
          <w:tcPr>
            <w:tcW w:w="0" w:type="auto"/>
            <w:tcBorders>
              <w:top w:val="single" w:sz="4" w:space="0" w:color="auto"/>
              <w:bottom w:val="single" w:sz="4" w:space="0" w:color="auto"/>
            </w:tcBorders>
            <w:noWrap/>
            <w:vAlign w:val="center"/>
            <w:hideMark/>
          </w:tcPr>
          <w:p w14:paraId="30849E1E" w14:textId="77777777" w:rsidR="00932BD5" w:rsidRPr="00072806" w:rsidRDefault="00932BD5" w:rsidP="004B6116">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0"/>
                <w:szCs w:val="20"/>
              </w:rPr>
            </w:pPr>
            <w:r w:rsidRPr="00072806">
              <w:rPr>
                <w:rFonts w:ascii="Arial" w:eastAsia="Times New Roman" w:hAnsi="Arial" w:cs="Arial"/>
                <w:b w:val="0"/>
                <w:bCs w:val="0"/>
                <w:color w:val="000000"/>
                <w:sz w:val="20"/>
                <w:szCs w:val="20"/>
              </w:rPr>
              <w:t>FAO primary item (240)</w:t>
            </w:r>
          </w:p>
        </w:tc>
      </w:tr>
      <w:tr w:rsidR="00932BD5" w:rsidRPr="00BB7A1B" w14:paraId="14CF5D3D" w14:textId="77777777" w:rsidTr="004B61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tcBorders>
            <w:noWrap/>
            <w:vAlign w:val="center"/>
            <w:hideMark/>
          </w:tcPr>
          <w:p w14:paraId="63A2E8FB" w14:textId="77777777" w:rsidR="00932BD5" w:rsidRPr="00072806" w:rsidRDefault="00932BD5" w:rsidP="004B6116">
            <w:pPr>
              <w:rPr>
                <w:rFonts w:ascii="Arial" w:eastAsia="Times New Roman" w:hAnsi="Arial" w:cs="Arial"/>
                <w:b w:val="0"/>
                <w:bCs w:val="0"/>
                <w:color w:val="000000"/>
                <w:sz w:val="18"/>
                <w:szCs w:val="18"/>
              </w:rPr>
            </w:pPr>
            <w:r w:rsidRPr="00072806">
              <w:rPr>
                <w:rFonts w:ascii="Arial" w:eastAsia="Times New Roman" w:hAnsi="Arial" w:cs="Arial"/>
                <w:b w:val="0"/>
                <w:bCs w:val="0"/>
                <w:color w:val="000000"/>
                <w:sz w:val="18"/>
                <w:szCs w:val="18"/>
              </w:rPr>
              <w:t>Wheat</w:t>
            </w:r>
          </w:p>
        </w:tc>
        <w:tc>
          <w:tcPr>
            <w:tcW w:w="0" w:type="auto"/>
            <w:tcBorders>
              <w:top w:val="single" w:sz="4" w:space="0" w:color="auto"/>
            </w:tcBorders>
            <w:noWrap/>
            <w:vAlign w:val="center"/>
            <w:hideMark/>
          </w:tcPr>
          <w:p w14:paraId="7BD0D02E" w14:textId="77777777" w:rsidR="00932BD5" w:rsidRPr="00BB7A1B" w:rsidRDefault="00932BD5" w:rsidP="004B611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B7A1B">
              <w:rPr>
                <w:rFonts w:ascii="Arial" w:eastAsia="Times New Roman" w:hAnsi="Arial" w:cs="Arial"/>
                <w:color w:val="000000"/>
                <w:sz w:val="18"/>
                <w:szCs w:val="18"/>
              </w:rPr>
              <w:t>Wheat</w:t>
            </w:r>
          </w:p>
        </w:tc>
      </w:tr>
      <w:tr w:rsidR="00932BD5" w:rsidRPr="00BB7A1B" w14:paraId="0282BE24" w14:textId="77777777" w:rsidTr="004B6116">
        <w:trPr>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7238AF9E" w14:textId="77777777" w:rsidR="00932BD5" w:rsidRPr="00072806" w:rsidRDefault="00932BD5" w:rsidP="004B6116">
            <w:pPr>
              <w:rPr>
                <w:rFonts w:ascii="Arial" w:eastAsia="Times New Roman" w:hAnsi="Arial" w:cs="Arial"/>
                <w:b w:val="0"/>
                <w:bCs w:val="0"/>
                <w:color w:val="000000"/>
                <w:sz w:val="18"/>
                <w:szCs w:val="18"/>
              </w:rPr>
            </w:pPr>
            <w:r w:rsidRPr="00072806">
              <w:rPr>
                <w:rFonts w:ascii="Arial" w:eastAsia="Times New Roman" w:hAnsi="Arial" w:cs="Arial"/>
                <w:b w:val="0"/>
                <w:bCs w:val="0"/>
                <w:color w:val="000000"/>
                <w:sz w:val="18"/>
                <w:szCs w:val="18"/>
              </w:rPr>
              <w:t>Rice</w:t>
            </w:r>
          </w:p>
        </w:tc>
        <w:tc>
          <w:tcPr>
            <w:tcW w:w="0" w:type="auto"/>
            <w:noWrap/>
            <w:vAlign w:val="center"/>
            <w:hideMark/>
          </w:tcPr>
          <w:p w14:paraId="03B64507" w14:textId="77777777" w:rsidR="00932BD5" w:rsidRPr="00BB7A1B" w:rsidRDefault="00932BD5" w:rsidP="004B611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B7A1B">
              <w:rPr>
                <w:rFonts w:ascii="Arial" w:eastAsia="Times New Roman" w:hAnsi="Arial" w:cs="Arial"/>
                <w:color w:val="000000"/>
                <w:sz w:val="18"/>
                <w:szCs w:val="18"/>
              </w:rPr>
              <w:t>Rice, paddy</w:t>
            </w:r>
          </w:p>
        </w:tc>
      </w:tr>
      <w:tr w:rsidR="00932BD5" w:rsidRPr="00BB7A1B" w14:paraId="5A075C9A" w14:textId="77777777" w:rsidTr="004B61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6CC51F13" w14:textId="77777777" w:rsidR="00932BD5" w:rsidRPr="00072806" w:rsidRDefault="00932BD5" w:rsidP="004B6116">
            <w:pPr>
              <w:rPr>
                <w:rFonts w:ascii="Arial" w:eastAsia="Times New Roman" w:hAnsi="Arial" w:cs="Arial"/>
                <w:b w:val="0"/>
                <w:bCs w:val="0"/>
                <w:color w:val="000000"/>
                <w:sz w:val="18"/>
                <w:szCs w:val="18"/>
              </w:rPr>
            </w:pPr>
            <w:r w:rsidRPr="00072806">
              <w:rPr>
                <w:rFonts w:ascii="Arial" w:eastAsia="Times New Roman" w:hAnsi="Arial" w:cs="Arial"/>
                <w:b w:val="0"/>
                <w:bCs w:val="0"/>
                <w:color w:val="000000"/>
                <w:sz w:val="18"/>
                <w:szCs w:val="18"/>
              </w:rPr>
              <w:t>Corn</w:t>
            </w:r>
          </w:p>
        </w:tc>
        <w:tc>
          <w:tcPr>
            <w:tcW w:w="0" w:type="auto"/>
            <w:noWrap/>
            <w:vAlign w:val="center"/>
            <w:hideMark/>
          </w:tcPr>
          <w:p w14:paraId="61461E5A" w14:textId="77777777" w:rsidR="00932BD5" w:rsidRPr="00BB7A1B" w:rsidRDefault="00932BD5" w:rsidP="004B611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B7A1B">
              <w:rPr>
                <w:rFonts w:ascii="Arial" w:eastAsia="Times New Roman" w:hAnsi="Arial" w:cs="Arial"/>
                <w:color w:val="000000"/>
                <w:sz w:val="18"/>
                <w:szCs w:val="18"/>
              </w:rPr>
              <w:t>Maize</w:t>
            </w:r>
          </w:p>
        </w:tc>
      </w:tr>
      <w:tr w:rsidR="00932BD5" w:rsidRPr="00BB7A1B" w14:paraId="141D8910" w14:textId="77777777" w:rsidTr="004B6116">
        <w:trPr>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67786E16" w14:textId="77777777" w:rsidR="00932BD5" w:rsidRPr="00072806" w:rsidRDefault="00932BD5" w:rsidP="004B6116">
            <w:pPr>
              <w:rPr>
                <w:rFonts w:ascii="Arial" w:eastAsia="Times New Roman" w:hAnsi="Arial" w:cs="Arial"/>
                <w:b w:val="0"/>
                <w:bCs w:val="0"/>
                <w:color w:val="000000"/>
                <w:sz w:val="18"/>
                <w:szCs w:val="18"/>
              </w:rPr>
            </w:pPr>
            <w:proofErr w:type="spellStart"/>
            <w:r w:rsidRPr="00072806">
              <w:rPr>
                <w:rFonts w:ascii="Arial" w:eastAsia="Times New Roman" w:hAnsi="Arial" w:cs="Arial"/>
                <w:b w:val="0"/>
                <w:bCs w:val="0"/>
                <w:color w:val="000000"/>
                <w:sz w:val="18"/>
                <w:szCs w:val="18"/>
              </w:rPr>
              <w:t>OtherGrain</w:t>
            </w:r>
            <w:proofErr w:type="spellEnd"/>
          </w:p>
        </w:tc>
        <w:tc>
          <w:tcPr>
            <w:tcW w:w="0" w:type="auto"/>
            <w:vAlign w:val="center"/>
            <w:hideMark/>
          </w:tcPr>
          <w:p w14:paraId="122442A6" w14:textId="77777777" w:rsidR="00932BD5" w:rsidRPr="00BB7A1B" w:rsidRDefault="00932BD5" w:rsidP="004B611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B7A1B">
              <w:rPr>
                <w:rFonts w:ascii="Arial" w:eastAsia="Times New Roman" w:hAnsi="Arial" w:cs="Arial"/>
                <w:color w:val="000000"/>
                <w:sz w:val="18"/>
                <w:szCs w:val="18"/>
              </w:rPr>
              <w:t xml:space="preserve">Barley; Buckwheat; Canary seed; Cereals </w:t>
            </w:r>
            <w:proofErr w:type="spellStart"/>
            <w:r w:rsidRPr="00BB7A1B">
              <w:rPr>
                <w:rFonts w:ascii="Arial" w:eastAsia="Times New Roman" w:hAnsi="Arial" w:cs="Arial"/>
                <w:color w:val="000000"/>
                <w:sz w:val="18"/>
                <w:szCs w:val="18"/>
              </w:rPr>
              <w:t>nes</w:t>
            </w:r>
            <w:proofErr w:type="spellEnd"/>
            <w:r w:rsidRPr="00BB7A1B">
              <w:rPr>
                <w:rFonts w:ascii="Arial" w:eastAsia="Times New Roman" w:hAnsi="Arial" w:cs="Arial"/>
                <w:color w:val="000000"/>
                <w:sz w:val="18"/>
                <w:szCs w:val="18"/>
              </w:rPr>
              <w:t xml:space="preserve">; </w:t>
            </w:r>
            <w:proofErr w:type="spellStart"/>
            <w:r w:rsidRPr="00BB7A1B">
              <w:rPr>
                <w:rFonts w:ascii="Arial" w:eastAsia="Times New Roman" w:hAnsi="Arial" w:cs="Arial"/>
                <w:color w:val="000000"/>
                <w:sz w:val="18"/>
                <w:szCs w:val="18"/>
              </w:rPr>
              <w:t>Fonio</w:t>
            </w:r>
            <w:proofErr w:type="spellEnd"/>
            <w:r w:rsidRPr="00BB7A1B">
              <w:rPr>
                <w:rFonts w:ascii="Arial" w:eastAsia="Times New Roman" w:hAnsi="Arial" w:cs="Arial"/>
                <w:color w:val="000000"/>
                <w:sz w:val="18"/>
                <w:szCs w:val="18"/>
              </w:rPr>
              <w:t>; Grain, mixed; Oats; Quinoa; Rye; Triticale; Millet; Sorghum</w:t>
            </w:r>
          </w:p>
        </w:tc>
      </w:tr>
      <w:tr w:rsidR="00932BD5" w:rsidRPr="00BB7A1B" w14:paraId="3D9583BC" w14:textId="77777777" w:rsidTr="004B61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4C1FEB7A" w14:textId="77777777" w:rsidR="00932BD5" w:rsidRPr="00072806" w:rsidRDefault="00932BD5" w:rsidP="004B6116">
            <w:pPr>
              <w:rPr>
                <w:rFonts w:ascii="Arial" w:eastAsia="Times New Roman" w:hAnsi="Arial" w:cs="Arial"/>
                <w:b w:val="0"/>
                <w:bCs w:val="0"/>
                <w:color w:val="000000"/>
                <w:sz w:val="18"/>
                <w:szCs w:val="18"/>
              </w:rPr>
            </w:pPr>
            <w:r w:rsidRPr="00072806">
              <w:rPr>
                <w:rFonts w:ascii="Arial" w:eastAsia="Times New Roman" w:hAnsi="Arial" w:cs="Arial"/>
                <w:b w:val="0"/>
                <w:bCs w:val="0"/>
                <w:color w:val="000000"/>
                <w:sz w:val="18"/>
                <w:szCs w:val="18"/>
              </w:rPr>
              <w:t>Soybean</w:t>
            </w:r>
          </w:p>
        </w:tc>
        <w:tc>
          <w:tcPr>
            <w:tcW w:w="0" w:type="auto"/>
            <w:noWrap/>
            <w:vAlign w:val="center"/>
            <w:hideMark/>
          </w:tcPr>
          <w:p w14:paraId="7F9977CA" w14:textId="77777777" w:rsidR="00932BD5" w:rsidRPr="00BB7A1B" w:rsidRDefault="00932BD5" w:rsidP="004B611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B7A1B">
              <w:rPr>
                <w:rFonts w:ascii="Arial" w:eastAsia="Times New Roman" w:hAnsi="Arial" w:cs="Arial"/>
                <w:color w:val="000000"/>
                <w:sz w:val="18"/>
                <w:szCs w:val="18"/>
              </w:rPr>
              <w:t>Soybeans</w:t>
            </w:r>
          </w:p>
        </w:tc>
      </w:tr>
      <w:tr w:rsidR="00932BD5" w:rsidRPr="00BB7A1B" w14:paraId="52FB80F0" w14:textId="77777777" w:rsidTr="004B6116">
        <w:trPr>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2BEB86CF" w14:textId="77777777" w:rsidR="00932BD5" w:rsidRPr="00072806" w:rsidRDefault="00932BD5" w:rsidP="004B6116">
            <w:pPr>
              <w:rPr>
                <w:rFonts w:ascii="Arial" w:eastAsia="Times New Roman" w:hAnsi="Arial" w:cs="Arial"/>
                <w:b w:val="0"/>
                <w:bCs w:val="0"/>
                <w:color w:val="000000"/>
                <w:sz w:val="18"/>
                <w:szCs w:val="18"/>
              </w:rPr>
            </w:pPr>
            <w:proofErr w:type="spellStart"/>
            <w:r w:rsidRPr="00072806">
              <w:rPr>
                <w:rFonts w:ascii="Arial" w:eastAsia="Times New Roman" w:hAnsi="Arial" w:cs="Arial"/>
                <w:b w:val="0"/>
                <w:bCs w:val="0"/>
                <w:color w:val="000000"/>
                <w:sz w:val="18"/>
                <w:szCs w:val="18"/>
              </w:rPr>
              <w:t>OilPalm</w:t>
            </w:r>
            <w:proofErr w:type="spellEnd"/>
            <w:r w:rsidRPr="00072806">
              <w:rPr>
                <w:rFonts w:ascii="Arial" w:eastAsia="Times New Roman" w:hAnsi="Arial" w:cs="Arial"/>
                <w:b w:val="0"/>
                <w:bCs w:val="0"/>
                <w:color w:val="000000"/>
                <w:sz w:val="18"/>
                <w:szCs w:val="18"/>
              </w:rPr>
              <w:t xml:space="preserve"> (Tree)</w:t>
            </w:r>
          </w:p>
        </w:tc>
        <w:tc>
          <w:tcPr>
            <w:tcW w:w="0" w:type="auto"/>
            <w:noWrap/>
            <w:vAlign w:val="center"/>
            <w:hideMark/>
          </w:tcPr>
          <w:p w14:paraId="059F7FEE" w14:textId="77777777" w:rsidR="00932BD5" w:rsidRPr="00BB7A1B" w:rsidRDefault="00932BD5" w:rsidP="004B611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B7A1B">
              <w:rPr>
                <w:rFonts w:ascii="Arial" w:eastAsia="Times New Roman" w:hAnsi="Arial" w:cs="Arial"/>
                <w:color w:val="000000"/>
                <w:sz w:val="18"/>
                <w:szCs w:val="18"/>
              </w:rPr>
              <w:t>Oil palm fruit</w:t>
            </w:r>
          </w:p>
        </w:tc>
      </w:tr>
      <w:tr w:rsidR="00932BD5" w:rsidRPr="00BB7A1B" w14:paraId="77A24049" w14:textId="77777777" w:rsidTr="004B61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158E48DD" w14:textId="77777777" w:rsidR="00932BD5" w:rsidRPr="00072806" w:rsidRDefault="00932BD5" w:rsidP="004B6116">
            <w:pPr>
              <w:rPr>
                <w:rFonts w:ascii="Arial" w:eastAsia="Times New Roman" w:hAnsi="Arial" w:cs="Arial"/>
                <w:b w:val="0"/>
                <w:bCs w:val="0"/>
                <w:color w:val="000000"/>
                <w:sz w:val="18"/>
                <w:szCs w:val="18"/>
              </w:rPr>
            </w:pPr>
            <w:proofErr w:type="spellStart"/>
            <w:r w:rsidRPr="00072806">
              <w:rPr>
                <w:rFonts w:ascii="Arial" w:eastAsia="Times New Roman" w:hAnsi="Arial" w:cs="Arial"/>
                <w:b w:val="0"/>
                <w:bCs w:val="0"/>
                <w:color w:val="000000"/>
                <w:sz w:val="18"/>
                <w:szCs w:val="18"/>
              </w:rPr>
              <w:t>OilCrop</w:t>
            </w:r>
            <w:proofErr w:type="spellEnd"/>
          </w:p>
        </w:tc>
        <w:tc>
          <w:tcPr>
            <w:tcW w:w="0" w:type="auto"/>
            <w:vAlign w:val="center"/>
            <w:hideMark/>
          </w:tcPr>
          <w:p w14:paraId="0E8DF951" w14:textId="77777777" w:rsidR="00932BD5" w:rsidRPr="00BB7A1B" w:rsidRDefault="00932BD5" w:rsidP="004B611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B7A1B">
              <w:rPr>
                <w:rFonts w:ascii="Arial" w:eastAsia="Times New Roman" w:hAnsi="Arial" w:cs="Arial"/>
                <w:color w:val="000000"/>
                <w:sz w:val="18"/>
                <w:szCs w:val="18"/>
              </w:rPr>
              <w:t xml:space="preserve">Castor oil seed; Hempseed; Jojoba seed; Linseed; </w:t>
            </w:r>
            <w:proofErr w:type="spellStart"/>
            <w:r w:rsidRPr="00BB7A1B">
              <w:rPr>
                <w:rFonts w:ascii="Arial" w:eastAsia="Times New Roman" w:hAnsi="Arial" w:cs="Arial"/>
                <w:color w:val="000000"/>
                <w:sz w:val="18"/>
                <w:szCs w:val="18"/>
              </w:rPr>
              <w:t>Melonseed</w:t>
            </w:r>
            <w:proofErr w:type="spellEnd"/>
            <w:r w:rsidRPr="00BB7A1B">
              <w:rPr>
                <w:rFonts w:ascii="Arial" w:eastAsia="Times New Roman" w:hAnsi="Arial" w:cs="Arial"/>
                <w:color w:val="000000"/>
                <w:sz w:val="18"/>
                <w:szCs w:val="18"/>
              </w:rPr>
              <w:t xml:space="preserve">; Mustard seed; Oilseeds </w:t>
            </w:r>
            <w:proofErr w:type="spellStart"/>
            <w:r w:rsidRPr="00BB7A1B">
              <w:rPr>
                <w:rFonts w:ascii="Arial" w:eastAsia="Times New Roman" w:hAnsi="Arial" w:cs="Arial"/>
                <w:color w:val="000000"/>
                <w:sz w:val="18"/>
                <w:szCs w:val="18"/>
              </w:rPr>
              <w:t>nes</w:t>
            </w:r>
            <w:proofErr w:type="spellEnd"/>
            <w:r w:rsidRPr="00BB7A1B">
              <w:rPr>
                <w:rFonts w:ascii="Arial" w:eastAsia="Times New Roman" w:hAnsi="Arial" w:cs="Arial"/>
                <w:color w:val="000000"/>
                <w:sz w:val="18"/>
                <w:szCs w:val="18"/>
              </w:rPr>
              <w:t>; Poppy seed; Rapeseed; Safflower seed; Sesame seed; Sunflower seed</w:t>
            </w:r>
          </w:p>
        </w:tc>
      </w:tr>
      <w:tr w:rsidR="00932BD5" w:rsidRPr="00BB7A1B" w14:paraId="5BD87F8D" w14:textId="77777777" w:rsidTr="004B6116">
        <w:trPr>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268922A3" w14:textId="77777777" w:rsidR="00932BD5" w:rsidRPr="00072806" w:rsidRDefault="00932BD5" w:rsidP="004B6116">
            <w:pPr>
              <w:rPr>
                <w:rFonts w:ascii="Arial" w:eastAsia="Times New Roman" w:hAnsi="Arial" w:cs="Arial"/>
                <w:b w:val="0"/>
                <w:bCs w:val="0"/>
                <w:color w:val="000000"/>
                <w:sz w:val="18"/>
                <w:szCs w:val="18"/>
              </w:rPr>
            </w:pPr>
            <w:proofErr w:type="spellStart"/>
            <w:r w:rsidRPr="00072806">
              <w:rPr>
                <w:rFonts w:ascii="Arial" w:eastAsia="Times New Roman" w:hAnsi="Arial" w:cs="Arial"/>
                <w:b w:val="0"/>
                <w:bCs w:val="0"/>
                <w:color w:val="000000"/>
                <w:sz w:val="18"/>
                <w:szCs w:val="18"/>
              </w:rPr>
              <w:t>OilCrop</w:t>
            </w:r>
            <w:proofErr w:type="spellEnd"/>
            <w:r w:rsidRPr="00072806">
              <w:rPr>
                <w:rFonts w:ascii="Arial" w:eastAsia="Times New Roman" w:hAnsi="Arial" w:cs="Arial"/>
                <w:b w:val="0"/>
                <w:bCs w:val="0"/>
                <w:color w:val="000000"/>
                <w:sz w:val="18"/>
                <w:szCs w:val="18"/>
              </w:rPr>
              <w:t xml:space="preserve"> (Tree)</w:t>
            </w:r>
          </w:p>
        </w:tc>
        <w:tc>
          <w:tcPr>
            <w:tcW w:w="0" w:type="auto"/>
            <w:vAlign w:val="center"/>
            <w:hideMark/>
          </w:tcPr>
          <w:p w14:paraId="76029344" w14:textId="77777777" w:rsidR="00932BD5" w:rsidRPr="00BB7A1B" w:rsidRDefault="00932BD5" w:rsidP="004B611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B7A1B">
              <w:rPr>
                <w:rFonts w:ascii="Arial" w:eastAsia="Times New Roman" w:hAnsi="Arial" w:cs="Arial"/>
                <w:color w:val="000000"/>
                <w:sz w:val="18"/>
                <w:szCs w:val="18"/>
              </w:rPr>
              <w:t>Coconuts; Kapok fruit; Karite nuts (</w:t>
            </w:r>
            <w:proofErr w:type="spellStart"/>
            <w:r w:rsidRPr="00BB7A1B">
              <w:rPr>
                <w:rFonts w:ascii="Arial" w:eastAsia="Times New Roman" w:hAnsi="Arial" w:cs="Arial"/>
                <w:color w:val="000000"/>
                <w:sz w:val="18"/>
                <w:szCs w:val="18"/>
              </w:rPr>
              <w:t>sheanuts</w:t>
            </w:r>
            <w:proofErr w:type="spellEnd"/>
            <w:r w:rsidRPr="00BB7A1B">
              <w:rPr>
                <w:rFonts w:ascii="Arial" w:eastAsia="Times New Roman" w:hAnsi="Arial" w:cs="Arial"/>
                <w:color w:val="000000"/>
                <w:sz w:val="18"/>
                <w:szCs w:val="18"/>
              </w:rPr>
              <w:t xml:space="preserve">); Olives; </w:t>
            </w:r>
            <w:proofErr w:type="spellStart"/>
            <w:r w:rsidRPr="00BB7A1B">
              <w:rPr>
                <w:rFonts w:ascii="Arial" w:eastAsia="Times New Roman" w:hAnsi="Arial" w:cs="Arial"/>
                <w:color w:val="000000"/>
                <w:sz w:val="18"/>
                <w:szCs w:val="18"/>
              </w:rPr>
              <w:t>Tallowtree</w:t>
            </w:r>
            <w:proofErr w:type="spellEnd"/>
            <w:r w:rsidRPr="00BB7A1B">
              <w:rPr>
                <w:rFonts w:ascii="Arial" w:eastAsia="Times New Roman" w:hAnsi="Arial" w:cs="Arial"/>
                <w:color w:val="000000"/>
                <w:sz w:val="18"/>
                <w:szCs w:val="18"/>
              </w:rPr>
              <w:t xml:space="preserve"> seed; Tung nuts</w:t>
            </w:r>
          </w:p>
        </w:tc>
      </w:tr>
      <w:tr w:rsidR="00932BD5" w:rsidRPr="00BB7A1B" w14:paraId="18F87504" w14:textId="77777777" w:rsidTr="004B61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1BA23B23" w14:textId="77777777" w:rsidR="00932BD5" w:rsidRPr="00072806" w:rsidRDefault="00932BD5" w:rsidP="004B6116">
            <w:pPr>
              <w:rPr>
                <w:rFonts w:ascii="Arial" w:eastAsia="Times New Roman" w:hAnsi="Arial" w:cs="Arial"/>
                <w:b w:val="0"/>
                <w:bCs w:val="0"/>
                <w:color w:val="000000"/>
                <w:sz w:val="18"/>
                <w:szCs w:val="18"/>
              </w:rPr>
            </w:pPr>
            <w:proofErr w:type="spellStart"/>
            <w:r w:rsidRPr="00072806">
              <w:rPr>
                <w:rFonts w:ascii="Arial" w:eastAsia="Times New Roman" w:hAnsi="Arial" w:cs="Arial"/>
                <w:b w:val="0"/>
                <w:bCs w:val="0"/>
                <w:color w:val="000000"/>
                <w:sz w:val="18"/>
                <w:szCs w:val="18"/>
              </w:rPr>
              <w:t>RootTuber</w:t>
            </w:r>
            <w:proofErr w:type="spellEnd"/>
          </w:p>
        </w:tc>
        <w:tc>
          <w:tcPr>
            <w:tcW w:w="0" w:type="auto"/>
            <w:vAlign w:val="center"/>
            <w:hideMark/>
          </w:tcPr>
          <w:p w14:paraId="39C36B4E" w14:textId="77777777" w:rsidR="00932BD5" w:rsidRPr="00BB7A1B" w:rsidRDefault="00932BD5" w:rsidP="004B611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B7A1B">
              <w:rPr>
                <w:rFonts w:ascii="Arial" w:eastAsia="Times New Roman" w:hAnsi="Arial" w:cs="Arial"/>
                <w:color w:val="000000"/>
                <w:sz w:val="18"/>
                <w:szCs w:val="18"/>
              </w:rPr>
              <w:t xml:space="preserve">Cassava; Potatoes; Roots and tubers </w:t>
            </w:r>
            <w:proofErr w:type="spellStart"/>
            <w:r w:rsidRPr="00BB7A1B">
              <w:rPr>
                <w:rFonts w:ascii="Arial" w:eastAsia="Times New Roman" w:hAnsi="Arial" w:cs="Arial"/>
                <w:color w:val="000000"/>
                <w:sz w:val="18"/>
                <w:szCs w:val="18"/>
              </w:rPr>
              <w:t>nes</w:t>
            </w:r>
            <w:proofErr w:type="spellEnd"/>
            <w:r w:rsidRPr="00BB7A1B">
              <w:rPr>
                <w:rFonts w:ascii="Arial" w:eastAsia="Times New Roman" w:hAnsi="Arial" w:cs="Arial"/>
                <w:color w:val="000000"/>
                <w:sz w:val="18"/>
                <w:szCs w:val="18"/>
              </w:rPr>
              <w:t xml:space="preserve">; Sweet potatoes; Taro (cocoyam); Yams; Yautia (cocoyam); </w:t>
            </w:r>
          </w:p>
        </w:tc>
      </w:tr>
      <w:tr w:rsidR="00932BD5" w:rsidRPr="00BB7A1B" w14:paraId="3A62F184" w14:textId="77777777" w:rsidTr="004B6116">
        <w:trPr>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0EADE097" w14:textId="77777777" w:rsidR="00932BD5" w:rsidRPr="00072806" w:rsidRDefault="00932BD5" w:rsidP="004B6116">
            <w:pPr>
              <w:rPr>
                <w:rFonts w:ascii="Arial" w:eastAsia="Times New Roman" w:hAnsi="Arial" w:cs="Arial"/>
                <w:b w:val="0"/>
                <w:bCs w:val="0"/>
                <w:color w:val="000000"/>
                <w:sz w:val="18"/>
                <w:szCs w:val="18"/>
              </w:rPr>
            </w:pPr>
            <w:proofErr w:type="spellStart"/>
            <w:r w:rsidRPr="00072806">
              <w:rPr>
                <w:rFonts w:ascii="Arial" w:eastAsia="Times New Roman" w:hAnsi="Arial" w:cs="Arial"/>
                <w:b w:val="0"/>
                <w:bCs w:val="0"/>
                <w:color w:val="000000"/>
                <w:sz w:val="18"/>
                <w:szCs w:val="18"/>
              </w:rPr>
              <w:t>FiberCrop</w:t>
            </w:r>
            <w:proofErr w:type="spellEnd"/>
          </w:p>
        </w:tc>
        <w:tc>
          <w:tcPr>
            <w:tcW w:w="0" w:type="auto"/>
            <w:vAlign w:val="center"/>
            <w:hideMark/>
          </w:tcPr>
          <w:p w14:paraId="3F8DB4EE" w14:textId="77777777" w:rsidR="00932BD5" w:rsidRPr="00BB7A1B" w:rsidRDefault="00932BD5" w:rsidP="004B611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roofErr w:type="spellStart"/>
            <w:r w:rsidRPr="00BB7A1B">
              <w:rPr>
                <w:rFonts w:ascii="Arial" w:eastAsia="Times New Roman" w:hAnsi="Arial" w:cs="Arial"/>
                <w:color w:val="000000"/>
                <w:sz w:val="18"/>
                <w:szCs w:val="18"/>
              </w:rPr>
              <w:t>Fibre</w:t>
            </w:r>
            <w:proofErr w:type="spellEnd"/>
            <w:r w:rsidRPr="00BB7A1B">
              <w:rPr>
                <w:rFonts w:ascii="Arial" w:eastAsia="Times New Roman" w:hAnsi="Arial" w:cs="Arial"/>
                <w:color w:val="000000"/>
                <w:sz w:val="18"/>
                <w:szCs w:val="18"/>
              </w:rPr>
              <w:t xml:space="preserve"> crops </w:t>
            </w:r>
            <w:proofErr w:type="spellStart"/>
            <w:r w:rsidRPr="00BB7A1B">
              <w:rPr>
                <w:rFonts w:ascii="Arial" w:eastAsia="Times New Roman" w:hAnsi="Arial" w:cs="Arial"/>
                <w:color w:val="000000"/>
                <w:sz w:val="18"/>
                <w:szCs w:val="18"/>
              </w:rPr>
              <w:t>nes</w:t>
            </w:r>
            <w:proofErr w:type="spellEnd"/>
            <w:r w:rsidRPr="00BB7A1B">
              <w:rPr>
                <w:rFonts w:ascii="Arial" w:eastAsia="Times New Roman" w:hAnsi="Arial" w:cs="Arial"/>
                <w:color w:val="000000"/>
                <w:sz w:val="18"/>
                <w:szCs w:val="18"/>
              </w:rPr>
              <w:t xml:space="preserve">; Flax </w:t>
            </w:r>
            <w:proofErr w:type="spellStart"/>
            <w:r w:rsidRPr="00BB7A1B">
              <w:rPr>
                <w:rFonts w:ascii="Arial" w:eastAsia="Times New Roman" w:hAnsi="Arial" w:cs="Arial"/>
                <w:color w:val="000000"/>
                <w:sz w:val="18"/>
                <w:szCs w:val="18"/>
              </w:rPr>
              <w:t>fibre</w:t>
            </w:r>
            <w:proofErr w:type="spellEnd"/>
            <w:r w:rsidRPr="00BB7A1B">
              <w:rPr>
                <w:rFonts w:ascii="Arial" w:eastAsia="Times New Roman" w:hAnsi="Arial" w:cs="Arial"/>
                <w:color w:val="000000"/>
                <w:sz w:val="18"/>
                <w:szCs w:val="18"/>
              </w:rPr>
              <w:t xml:space="preserve"> and tow; Hemp tow waste; Jute; Manila </w:t>
            </w:r>
            <w:proofErr w:type="spellStart"/>
            <w:r w:rsidRPr="00BB7A1B">
              <w:rPr>
                <w:rFonts w:ascii="Arial" w:eastAsia="Times New Roman" w:hAnsi="Arial" w:cs="Arial"/>
                <w:color w:val="000000"/>
                <w:sz w:val="18"/>
                <w:szCs w:val="18"/>
              </w:rPr>
              <w:t>fibre</w:t>
            </w:r>
            <w:proofErr w:type="spellEnd"/>
            <w:r w:rsidRPr="00BB7A1B">
              <w:rPr>
                <w:rFonts w:ascii="Arial" w:eastAsia="Times New Roman" w:hAnsi="Arial" w:cs="Arial"/>
                <w:color w:val="000000"/>
                <w:sz w:val="18"/>
                <w:szCs w:val="18"/>
              </w:rPr>
              <w:t xml:space="preserve"> (abaca); Ramie; Seed cotton; Sisal</w:t>
            </w:r>
          </w:p>
        </w:tc>
      </w:tr>
      <w:tr w:rsidR="00932BD5" w:rsidRPr="00BB7A1B" w14:paraId="68B9760B" w14:textId="77777777" w:rsidTr="004B61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00D833BE" w14:textId="77777777" w:rsidR="00932BD5" w:rsidRPr="00072806" w:rsidRDefault="00932BD5" w:rsidP="004B6116">
            <w:pPr>
              <w:rPr>
                <w:rFonts w:ascii="Arial" w:eastAsia="Times New Roman" w:hAnsi="Arial" w:cs="Arial"/>
                <w:b w:val="0"/>
                <w:bCs w:val="0"/>
                <w:color w:val="000000"/>
                <w:sz w:val="18"/>
                <w:szCs w:val="18"/>
              </w:rPr>
            </w:pPr>
            <w:proofErr w:type="spellStart"/>
            <w:r w:rsidRPr="00072806">
              <w:rPr>
                <w:rFonts w:ascii="Arial" w:eastAsia="Times New Roman" w:hAnsi="Arial" w:cs="Arial"/>
                <w:b w:val="0"/>
                <w:bCs w:val="0"/>
                <w:color w:val="000000"/>
                <w:sz w:val="18"/>
                <w:szCs w:val="18"/>
              </w:rPr>
              <w:t>NutsSeeds</w:t>
            </w:r>
            <w:proofErr w:type="spellEnd"/>
          </w:p>
        </w:tc>
        <w:tc>
          <w:tcPr>
            <w:tcW w:w="0" w:type="auto"/>
            <w:noWrap/>
            <w:vAlign w:val="center"/>
            <w:hideMark/>
          </w:tcPr>
          <w:p w14:paraId="0145AAE3" w14:textId="77777777" w:rsidR="00932BD5" w:rsidRPr="00BB7A1B" w:rsidRDefault="00932BD5" w:rsidP="004B611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B7A1B">
              <w:rPr>
                <w:rFonts w:ascii="Arial" w:eastAsia="Times New Roman" w:hAnsi="Arial" w:cs="Arial"/>
                <w:color w:val="000000"/>
                <w:sz w:val="18"/>
                <w:szCs w:val="18"/>
              </w:rPr>
              <w:t>Groundnuts, with shell</w:t>
            </w:r>
          </w:p>
        </w:tc>
      </w:tr>
      <w:tr w:rsidR="00932BD5" w:rsidRPr="00BB7A1B" w14:paraId="06FB109F" w14:textId="77777777" w:rsidTr="004B6116">
        <w:trPr>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2DF27673" w14:textId="77777777" w:rsidR="00932BD5" w:rsidRPr="00072806" w:rsidRDefault="00932BD5" w:rsidP="004B6116">
            <w:pPr>
              <w:rPr>
                <w:rFonts w:ascii="Arial" w:eastAsia="Times New Roman" w:hAnsi="Arial" w:cs="Arial"/>
                <w:b w:val="0"/>
                <w:bCs w:val="0"/>
                <w:color w:val="000000"/>
                <w:sz w:val="18"/>
                <w:szCs w:val="18"/>
              </w:rPr>
            </w:pPr>
            <w:proofErr w:type="spellStart"/>
            <w:r w:rsidRPr="00072806">
              <w:rPr>
                <w:rFonts w:ascii="Arial" w:eastAsia="Times New Roman" w:hAnsi="Arial" w:cs="Arial"/>
                <w:b w:val="0"/>
                <w:bCs w:val="0"/>
                <w:color w:val="000000"/>
                <w:sz w:val="18"/>
                <w:szCs w:val="18"/>
              </w:rPr>
              <w:t>NutsSeeds</w:t>
            </w:r>
            <w:proofErr w:type="spellEnd"/>
            <w:r w:rsidRPr="00072806">
              <w:rPr>
                <w:rFonts w:ascii="Arial" w:eastAsia="Times New Roman" w:hAnsi="Arial" w:cs="Arial"/>
                <w:b w:val="0"/>
                <w:bCs w:val="0"/>
                <w:color w:val="000000"/>
                <w:sz w:val="18"/>
                <w:szCs w:val="18"/>
              </w:rPr>
              <w:t xml:space="preserve"> (Tree)</w:t>
            </w:r>
          </w:p>
        </w:tc>
        <w:tc>
          <w:tcPr>
            <w:tcW w:w="0" w:type="auto"/>
            <w:vAlign w:val="center"/>
            <w:hideMark/>
          </w:tcPr>
          <w:p w14:paraId="49B6DAF7" w14:textId="77777777" w:rsidR="00932BD5" w:rsidRPr="00BB7A1B" w:rsidRDefault="00932BD5" w:rsidP="004B611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B7A1B">
              <w:rPr>
                <w:rFonts w:ascii="Arial" w:eastAsia="Times New Roman" w:hAnsi="Arial" w:cs="Arial"/>
                <w:color w:val="000000"/>
                <w:sz w:val="18"/>
                <w:szCs w:val="18"/>
              </w:rPr>
              <w:t xml:space="preserve">Almonds, with shell; Areca nuts; Brazil nuts, with shell; Cashew nuts, with shell; Chestnut; Hazelnuts, with shell; Kola nuts; Nuts </w:t>
            </w:r>
            <w:proofErr w:type="spellStart"/>
            <w:r w:rsidRPr="00BB7A1B">
              <w:rPr>
                <w:rFonts w:ascii="Arial" w:eastAsia="Times New Roman" w:hAnsi="Arial" w:cs="Arial"/>
                <w:color w:val="000000"/>
                <w:sz w:val="18"/>
                <w:szCs w:val="18"/>
              </w:rPr>
              <w:t>nes</w:t>
            </w:r>
            <w:proofErr w:type="spellEnd"/>
            <w:r w:rsidRPr="00BB7A1B">
              <w:rPr>
                <w:rFonts w:ascii="Arial" w:eastAsia="Times New Roman" w:hAnsi="Arial" w:cs="Arial"/>
                <w:color w:val="000000"/>
                <w:sz w:val="18"/>
                <w:szCs w:val="18"/>
              </w:rPr>
              <w:t>; Pistachios; Walnuts, with shell</w:t>
            </w:r>
          </w:p>
        </w:tc>
      </w:tr>
      <w:tr w:rsidR="00932BD5" w:rsidRPr="00BB7A1B" w14:paraId="78C0FC4A" w14:textId="77777777" w:rsidTr="004B61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68B963E6" w14:textId="77777777" w:rsidR="00932BD5" w:rsidRPr="00072806" w:rsidRDefault="00932BD5" w:rsidP="004B6116">
            <w:pPr>
              <w:rPr>
                <w:rFonts w:ascii="Arial" w:eastAsia="Times New Roman" w:hAnsi="Arial" w:cs="Arial"/>
                <w:b w:val="0"/>
                <w:bCs w:val="0"/>
                <w:color w:val="000000"/>
                <w:sz w:val="18"/>
                <w:szCs w:val="18"/>
              </w:rPr>
            </w:pPr>
            <w:r w:rsidRPr="00072806">
              <w:rPr>
                <w:rFonts w:ascii="Arial" w:eastAsia="Times New Roman" w:hAnsi="Arial" w:cs="Arial"/>
                <w:b w:val="0"/>
                <w:bCs w:val="0"/>
                <w:color w:val="000000"/>
                <w:sz w:val="18"/>
                <w:szCs w:val="18"/>
              </w:rPr>
              <w:t>Legumes</w:t>
            </w:r>
          </w:p>
        </w:tc>
        <w:tc>
          <w:tcPr>
            <w:tcW w:w="0" w:type="auto"/>
            <w:vAlign w:val="center"/>
            <w:hideMark/>
          </w:tcPr>
          <w:p w14:paraId="2B3A5AFA" w14:textId="77777777" w:rsidR="00932BD5" w:rsidRPr="00BB7A1B" w:rsidRDefault="00932BD5" w:rsidP="004B611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B7A1B">
              <w:rPr>
                <w:rFonts w:ascii="Arial" w:eastAsia="Times New Roman" w:hAnsi="Arial" w:cs="Arial"/>
                <w:color w:val="000000"/>
                <w:sz w:val="18"/>
                <w:szCs w:val="18"/>
              </w:rPr>
              <w:t xml:space="preserve">Bambara beans; Beans, dry; Broad beans, horse beans, dry; Chick peas; Cow peas, dry; Lentils; Lupins; Peas, dry; Pigeon peas; Pulses </w:t>
            </w:r>
            <w:proofErr w:type="spellStart"/>
            <w:r w:rsidRPr="00BB7A1B">
              <w:rPr>
                <w:rFonts w:ascii="Arial" w:eastAsia="Times New Roman" w:hAnsi="Arial" w:cs="Arial"/>
                <w:color w:val="000000"/>
                <w:sz w:val="18"/>
                <w:szCs w:val="18"/>
              </w:rPr>
              <w:t>nes</w:t>
            </w:r>
            <w:proofErr w:type="spellEnd"/>
            <w:r w:rsidRPr="00BB7A1B">
              <w:rPr>
                <w:rFonts w:ascii="Arial" w:eastAsia="Times New Roman" w:hAnsi="Arial" w:cs="Arial"/>
                <w:color w:val="000000"/>
                <w:sz w:val="18"/>
                <w:szCs w:val="18"/>
              </w:rPr>
              <w:t>; Vetches</w:t>
            </w:r>
          </w:p>
        </w:tc>
      </w:tr>
      <w:tr w:rsidR="00932BD5" w:rsidRPr="00BB7A1B" w14:paraId="00FD8F8A" w14:textId="77777777" w:rsidTr="004B6116">
        <w:trPr>
          <w:trHeight w:val="288"/>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E9B8A10" w14:textId="77777777" w:rsidR="00932BD5" w:rsidRPr="00072806" w:rsidRDefault="00932BD5" w:rsidP="004B6116">
            <w:pPr>
              <w:rPr>
                <w:rFonts w:ascii="Arial" w:eastAsia="Times New Roman" w:hAnsi="Arial" w:cs="Arial"/>
                <w:b w:val="0"/>
                <w:bCs w:val="0"/>
                <w:color w:val="000000"/>
                <w:sz w:val="18"/>
                <w:szCs w:val="18"/>
              </w:rPr>
            </w:pPr>
            <w:proofErr w:type="spellStart"/>
            <w:r w:rsidRPr="00072806">
              <w:rPr>
                <w:rFonts w:ascii="Arial" w:eastAsia="Times New Roman" w:hAnsi="Arial" w:cs="Arial"/>
                <w:b w:val="0"/>
                <w:bCs w:val="0"/>
                <w:color w:val="000000"/>
                <w:sz w:val="18"/>
                <w:szCs w:val="18"/>
              </w:rPr>
              <w:t>SugarCrop</w:t>
            </w:r>
            <w:proofErr w:type="spellEnd"/>
          </w:p>
        </w:tc>
        <w:tc>
          <w:tcPr>
            <w:tcW w:w="0" w:type="auto"/>
            <w:vAlign w:val="center"/>
            <w:hideMark/>
          </w:tcPr>
          <w:p w14:paraId="500C3FEF" w14:textId="77777777" w:rsidR="00932BD5" w:rsidRPr="00BB7A1B" w:rsidRDefault="00932BD5" w:rsidP="004B611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B7A1B">
              <w:rPr>
                <w:rFonts w:ascii="Arial" w:eastAsia="Times New Roman" w:hAnsi="Arial" w:cs="Arial"/>
                <w:color w:val="000000"/>
                <w:sz w:val="18"/>
                <w:szCs w:val="18"/>
              </w:rPr>
              <w:t xml:space="preserve">Sugar cane; Sugar beet; Sugar crops </w:t>
            </w:r>
            <w:proofErr w:type="spellStart"/>
            <w:r w:rsidRPr="00BB7A1B">
              <w:rPr>
                <w:rFonts w:ascii="Arial" w:eastAsia="Times New Roman" w:hAnsi="Arial" w:cs="Arial"/>
                <w:color w:val="000000"/>
                <w:sz w:val="18"/>
                <w:szCs w:val="18"/>
              </w:rPr>
              <w:t>nes</w:t>
            </w:r>
            <w:proofErr w:type="spellEnd"/>
          </w:p>
        </w:tc>
      </w:tr>
      <w:tr w:rsidR="00932BD5" w:rsidRPr="00BB7A1B" w14:paraId="7F5FB07D" w14:textId="77777777" w:rsidTr="004B61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1A786133" w14:textId="77777777" w:rsidR="00932BD5" w:rsidRPr="00072806" w:rsidRDefault="00932BD5" w:rsidP="004B6116">
            <w:pPr>
              <w:rPr>
                <w:rFonts w:ascii="Arial" w:eastAsia="Times New Roman" w:hAnsi="Arial" w:cs="Arial"/>
                <w:b w:val="0"/>
                <w:bCs w:val="0"/>
                <w:color w:val="000000"/>
                <w:sz w:val="18"/>
                <w:szCs w:val="18"/>
              </w:rPr>
            </w:pPr>
            <w:r w:rsidRPr="00072806">
              <w:rPr>
                <w:rFonts w:ascii="Arial" w:eastAsia="Times New Roman" w:hAnsi="Arial" w:cs="Arial"/>
                <w:b w:val="0"/>
                <w:bCs w:val="0"/>
                <w:color w:val="000000"/>
                <w:sz w:val="18"/>
                <w:szCs w:val="18"/>
              </w:rPr>
              <w:t>Vegetables</w:t>
            </w:r>
          </w:p>
        </w:tc>
        <w:tc>
          <w:tcPr>
            <w:tcW w:w="0" w:type="auto"/>
            <w:vAlign w:val="center"/>
            <w:hideMark/>
          </w:tcPr>
          <w:p w14:paraId="1735A09F" w14:textId="77777777" w:rsidR="00932BD5" w:rsidRPr="00BB7A1B" w:rsidRDefault="00932BD5" w:rsidP="004B611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B7A1B">
              <w:rPr>
                <w:rFonts w:ascii="Arial" w:eastAsia="Times New Roman" w:hAnsi="Arial" w:cs="Arial"/>
                <w:color w:val="000000"/>
                <w:sz w:val="18"/>
                <w:szCs w:val="18"/>
              </w:rPr>
              <w:t xml:space="preserve">Artichokes; Asparagus; Beans, green; Cabbages and other brassicas; Carobs; Carrots and turnips; Cassava leaves; Cauliflowers and broccoli; Chicory roots; </w:t>
            </w:r>
            <w:proofErr w:type="spellStart"/>
            <w:r w:rsidRPr="00BB7A1B">
              <w:rPr>
                <w:rFonts w:ascii="Arial" w:eastAsia="Times New Roman" w:hAnsi="Arial" w:cs="Arial"/>
                <w:color w:val="000000"/>
                <w:sz w:val="18"/>
                <w:szCs w:val="18"/>
              </w:rPr>
              <w:t>Chillies</w:t>
            </w:r>
            <w:proofErr w:type="spellEnd"/>
            <w:r w:rsidRPr="00BB7A1B">
              <w:rPr>
                <w:rFonts w:ascii="Arial" w:eastAsia="Times New Roman" w:hAnsi="Arial" w:cs="Arial"/>
                <w:color w:val="000000"/>
                <w:sz w:val="18"/>
                <w:szCs w:val="18"/>
              </w:rPr>
              <w:t xml:space="preserve"> and peppers, dry; </w:t>
            </w:r>
            <w:proofErr w:type="spellStart"/>
            <w:r w:rsidRPr="00BB7A1B">
              <w:rPr>
                <w:rFonts w:ascii="Arial" w:eastAsia="Times New Roman" w:hAnsi="Arial" w:cs="Arial"/>
                <w:color w:val="000000"/>
                <w:sz w:val="18"/>
                <w:szCs w:val="18"/>
              </w:rPr>
              <w:t>Chillies</w:t>
            </w:r>
            <w:proofErr w:type="spellEnd"/>
            <w:r w:rsidRPr="00BB7A1B">
              <w:rPr>
                <w:rFonts w:ascii="Arial" w:eastAsia="Times New Roman" w:hAnsi="Arial" w:cs="Arial"/>
                <w:color w:val="000000"/>
                <w:sz w:val="18"/>
                <w:szCs w:val="18"/>
              </w:rPr>
              <w:t xml:space="preserve"> and peppers, green; Cucumbers and gherkins; Eggplants (</w:t>
            </w:r>
            <w:proofErr w:type="spellStart"/>
            <w:r w:rsidRPr="00BB7A1B">
              <w:rPr>
                <w:rFonts w:ascii="Arial" w:eastAsia="Times New Roman" w:hAnsi="Arial" w:cs="Arial"/>
                <w:color w:val="000000"/>
                <w:sz w:val="18"/>
                <w:szCs w:val="18"/>
              </w:rPr>
              <w:t>aubergines</w:t>
            </w:r>
            <w:proofErr w:type="spellEnd"/>
            <w:r w:rsidRPr="00BB7A1B">
              <w:rPr>
                <w:rFonts w:ascii="Arial" w:eastAsia="Times New Roman" w:hAnsi="Arial" w:cs="Arial"/>
                <w:color w:val="000000"/>
                <w:sz w:val="18"/>
                <w:szCs w:val="18"/>
              </w:rPr>
              <w:t>); Garlic; Leeks, other alliaceous vegetables; Lettuce and chicory; Maize, green; Melons, other (</w:t>
            </w:r>
            <w:proofErr w:type="spellStart"/>
            <w:r w:rsidRPr="00BB7A1B">
              <w:rPr>
                <w:rFonts w:ascii="Arial" w:eastAsia="Times New Roman" w:hAnsi="Arial" w:cs="Arial"/>
                <w:color w:val="000000"/>
                <w:sz w:val="18"/>
                <w:szCs w:val="18"/>
              </w:rPr>
              <w:t>inc.cantaloupes</w:t>
            </w:r>
            <w:proofErr w:type="spellEnd"/>
            <w:r w:rsidRPr="00BB7A1B">
              <w:rPr>
                <w:rFonts w:ascii="Arial" w:eastAsia="Times New Roman" w:hAnsi="Arial" w:cs="Arial"/>
                <w:color w:val="000000"/>
                <w:sz w:val="18"/>
                <w:szCs w:val="18"/>
              </w:rPr>
              <w:t xml:space="preserve">); Mushrooms and truffles; Okra; Onions, dry; Onions, shallots, green; Peas, green; Pumpkins, squash and gourds; Spinach; String beans; Tomatoes; Vegetables, fresh </w:t>
            </w:r>
            <w:proofErr w:type="spellStart"/>
            <w:r w:rsidRPr="00BB7A1B">
              <w:rPr>
                <w:rFonts w:ascii="Arial" w:eastAsia="Times New Roman" w:hAnsi="Arial" w:cs="Arial"/>
                <w:color w:val="000000"/>
                <w:sz w:val="18"/>
                <w:szCs w:val="18"/>
              </w:rPr>
              <w:t>nes</w:t>
            </w:r>
            <w:proofErr w:type="spellEnd"/>
            <w:r w:rsidRPr="00BB7A1B">
              <w:rPr>
                <w:rFonts w:ascii="Arial" w:eastAsia="Times New Roman" w:hAnsi="Arial" w:cs="Arial"/>
                <w:color w:val="000000"/>
                <w:sz w:val="18"/>
                <w:szCs w:val="18"/>
              </w:rPr>
              <w:t xml:space="preserve">; Vegetables, leguminous </w:t>
            </w:r>
            <w:proofErr w:type="spellStart"/>
            <w:r w:rsidRPr="00BB7A1B">
              <w:rPr>
                <w:rFonts w:ascii="Arial" w:eastAsia="Times New Roman" w:hAnsi="Arial" w:cs="Arial"/>
                <w:color w:val="000000"/>
                <w:sz w:val="18"/>
                <w:szCs w:val="18"/>
              </w:rPr>
              <w:t>nes</w:t>
            </w:r>
            <w:proofErr w:type="spellEnd"/>
            <w:r w:rsidRPr="00BB7A1B">
              <w:rPr>
                <w:rFonts w:ascii="Arial" w:eastAsia="Times New Roman" w:hAnsi="Arial" w:cs="Arial"/>
                <w:color w:val="000000"/>
                <w:sz w:val="18"/>
                <w:szCs w:val="18"/>
              </w:rPr>
              <w:t>; Watermelons</w:t>
            </w:r>
          </w:p>
        </w:tc>
      </w:tr>
      <w:tr w:rsidR="00932BD5" w:rsidRPr="00BB7A1B" w14:paraId="184C48C5" w14:textId="77777777" w:rsidTr="004B6116">
        <w:trPr>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1502A0DD" w14:textId="77777777" w:rsidR="00932BD5" w:rsidRPr="00072806" w:rsidRDefault="00932BD5" w:rsidP="004B6116">
            <w:pPr>
              <w:rPr>
                <w:rFonts w:ascii="Arial" w:eastAsia="Times New Roman" w:hAnsi="Arial" w:cs="Arial"/>
                <w:b w:val="0"/>
                <w:bCs w:val="0"/>
                <w:color w:val="000000"/>
                <w:sz w:val="18"/>
                <w:szCs w:val="18"/>
              </w:rPr>
            </w:pPr>
            <w:r w:rsidRPr="00072806">
              <w:rPr>
                <w:rFonts w:ascii="Arial" w:eastAsia="Times New Roman" w:hAnsi="Arial" w:cs="Arial"/>
                <w:b w:val="0"/>
                <w:bCs w:val="0"/>
                <w:color w:val="000000"/>
                <w:sz w:val="18"/>
                <w:szCs w:val="18"/>
              </w:rPr>
              <w:t>Fruits</w:t>
            </w:r>
          </w:p>
        </w:tc>
        <w:tc>
          <w:tcPr>
            <w:tcW w:w="0" w:type="auto"/>
            <w:vAlign w:val="center"/>
            <w:hideMark/>
          </w:tcPr>
          <w:p w14:paraId="20E1FA4E" w14:textId="77777777" w:rsidR="00932BD5" w:rsidRPr="00BB7A1B" w:rsidRDefault="00932BD5" w:rsidP="004B611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B7A1B">
              <w:rPr>
                <w:rFonts w:ascii="Arial" w:eastAsia="Times New Roman" w:hAnsi="Arial" w:cs="Arial"/>
                <w:color w:val="000000"/>
                <w:sz w:val="18"/>
                <w:szCs w:val="18"/>
              </w:rPr>
              <w:t xml:space="preserve">Berries </w:t>
            </w:r>
            <w:proofErr w:type="spellStart"/>
            <w:r w:rsidRPr="00BB7A1B">
              <w:rPr>
                <w:rFonts w:ascii="Arial" w:eastAsia="Times New Roman" w:hAnsi="Arial" w:cs="Arial"/>
                <w:color w:val="000000"/>
                <w:sz w:val="18"/>
                <w:szCs w:val="18"/>
              </w:rPr>
              <w:t>nes</w:t>
            </w:r>
            <w:proofErr w:type="spellEnd"/>
            <w:r w:rsidRPr="00BB7A1B">
              <w:rPr>
                <w:rFonts w:ascii="Arial" w:eastAsia="Times New Roman" w:hAnsi="Arial" w:cs="Arial"/>
                <w:color w:val="000000"/>
                <w:sz w:val="18"/>
                <w:szCs w:val="18"/>
              </w:rPr>
              <w:t>; Blueberries; Cranberries; Currants; Gooseberries; Grapes; Pineapples; Raspberries; Strawberries</w:t>
            </w:r>
          </w:p>
        </w:tc>
      </w:tr>
      <w:tr w:rsidR="00932BD5" w:rsidRPr="00BB7A1B" w14:paraId="36900BF7" w14:textId="77777777" w:rsidTr="004B61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41907D84" w14:textId="77777777" w:rsidR="00932BD5" w:rsidRPr="00072806" w:rsidRDefault="00932BD5" w:rsidP="004B6116">
            <w:pPr>
              <w:rPr>
                <w:rFonts w:ascii="Arial" w:eastAsia="Times New Roman" w:hAnsi="Arial" w:cs="Arial"/>
                <w:b w:val="0"/>
                <w:bCs w:val="0"/>
                <w:color w:val="000000"/>
                <w:sz w:val="18"/>
                <w:szCs w:val="18"/>
              </w:rPr>
            </w:pPr>
            <w:r w:rsidRPr="00072806">
              <w:rPr>
                <w:rFonts w:ascii="Arial" w:eastAsia="Times New Roman" w:hAnsi="Arial" w:cs="Arial"/>
                <w:b w:val="0"/>
                <w:bCs w:val="0"/>
                <w:color w:val="000000"/>
                <w:sz w:val="18"/>
                <w:szCs w:val="18"/>
              </w:rPr>
              <w:t>Fruits (Tree)</w:t>
            </w:r>
          </w:p>
        </w:tc>
        <w:tc>
          <w:tcPr>
            <w:tcW w:w="0" w:type="auto"/>
            <w:vAlign w:val="center"/>
            <w:hideMark/>
          </w:tcPr>
          <w:p w14:paraId="5F2C0386" w14:textId="77777777" w:rsidR="00932BD5" w:rsidRPr="00BB7A1B" w:rsidRDefault="00932BD5" w:rsidP="004B611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B7A1B">
              <w:rPr>
                <w:rFonts w:ascii="Arial" w:eastAsia="Times New Roman" w:hAnsi="Arial" w:cs="Arial"/>
                <w:color w:val="000000"/>
                <w:sz w:val="18"/>
                <w:szCs w:val="18"/>
              </w:rPr>
              <w:t xml:space="preserve">Apples; Apricots; Avocados; Bananas; </w:t>
            </w:r>
            <w:proofErr w:type="spellStart"/>
            <w:r w:rsidRPr="00BB7A1B">
              <w:rPr>
                <w:rFonts w:ascii="Arial" w:eastAsia="Times New Roman" w:hAnsi="Arial" w:cs="Arial"/>
                <w:color w:val="000000"/>
                <w:sz w:val="18"/>
                <w:szCs w:val="18"/>
              </w:rPr>
              <w:t>Cashewapple</w:t>
            </w:r>
            <w:proofErr w:type="spellEnd"/>
            <w:r w:rsidRPr="00BB7A1B">
              <w:rPr>
                <w:rFonts w:ascii="Arial" w:eastAsia="Times New Roman" w:hAnsi="Arial" w:cs="Arial"/>
                <w:color w:val="000000"/>
                <w:sz w:val="18"/>
                <w:szCs w:val="18"/>
              </w:rPr>
              <w:t xml:space="preserve">; Cherries; Cherries, sour; Dates; Figs; Fruit, citrus </w:t>
            </w:r>
            <w:proofErr w:type="spellStart"/>
            <w:r w:rsidRPr="00BB7A1B">
              <w:rPr>
                <w:rFonts w:ascii="Arial" w:eastAsia="Times New Roman" w:hAnsi="Arial" w:cs="Arial"/>
                <w:color w:val="000000"/>
                <w:sz w:val="18"/>
                <w:szCs w:val="18"/>
              </w:rPr>
              <w:t>nes</w:t>
            </w:r>
            <w:proofErr w:type="spellEnd"/>
            <w:r w:rsidRPr="00BB7A1B">
              <w:rPr>
                <w:rFonts w:ascii="Arial" w:eastAsia="Times New Roman" w:hAnsi="Arial" w:cs="Arial"/>
                <w:color w:val="000000"/>
                <w:sz w:val="18"/>
                <w:szCs w:val="18"/>
              </w:rPr>
              <w:t xml:space="preserve">; Fruit, fresh </w:t>
            </w:r>
            <w:proofErr w:type="spellStart"/>
            <w:r w:rsidRPr="00BB7A1B">
              <w:rPr>
                <w:rFonts w:ascii="Arial" w:eastAsia="Times New Roman" w:hAnsi="Arial" w:cs="Arial"/>
                <w:color w:val="000000"/>
                <w:sz w:val="18"/>
                <w:szCs w:val="18"/>
              </w:rPr>
              <w:t>nes</w:t>
            </w:r>
            <w:proofErr w:type="spellEnd"/>
            <w:r w:rsidRPr="00BB7A1B">
              <w:rPr>
                <w:rFonts w:ascii="Arial" w:eastAsia="Times New Roman" w:hAnsi="Arial" w:cs="Arial"/>
                <w:color w:val="000000"/>
                <w:sz w:val="18"/>
                <w:szCs w:val="18"/>
              </w:rPr>
              <w:t xml:space="preserve">; Fruit, pome </w:t>
            </w:r>
            <w:proofErr w:type="spellStart"/>
            <w:r w:rsidRPr="00BB7A1B">
              <w:rPr>
                <w:rFonts w:ascii="Arial" w:eastAsia="Times New Roman" w:hAnsi="Arial" w:cs="Arial"/>
                <w:color w:val="000000"/>
                <w:sz w:val="18"/>
                <w:szCs w:val="18"/>
              </w:rPr>
              <w:t>nes</w:t>
            </w:r>
            <w:proofErr w:type="spellEnd"/>
            <w:r w:rsidRPr="00BB7A1B">
              <w:rPr>
                <w:rFonts w:ascii="Arial" w:eastAsia="Times New Roman" w:hAnsi="Arial" w:cs="Arial"/>
                <w:color w:val="000000"/>
                <w:sz w:val="18"/>
                <w:szCs w:val="18"/>
              </w:rPr>
              <w:t xml:space="preserve">; Fruit, stone </w:t>
            </w:r>
            <w:proofErr w:type="spellStart"/>
            <w:r w:rsidRPr="00BB7A1B">
              <w:rPr>
                <w:rFonts w:ascii="Arial" w:eastAsia="Times New Roman" w:hAnsi="Arial" w:cs="Arial"/>
                <w:color w:val="000000"/>
                <w:sz w:val="18"/>
                <w:szCs w:val="18"/>
              </w:rPr>
              <w:t>nes</w:t>
            </w:r>
            <w:proofErr w:type="spellEnd"/>
            <w:r w:rsidRPr="00BB7A1B">
              <w:rPr>
                <w:rFonts w:ascii="Arial" w:eastAsia="Times New Roman" w:hAnsi="Arial" w:cs="Arial"/>
                <w:color w:val="000000"/>
                <w:sz w:val="18"/>
                <w:szCs w:val="18"/>
              </w:rPr>
              <w:t xml:space="preserve">; Fruit, tropical fresh </w:t>
            </w:r>
            <w:proofErr w:type="spellStart"/>
            <w:r w:rsidRPr="00BB7A1B">
              <w:rPr>
                <w:rFonts w:ascii="Arial" w:eastAsia="Times New Roman" w:hAnsi="Arial" w:cs="Arial"/>
                <w:color w:val="000000"/>
                <w:sz w:val="18"/>
                <w:szCs w:val="18"/>
              </w:rPr>
              <w:t>nes</w:t>
            </w:r>
            <w:proofErr w:type="spellEnd"/>
            <w:r w:rsidRPr="00BB7A1B">
              <w:rPr>
                <w:rFonts w:ascii="Arial" w:eastAsia="Times New Roman" w:hAnsi="Arial" w:cs="Arial"/>
                <w:color w:val="000000"/>
                <w:sz w:val="18"/>
                <w:szCs w:val="18"/>
              </w:rPr>
              <w:t>; Grapefruit (inc. pomelos); Kiwi fruit; Lemons and limes; Mangoes, mangosteens, guavas; Oranges; Papayas; Peaches and nectarines; Pears; Persimmons; Plantains and others; Plums and sloes; Quinces; Tangerines, mandarins, clementines, satsumas</w:t>
            </w:r>
          </w:p>
        </w:tc>
      </w:tr>
      <w:tr w:rsidR="00932BD5" w:rsidRPr="00BB7A1B" w14:paraId="4F8F30A3" w14:textId="77777777" w:rsidTr="004B6116">
        <w:trPr>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4F27C5DE" w14:textId="77777777" w:rsidR="00932BD5" w:rsidRPr="00072806" w:rsidRDefault="00932BD5" w:rsidP="004B6116">
            <w:pPr>
              <w:rPr>
                <w:rFonts w:ascii="Arial" w:eastAsia="Times New Roman" w:hAnsi="Arial" w:cs="Arial"/>
                <w:b w:val="0"/>
                <w:bCs w:val="0"/>
                <w:color w:val="000000"/>
                <w:sz w:val="18"/>
                <w:szCs w:val="18"/>
              </w:rPr>
            </w:pPr>
            <w:proofErr w:type="spellStart"/>
            <w:r w:rsidRPr="00072806">
              <w:rPr>
                <w:rFonts w:ascii="Arial" w:eastAsia="Times New Roman" w:hAnsi="Arial" w:cs="Arial"/>
                <w:b w:val="0"/>
                <w:bCs w:val="0"/>
                <w:color w:val="000000"/>
                <w:sz w:val="18"/>
                <w:szCs w:val="18"/>
              </w:rPr>
              <w:t>MiscCrop</w:t>
            </w:r>
            <w:proofErr w:type="spellEnd"/>
          </w:p>
        </w:tc>
        <w:tc>
          <w:tcPr>
            <w:tcW w:w="0" w:type="auto"/>
            <w:vAlign w:val="center"/>
            <w:hideMark/>
          </w:tcPr>
          <w:p w14:paraId="43DEA5E6" w14:textId="77777777" w:rsidR="00932BD5" w:rsidRPr="00BB7A1B" w:rsidRDefault="00932BD5" w:rsidP="004B611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B7A1B">
              <w:rPr>
                <w:rFonts w:ascii="Arial" w:eastAsia="Times New Roman" w:hAnsi="Arial" w:cs="Arial"/>
                <w:color w:val="000000"/>
                <w:sz w:val="18"/>
                <w:szCs w:val="18"/>
              </w:rPr>
              <w:t xml:space="preserve">Anise, badian, fennel, coriander; Ginger; Hops; Pepper (piper spp.); Peppermint; Pyrethrum, dried; Spices </w:t>
            </w:r>
            <w:proofErr w:type="spellStart"/>
            <w:r w:rsidRPr="00BB7A1B">
              <w:rPr>
                <w:rFonts w:ascii="Arial" w:eastAsia="Times New Roman" w:hAnsi="Arial" w:cs="Arial"/>
                <w:color w:val="000000"/>
                <w:sz w:val="18"/>
                <w:szCs w:val="18"/>
              </w:rPr>
              <w:t>nes</w:t>
            </w:r>
            <w:proofErr w:type="spellEnd"/>
            <w:r w:rsidRPr="00BB7A1B">
              <w:rPr>
                <w:rFonts w:ascii="Arial" w:eastAsia="Times New Roman" w:hAnsi="Arial" w:cs="Arial"/>
                <w:color w:val="000000"/>
                <w:sz w:val="18"/>
                <w:szCs w:val="18"/>
              </w:rPr>
              <w:t>; Tea; Tobacco, unmanufactured; Vanilla</w:t>
            </w:r>
          </w:p>
        </w:tc>
      </w:tr>
      <w:tr w:rsidR="00932BD5" w:rsidRPr="00BB7A1B" w14:paraId="37712F85" w14:textId="77777777" w:rsidTr="004B61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4349AD03" w14:textId="77777777" w:rsidR="00932BD5" w:rsidRPr="00072806" w:rsidRDefault="00932BD5" w:rsidP="004B6116">
            <w:pPr>
              <w:rPr>
                <w:rFonts w:ascii="Arial" w:eastAsia="Times New Roman" w:hAnsi="Arial" w:cs="Arial"/>
                <w:b w:val="0"/>
                <w:bCs w:val="0"/>
                <w:color w:val="000000"/>
                <w:sz w:val="18"/>
                <w:szCs w:val="18"/>
              </w:rPr>
            </w:pPr>
            <w:proofErr w:type="spellStart"/>
            <w:r w:rsidRPr="00072806">
              <w:rPr>
                <w:rFonts w:ascii="Arial" w:eastAsia="Times New Roman" w:hAnsi="Arial" w:cs="Arial"/>
                <w:b w:val="0"/>
                <w:bCs w:val="0"/>
                <w:color w:val="000000"/>
                <w:sz w:val="18"/>
                <w:szCs w:val="18"/>
              </w:rPr>
              <w:t>MiscCrop</w:t>
            </w:r>
            <w:proofErr w:type="spellEnd"/>
            <w:r w:rsidRPr="00072806">
              <w:rPr>
                <w:rFonts w:ascii="Arial" w:eastAsia="Times New Roman" w:hAnsi="Arial" w:cs="Arial"/>
                <w:b w:val="0"/>
                <w:bCs w:val="0"/>
                <w:color w:val="000000"/>
                <w:sz w:val="18"/>
                <w:szCs w:val="18"/>
              </w:rPr>
              <w:t xml:space="preserve"> (Tree)</w:t>
            </w:r>
          </w:p>
        </w:tc>
        <w:tc>
          <w:tcPr>
            <w:tcW w:w="0" w:type="auto"/>
            <w:vAlign w:val="center"/>
            <w:hideMark/>
          </w:tcPr>
          <w:p w14:paraId="7C7F3716" w14:textId="77777777" w:rsidR="00932BD5" w:rsidRPr="00BB7A1B" w:rsidRDefault="00932BD5" w:rsidP="004B611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B7A1B">
              <w:rPr>
                <w:rFonts w:ascii="Arial" w:eastAsia="Times New Roman" w:hAnsi="Arial" w:cs="Arial"/>
                <w:color w:val="000000"/>
                <w:sz w:val="18"/>
                <w:szCs w:val="18"/>
              </w:rPr>
              <w:t>Cinnamon (</w:t>
            </w:r>
            <w:proofErr w:type="spellStart"/>
            <w:r w:rsidRPr="00BB7A1B">
              <w:rPr>
                <w:rFonts w:ascii="Arial" w:eastAsia="Times New Roman" w:hAnsi="Arial" w:cs="Arial"/>
                <w:color w:val="000000"/>
                <w:sz w:val="18"/>
                <w:szCs w:val="18"/>
              </w:rPr>
              <w:t>cannella</w:t>
            </w:r>
            <w:proofErr w:type="spellEnd"/>
            <w:r w:rsidRPr="00BB7A1B">
              <w:rPr>
                <w:rFonts w:ascii="Arial" w:eastAsia="Times New Roman" w:hAnsi="Arial" w:cs="Arial"/>
                <w:color w:val="000000"/>
                <w:sz w:val="18"/>
                <w:szCs w:val="18"/>
              </w:rPr>
              <w:t xml:space="preserve">); Cloves; Cocoa, beans; Coffee, green; Mate; Nutmeg, mace and cardamoms; Rubber, natural; </w:t>
            </w:r>
          </w:p>
        </w:tc>
      </w:tr>
      <w:tr w:rsidR="00932BD5" w:rsidRPr="00BB7A1B" w14:paraId="4D4C1965" w14:textId="77777777" w:rsidTr="004B6116">
        <w:trPr>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0C38C3C8" w14:textId="77777777" w:rsidR="00932BD5" w:rsidRPr="00072806" w:rsidRDefault="00932BD5" w:rsidP="004B6116">
            <w:pPr>
              <w:rPr>
                <w:rFonts w:ascii="Arial" w:eastAsia="Times New Roman" w:hAnsi="Arial" w:cs="Arial"/>
                <w:b w:val="0"/>
                <w:bCs w:val="0"/>
                <w:color w:val="000000"/>
                <w:sz w:val="18"/>
                <w:szCs w:val="18"/>
              </w:rPr>
            </w:pPr>
            <w:proofErr w:type="spellStart"/>
            <w:r w:rsidRPr="00072806">
              <w:rPr>
                <w:rFonts w:ascii="Arial" w:eastAsia="Times New Roman" w:hAnsi="Arial" w:cs="Arial"/>
                <w:b w:val="0"/>
                <w:bCs w:val="0"/>
                <w:color w:val="000000"/>
                <w:sz w:val="18"/>
                <w:szCs w:val="18"/>
              </w:rPr>
              <w:t>FodderGrass</w:t>
            </w:r>
            <w:proofErr w:type="spellEnd"/>
          </w:p>
        </w:tc>
        <w:tc>
          <w:tcPr>
            <w:tcW w:w="0" w:type="auto"/>
            <w:vAlign w:val="center"/>
            <w:hideMark/>
          </w:tcPr>
          <w:p w14:paraId="78BB878D" w14:textId="77777777" w:rsidR="00932BD5" w:rsidRPr="00BB7A1B" w:rsidRDefault="00932BD5" w:rsidP="004B611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B7A1B">
              <w:rPr>
                <w:rFonts w:ascii="Arial" w:eastAsia="Times New Roman" w:hAnsi="Arial" w:cs="Arial"/>
                <w:color w:val="000000"/>
                <w:sz w:val="18"/>
                <w:szCs w:val="18"/>
              </w:rPr>
              <w:t>forage Products; Grasses Nes for forage; Grasses Nes for forage; Rye grass for forage &amp; silage</w:t>
            </w:r>
          </w:p>
        </w:tc>
      </w:tr>
      <w:tr w:rsidR="00932BD5" w:rsidRPr="00BB7A1B" w14:paraId="3DC5181E" w14:textId="77777777" w:rsidTr="004B61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7B770431" w14:textId="77777777" w:rsidR="00932BD5" w:rsidRPr="00072806" w:rsidRDefault="00932BD5" w:rsidP="004B6116">
            <w:pPr>
              <w:rPr>
                <w:rFonts w:ascii="Arial" w:eastAsia="Times New Roman" w:hAnsi="Arial" w:cs="Arial"/>
                <w:b w:val="0"/>
                <w:bCs w:val="0"/>
                <w:color w:val="000000"/>
                <w:sz w:val="18"/>
                <w:szCs w:val="18"/>
              </w:rPr>
            </w:pPr>
            <w:proofErr w:type="spellStart"/>
            <w:r w:rsidRPr="00072806">
              <w:rPr>
                <w:rFonts w:ascii="Arial" w:eastAsia="Times New Roman" w:hAnsi="Arial" w:cs="Arial"/>
                <w:b w:val="0"/>
                <w:bCs w:val="0"/>
                <w:color w:val="000000"/>
                <w:sz w:val="18"/>
                <w:szCs w:val="18"/>
              </w:rPr>
              <w:t>FodderHerb</w:t>
            </w:r>
            <w:proofErr w:type="spellEnd"/>
          </w:p>
        </w:tc>
        <w:tc>
          <w:tcPr>
            <w:tcW w:w="0" w:type="auto"/>
            <w:vAlign w:val="center"/>
            <w:hideMark/>
          </w:tcPr>
          <w:p w14:paraId="1FE8B71A" w14:textId="77777777" w:rsidR="00932BD5" w:rsidRPr="00BB7A1B" w:rsidRDefault="00932BD5" w:rsidP="004B611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B7A1B">
              <w:rPr>
                <w:rFonts w:ascii="Arial" w:eastAsia="Times New Roman" w:hAnsi="Arial" w:cs="Arial"/>
                <w:color w:val="000000"/>
                <w:sz w:val="18"/>
                <w:szCs w:val="18"/>
              </w:rPr>
              <w:t>Alfalfa for forage and silage; Beets for Fodder; Cabbage for Fodder; Carrots for Fodder; Clover for forage and silage; Green Oilseeds for Silage; Leguminous for Silage; Swedes for Fodder; Turnips for Fodder; Vegetables Roots Fodder; Maize for forage and silage; Sorghum for forage and silage</w:t>
            </w:r>
          </w:p>
        </w:tc>
      </w:tr>
      <w:tr w:rsidR="00932BD5" w:rsidRPr="00BB7A1B" w14:paraId="36CC8A91" w14:textId="77777777" w:rsidTr="004B6116">
        <w:trPr>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4D3B0F2A" w14:textId="77777777" w:rsidR="00932BD5" w:rsidRPr="00072806" w:rsidRDefault="00932BD5" w:rsidP="004B6116">
            <w:pPr>
              <w:rPr>
                <w:rFonts w:ascii="Arial" w:eastAsia="Times New Roman" w:hAnsi="Arial" w:cs="Arial"/>
                <w:b w:val="0"/>
                <w:bCs w:val="0"/>
                <w:color w:val="000000"/>
                <w:sz w:val="18"/>
                <w:szCs w:val="18"/>
              </w:rPr>
            </w:pPr>
            <w:r w:rsidRPr="00072806">
              <w:rPr>
                <w:rFonts w:ascii="Arial" w:eastAsia="Times New Roman" w:hAnsi="Arial" w:cs="Arial"/>
                <w:b w:val="0"/>
                <w:bCs w:val="0"/>
                <w:color w:val="000000"/>
                <w:sz w:val="18"/>
                <w:szCs w:val="18"/>
              </w:rPr>
              <w:t>Beef</w:t>
            </w:r>
          </w:p>
        </w:tc>
        <w:tc>
          <w:tcPr>
            <w:tcW w:w="0" w:type="auto"/>
            <w:noWrap/>
            <w:vAlign w:val="center"/>
            <w:hideMark/>
          </w:tcPr>
          <w:p w14:paraId="6DC1970C" w14:textId="77777777" w:rsidR="00932BD5" w:rsidRPr="00BB7A1B" w:rsidRDefault="00932BD5" w:rsidP="004B611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B7A1B">
              <w:rPr>
                <w:rFonts w:ascii="Arial" w:eastAsia="Times New Roman" w:hAnsi="Arial" w:cs="Arial"/>
                <w:color w:val="000000"/>
                <w:sz w:val="18"/>
                <w:szCs w:val="18"/>
              </w:rPr>
              <w:t>Meat, cattle; Meat, buffalo</w:t>
            </w:r>
          </w:p>
        </w:tc>
      </w:tr>
      <w:tr w:rsidR="00932BD5" w:rsidRPr="00BB7A1B" w14:paraId="2A67C2F2" w14:textId="77777777" w:rsidTr="004B61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5FECA308" w14:textId="77777777" w:rsidR="00932BD5" w:rsidRPr="00072806" w:rsidRDefault="00932BD5" w:rsidP="004B6116">
            <w:pPr>
              <w:rPr>
                <w:rFonts w:ascii="Arial" w:eastAsia="Times New Roman" w:hAnsi="Arial" w:cs="Arial"/>
                <w:b w:val="0"/>
                <w:bCs w:val="0"/>
                <w:color w:val="000000"/>
                <w:sz w:val="18"/>
                <w:szCs w:val="18"/>
              </w:rPr>
            </w:pPr>
            <w:r w:rsidRPr="00072806">
              <w:rPr>
                <w:rFonts w:ascii="Arial" w:eastAsia="Times New Roman" w:hAnsi="Arial" w:cs="Arial"/>
                <w:b w:val="0"/>
                <w:bCs w:val="0"/>
                <w:color w:val="000000"/>
                <w:sz w:val="18"/>
                <w:szCs w:val="18"/>
              </w:rPr>
              <w:t>Dairy</w:t>
            </w:r>
          </w:p>
        </w:tc>
        <w:tc>
          <w:tcPr>
            <w:tcW w:w="0" w:type="auto"/>
            <w:vAlign w:val="center"/>
            <w:hideMark/>
          </w:tcPr>
          <w:p w14:paraId="14375941" w14:textId="77777777" w:rsidR="00932BD5" w:rsidRPr="00BB7A1B" w:rsidRDefault="00932BD5" w:rsidP="004B611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B7A1B">
              <w:rPr>
                <w:rFonts w:ascii="Arial" w:eastAsia="Times New Roman" w:hAnsi="Arial" w:cs="Arial"/>
                <w:color w:val="000000"/>
                <w:sz w:val="18"/>
                <w:szCs w:val="18"/>
              </w:rPr>
              <w:t>Milk, whole fresh cow; Milk, whole fresh camel; Milk, whole fresh buffalo; Milk, whole fresh goat; Milk, whole fresh sheep</w:t>
            </w:r>
          </w:p>
        </w:tc>
      </w:tr>
      <w:tr w:rsidR="00932BD5" w:rsidRPr="00BB7A1B" w14:paraId="0B65E989" w14:textId="77777777" w:rsidTr="004B6116">
        <w:trPr>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69AE7775" w14:textId="77777777" w:rsidR="00932BD5" w:rsidRPr="00072806" w:rsidRDefault="00932BD5" w:rsidP="004B6116">
            <w:pPr>
              <w:rPr>
                <w:rFonts w:ascii="Arial" w:eastAsia="Times New Roman" w:hAnsi="Arial" w:cs="Arial"/>
                <w:b w:val="0"/>
                <w:bCs w:val="0"/>
                <w:color w:val="000000"/>
                <w:sz w:val="18"/>
                <w:szCs w:val="18"/>
              </w:rPr>
            </w:pPr>
            <w:r w:rsidRPr="00072806">
              <w:rPr>
                <w:rFonts w:ascii="Arial" w:eastAsia="Times New Roman" w:hAnsi="Arial" w:cs="Arial"/>
                <w:b w:val="0"/>
                <w:bCs w:val="0"/>
                <w:color w:val="000000"/>
                <w:sz w:val="18"/>
                <w:szCs w:val="18"/>
              </w:rPr>
              <w:t>Pork</w:t>
            </w:r>
          </w:p>
        </w:tc>
        <w:tc>
          <w:tcPr>
            <w:tcW w:w="0" w:type="auto"/>
            <w:noWrap/>
            <w:vAlign w:val="center"/>
            <w:hideMark/>
          </w:tcPr>
          <w:p w14:paraId="6529B086" w14:textId="77777777" w:rsidR="00932BD5" w:rsidRPr="00BB7A1B" w:rsidRDefault="00932BD5" w:rsidP="004B611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B7A1B">
              <w:rPr>
                <w:rFonts w:ascii="Arial" w:eastAsia="Times New Roman" w:hAnsi="Arial" w:cs="Arial"/>
                <w:color w:val="000000"/>
                <w:sz w:val="18"/>
                <w:szCs w:val="18"/>
              </w:rPr>
              <w:t>Meat, pig</w:t>
            </w:r>
          </w:p>
        </w:tc>
      </w:tr>
      <w:tr w:rsidR="00932BD5" w:rsidRPr="00BB7A1B" w14:paraId="2D738A02" w14:textId="77777777" w:rsidTr="004B61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5FBCF2FA" w14:textId="77777777" w:rsidR="00932BD5" w:rsidRPr="00072806" w:rsidRDefault="00932BD5" w:rsidP="004B6116">
            <w:pPr>
              <w:rPr>
                <w:rFonts w:ascii="Arial" w:eastAsia="Times New Roman" w:hAnsi="Arial" w:cs="Arial"/>
                <w:b w:val="0"/>
                <w:bCs w:val="0"/>
                <w:color w:val="000000"/>
                <w:sz w:val="18"/>
                <w:szCs w:val="18"/>
              </w:rPr>
            </w:pPr>
            <w:r w:rsidRPr="00072806">
              <w:rPr>
                <w:rFonts w:ascii="Arial" w:eastAsia="Times New Roman" w:hAnsi="Arial" w:cs="Arial"/>
                <w:b w:val="0"/>
                <w:bCs w:val="0"/>
                <w:color w:val="000000"/>
                <w:sz w:val="18"/>
                <w:szCs w:val="18"/>
              </w:rPr>
              <w:t>Poultry</w:t>
            </w:r>
          </w:p>
        </w:tc>
        <w:tc>
          <w:tcPr>
            <w:tcW w:w="0" w:type="auto"/>
            <w:noWrap/>
            <w:vAlign w:val="center"/>
            <w:hideMark/>
          </w:tcPr>
          <w:p w14:paraId="6EC24239" w14:textId="77777777" w:rsidR="00932BD5" w:rsidRPr="00BB7A1B" w:rsidRDefault="00932BD5" w:rsidP="004B611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B7A1B">
              <w:rPr>
                <w:rFonts w:ascii="Arial" w:eastAsia="Times New Roman" w:hAnsi="Arial" w:cs="Arial"/>
                <w:color w:val="000000"/>
                <w:sz w:val="18"/>
                <w:szCs w:val="18"/>
              </w:rPr>
              <w:t xml:space="preserve">Meat, duck; Meat, goose and guinea fowl; Meat, turkey; Meat, chicken; Meat, chicken; Eggs, other bird, in shell; Eggs, hen, in shell; </w:t>
            </w:r>
          </w:p>
        </w:tc>
      </w:tr>
      <w:tr w:rsidR="00932BD5" w:rsidRPr="00BB7A1B" w14:paraId="3FDB93D4" w14:textId="77777777" w:rsidTr="004B6116">
        <w:trPr>
          <w:trHeight w:val="288"/>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44822799" w14:textId="77777777" w:rsidR="00932BD5" w:rsidRPr="00072806" w:rsidRDefault="00932BD5" w:rsidP="004B6116">
            <w:pPr>
              <w:rPr>
                <w:rFonts w:ascii="Arial" w:eastAsia="Times New Roman" w:hAnsi="Arial" w:cs="Arial"/>
                <w:b w:val="0"/>
                <w:bCs w:val="0"/>
                <w:color w:val="000000"/>
                <w:sz w:val="18"/>
                <w:szCs w:val="18"/>
              </w:rPr>
            </w:pPr>
            <w:proofErr w:type="spellStart"/>
            <w:r w:rsidRPr="00072806">
              <w:rPr>
                <w:rFonts w:ascii="Arial" w:eastAsia="Times New Roman" w:hAnsi="Arial" w:cs="Arial"/>
                <w:b w:val="0"/>
                <w:bCs w:val="0"/>
                <w:color w:val="000000"/>
                <w:sz w:val="18"/>
                <w:szCs w:val="18"/>
              </w:rPr>
              <w:t>SheepGoat</w:t>
            </w:r>
            <w:proofErr w:type="spellEnd"/>
          </w:p>
        </w:tc>
        <w:tc>
          <w:tcPr>
            <w:tcW w:w="0" w:type="auto"/>
            <w:noWrap/>
            <w:vAlign w:val="center"/>
            <w:hideMark/>
          </w:tcPr>
          <w:p w14:paraId="5035ED40" w14:textId="77777777" w:rsidR="00932BD5" w:rsidRPr="00BB7A1B" w:rsidRDefault="00932BD5" w:rsidP="004B6116">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BB7A1B">
              <w:rPr>
                <w:rFonts w:ascii="Arial" w:eastAsia="Times New Roman" w:hAnsi="Arial" w:cs="Arial"/>
                <w:color w:val="000000"/>
                <w:sz w:val="18"/>
                <w:szCs w:val="18"/>
              </w:rPr>
              <w:t>Meat, sheep; Meat, goat</w:t>
            </w:r>
          </w:p>
        </w:tc>
      </w:tr>
      <w:tr w:rsidR="00932BD5" w:rsidRPr="00BB7A1B" w14:paraId="6B2CAA71" w14:textId="77777777" w:rsidTr="004B61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auto"/>
            </w:tcBorders>
            <w:noWrap/>
            <w:vAlign w:val="center"/>
            <w:hideMark/>
          </w:tcPr>
          <w:p w14:paraId="65C31537" w14:textId="77777777" w:rsidR="00932BD5" w:rsidRPr="00072806" w:rsidRDefault="00932BD5" w:rsidP="004B6116">
            <w:pPr>
              <w:rPr>
                <w:rFonts w:ascii="Arial" w:eastAsia="Times New Roman" w:hAnsi="Arial" w:cs="Arial"/>
                <w:b w:val="0"/>
                <w:bCs w:val="0"/>
                <w:color w:val="000000"/>
                <w:sz w:val="18"/>
                <w:szCs w:val="18"/>
              </w:rPr>
            </w:pPr>
            <w:proofErr w:type="spellStart"/>
            <w:r w:rsidRPr="00072806">
              <w:rPr>
                <w:rFonts w:ascii="Arial" w:eastAsia="Times New Roman" w:hAnsi="Arial" w:cs="Arial"/>
                <w:b w:val="0"/>
                <w:bCs w:val="0"/>
                <w:color w:val="000000"/>
                <w:sz w:val="18"/>
                <w:szCs w:val="18"/>
              </w:rPr>
              <w:t>OtherMeat</w:t>
            </w:r>
            <w:proofErr w:type="spellEnd"/>
          </w:p>
          <w:p w14:paraId="0811B9B9" w14:textId="77777777" w:rsidR="00932BD5" w:rsidRPr="00072806" w:rsidRDefault="00932BD5" w:rsidP="004B6116">
            <w:pPr>
              <w:rPr>
                <w:rFonts w:ascii="Arial" w:eastAsia="Times New Roman" w:hAnsi="Arial" w:cs="Arial"/>
                <w:b w:val="0"/>
                <w:bCs w:val="0"/>
                <w:color w:val="000000"/>
                <w:sz w:val="18"/>
                <w:szCs w:val="18"/>
              </w:rPr>
            </w:pPr>
            <w:r w:rsidRPr="00072806">
              <w:rPr>
                <w:rFonts w:ascii="Arial" w:eastAsia="Times New Roman" w:hAnsi="Arial" w:cs="Arial"/>
                <w:b w:val="0"/>
                <w:bCs w:val="0"/>
                <w:color w:val="000000"/>
                <w:sz w:val="18"/>
                <w:szCs w:val="18"/>
              </w:rPr>
              <w:t>&amp;Fish</w:t>
            </w:r>
          </w:p>
        </w:tc>
        <w:tc>
          <w:tcPr>
            <w:tcW w:w="0" w:type="auto"/>
            <w:tcBorders>
              <w:bottom w:val="single" w:sz="4" w:space="0" w:color="auto"/>
            </w:tcBorders>
            <w:vAlign w:val="center"/>
            <w:hideMark/>
          </w:tcPr>
          <w:p w14:paraId="2B0EA069" w14:textId="77777777" w:rsidR="00932BD5" w:rsidRPr="00BB7A1B" w:rsidRDefault="00932BD5" w:rsidP="004B6116">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BB7A1B">
              <w:rPr>
                <w:rFonts w:ascii="Arial" w:eastAsia="Times New Roman" w:hAnsi="Arial" w:cs="Arial"/>
                <w:color w:val="000000"/>
                <w:sz w:val="18"/>
                <w:szCs w:val="18"/>
              </w:rPr>
              <w:t xml:space="preserve">Freshwater Fish; Fish, Body Oil; Fish, Liver Oil; Demersal Fish; Pelagic Fish; Marine Fish, Other; Crustaceans; Cephalopods; </w:t>
            </w:r>
            <w:proofErr w:type="spellStart"/>
            <w:r w:rsidRPr="00BB7A1B">
              <w:rPr>
                <w:rFonts w:ascii="Arial" w:eastAsia="Times New Roman" w:hAnsi="Arial" w:cs="Arial"/>
                <w:color w:val="000000"/>
                <w:sz w:val="18"/>
                <w:szCs w:val="18"/>
              </w:rPr>
              <w:t>Molluscs</w:t>
            </w:r>
            <w:proofErr w:type="spellEnd"/>
            <w:r w:rsidRPr="00BB7A1B">
              <w:rPr>
                <w:rFonts w:ascii="Arial" w:eastAsia="Times New Roman" w:hAnsi="Arial" w:cs="Arial"/>
                <w:color w:val="000000"/>
                <w:sz w:val="18"/>
                <w:szCs w:val="18"/>
              </w:rPr>
              <w:t xml:space="preserve">, Other; Aquatic Animals, Others; Aquatic Plants; Meat, Aquatic Mammals; Meat, rabbit; Meat, camel; Meat, other camelids; Meat, horse; Meat, ass; Meat, mule; Meat, other rodents; Meat, bird </w:t>
            </w:r>
            <w:proofErr w:type="spellStart"/>
            <w:r w:rsidRPr="00BB7A1B">
              <w:rPr>
                <w:rFonts w:ascii="Arial" w:eastAsia="Times New Roman" w:hAnsi="Arial" w:cs="Arial"/>
                <w:color w:val="000000"/>
                <w:sz w:val="18"/>
                <w:szCs w:val="18"/>
              </w:rPr>
              <w:t>nes</w:t>
            </w:r>
            <w:proofErr w:type="spellEnd"/>
            <w:r w:rsidRPr="00BB7A1B">
              <w:rPr>
                <w:rFonts w:ascii="Arial" w:eastAsia="Times New Roman" w:hAnsi="Arial" w:cs="Arial"/>
                <w:color w:val="000000"/>
                <w:sz w:val="18"/>
                <w:szCs w:val="18"/>
              </w:rPr>
              <w:t xml:space="preserve">; Meat, game; Meat </w:t>
            </w:r>
            <w:proofErr w:type="spellStart"/>
            <w:r w:rsidRPr="00BB7A1B">
              <w:rPr>
                <w:rFonts w:ascii="Arial" w:eastAsia="Times New Roman" w:hAnsi="Arial" w:cs="Arial"/>
                <w:color w:val="000000"/>
                <w:sz w:val="18"/>
                <w:szCs w:val="18"/>
              </w:rPr>
              <w:t>nes</w:t>
            </w:r>
            <w:proofErr w:type="spellEnd"/>
            <w:r w:rsidRPr="00BB7A1B">
              <w:rPr>
                <w:rFonts w:ascii="Arial" w:eastAsia="Times New Roman" w:hAnsi="Arial" w:cs="Arial"/>
                <w:color w:val="000000"/>
                <w:sz w:val="18"/>
                <w:szCs w:val="18"/>
              </w:rPr>
              <w:t xml:space="preserve">; </w:t>
            </w:r>
            <w:proofErr w:type="spellStart"/>
            <w:r w:rsidRPr="00BB7A1B">
              <w:rPr>
                <w:rFonts w:ascii="Arial" w:eastAsia="Times New Roman" w:hAnsi="Arial" w:cs="Arial"/>
                <w:color w:val="000000"/>
                <w:sz w:val="18"/>
                <w:szCs w:val="18"/>
              </w:rPr>
              <w:t>Offals</w:t>
            </w:r>
            <w:proofErr w:type="spellEnd"/>
            <w:r w:rsidRPr="00BB7A1B">
              <w:rPr>
                <w:rFonts w:ascii="Arial" w:eastAsia="Times New Roman" w:hAnsi="Arial" w:cs="Arial"/>
                <w:color w:val="000000"/>
                <w:sz w:val="18"/>
                <w:szCs w:val="18"/>
              </w:rPr>
              <w:t xml:space="preserve">, edible, cattle; </w:t>
            </w:r>
            <w:proofErr w:type="spellStart"/>
            <w:r w:rsidRPr="00BB7A1B">
              <w:rPr>
                <w:rFonts w:ascii="Arial" w:eastAsia="Times New Roman" w:hAnsi="Arial" w:cs="Arial"/>
                <w:color w:val="000000"/>
                <w:sz w:val="18"/>
                <w:szCs w:val="18"/>
              </w:rPr>
              <w:t>Offals</w:t>
            </w:r>
            <w:proofErr w:type="spellEnd"/>
            <w:r w:rsidRPr="00BB7A1B">
              <w:rPr>
                <w:rFonts w:ascii="Arial" w:eastAsia="Times New Roman" w:hAnsi="Arial" w:cs="Arial"/>
                <w:color w:val="000000"/>
                <w:sz w:val="18"/>
                <w:szCs w:val="18"/>
              </w:rPr>
              <w:t xml:space="preserve">, edible, buffaloes; </w:t>
            </w:r>
            <w:proofErr w:type="spellStart"/>
            <w:r w:rsidRPr="00BB7A1B">
              <w:rPr>
                <w:rFonts w:ascii="Arial" w:eastAsia="Times New Roman" w:hAnsi="Arial" w:cs="Arial"/>
                <w:color w:val="000000"/>
                <w:sz w:val="18"/>
                <w:szCs w:val="18"/>
              </w:rPr>
              <w:t>Offals</w:t>
            </w:r>
            <w:proofErr w:type="spellEnd"/>
            <w:r w:rsidRPr="00BB7A1B">
              <w:rPr>
                <w:rFonts w:ascii="Arial" w:eastAsia="Times New Roman" w:hAnsi="Arial" w:cs="Arial"/>
                <w:color w:val="000000"/>
                <w:sz w:val="18"/>
                <w:szCs w:val="18"/>
              </w:rPr>
              <w:t xml:space="preserve">, pigs, edible; </w:t>
            </w:r>
            <w:proofErr w:type="spellStart"/>
            <w:r w:rsidRPr="00BB7A1B">
              <w:rPr>
                <w:rFonts w:ascii="Arial" w:eastAsia="Times New Roman" w:hAnsi="Arial" w:cs="Arial"/>
                <w:color w:val="000000"/>
                <w:sz w:val="18"/>
                <w:szCs w:val="18"/>
              </w:rPr>
              <w:t>Offals</w:t>
            </w:r>
            <w:proofErr w:type="spellEnd"/>
            <w:r w:rsidRPr="00BB7A1B">
              <w:rPr>
                <w:rFonts w:ascii="Arial" w:eastAsia="Times New Roman" w:hAnsi="Arial" w:cs="Arial"/>
                <w:color w:val="000000"/>
                <w:sz w:val="18"/>
                <w:szCs w:val="18"/>
              </w:rPr>
              <w:t xml:space="preserve">, </w:t>
            </w:r>
            <w:proofErr w:type="spellStart"/>
            <w:r w:rsidRPr="00BB7A1B">
              <w:rPr>
                <w:rFonts w:ascii="Arial" w:eastAsia="Times New Roman" w:hAnsi="Arial" w:cs="Arial"/>
                <w:color w:val="000000"/>
                <w:sz w:val="18"/>
                <w:szCs w:val="18"/>
              </w:rPr>
              <w:t>sheep,edible</w:t>
            </w:r>
            <w:proofErr w:type="spellEnd"/>
            <w:r w:rsidRPr="00BB7A1B">
              <w:rPr>
                <w:rFonts w:ascii="Arial" w:eastAsia="Times New Roman" w:hAnsi="Arial" w:cs="Arial"/>
                <w:color w:val="000000"/>
                <w:sz w:val="18"/>
                <w:szCs w:val="18"/>
              </w:rPr>
              <w:t xml:space="preserve">; </w:t>
            </w:r>
            <w:proofErr w:type="spellStart"/>
            <w:r w:rsidRPr="00BB7A1B">
              <w:rPr>
                <w:rFonts w:ascii="Arial" w:eastAsia="Times New Roman" w:hAnsi="Arial" w:cs="Arial"/>
                <w:color w:val="000000"/>
                <w:sz w:val="18"/>
                <w:szCs w:val="18"/>
              </w:rPr>
              <w:t>Offals</w:t>
            </w:r>
            <w:proofErr w:type="spellEnd"/>
            <w:r w:rsidRPr="00BB7A1B">
              <w:rPr>
                <w:rFonts w:ascii="Arial" w:eastAsia="Times New Roman" w:hAnsi="Arial" w:cs="Arial"/>
                <w:color w:val="000000"/>
                <w:sz w:val="18"/>
                <w:szCs w:val="18"/>
              </w:rPr>
              <w:t xml:space="preserve">, edible, goats; </w:t>
            </w:r>
            <w:proofErr w:type="spellStart"/>
            <w:r w:rsidRPr="00BB7A1B">
              <w:rPr>
                <w:rFonts w:ascii="Arial" w:eastAsia="Times New Roman" w:hAnsi="Arial" w:cs="Arial"/>
                <w:color w:val="000000"/>
                <w:sz w:val="18"/>
                <w:szCs w:val="18"/>
              </w:rPr>
              <w:t>Offals</w:t>
            </w:r>
            <w:proofErr w:type="spellEnd"/>
            <w:r w:rsidRPr="00BB7A1B">
              <w:rPr>
                <w:rFonts w:ascii="Arial" w:eastAsia="Times New Roman" w:hAnsi="Arial" w:cs="Arial"/>
                <w:color w:val="000000"/>
                <w:sz w:val="18"/>
                <w:szCs w:val="18"/>
              </w:rPr>
              <w:t xml:space="preserve">, horses; </w:t>
            </w:r>
            <w:proofErr w:type="spellStart"/>
            <w:r w:rsidRPr="00BB7A1B">
              <w:rPr>
                <w:rFonts w:ascii="Arial" w:eastAsia="Times New Roman" w:hAnsi="Arial" w:cs="Arial"/>
                <w:color w:val="000000"/>
                <w:sz w:val="18"/>
                <w:szCs w:val="18"/>
              </w:rPr>
              <w:t>Offals</w:t>
            </w:r>
            <w:proofErr w:type="spellEnd"/>
            <w:r w:rsidRPr="00BB7A1B">
              <w:rPr>
                <w:rFonts w:ascii="Arial" w:eastAsia="Times New Roman" w:hAnsi="Arial" w:cs="Arial"/>
                <w:color w:val="000000"/>
                <w:sz w:val="18"/>
                <w:szCs w:val="18"/>
              </w:rPr>
              <w:t xml:space="preserve">, edible, camels; </w:t>
            </w:r>
            <w:proofErr w:type="spellStart"/>
            <w:r w:rsidRPr="00BB7A1B">
              <w:rPr>
                <w:rFonts w:ascii="Arial" w:eastAsia="Times New Roman" w:hAnsi="Arial" w:cs="Arial"/>
                <w:color w:val="000000"/>
                <w:sz w:val="18"/>
                <w:szCs w:val="18"/>
              </w:rPr>
              <w:t>Offals</w:t>
            </w:r>
            <w:proofErr w:type="spellEnd"/>
            <w:r w:rsidRPr="00BB7A1B">
              <w:rPr>
                <w:rFonts w:ascii="Arial" w:eastAsia="Times New Roman" w:hAnsi="Arial" w:cs="Arial"/>
                <w:color w:val="000000"/>
                <w:sz w:val="18"/>
                <w:szCs w:val="18"/>
              </w:rPr>
              <w:t xml:space="preserve">, liver chicken; </w:t>
            </w:r>
            <w:proofErr w:type="spellStart"/>
            <w:r w:rsidRPr="00BB7A1B">
              <w:rPr>
                <w:rFonts w:ascii="Arial" w:eastAsia="Times New Roman" w:hAnsi="Arial" w:cs="Arial"/>
                <w:color w:val="000000"/>
                <w:sz w:val="18"/>
                <w:szCs w:val="18"/>
              </w:rPr>
              <w:t>Offals</w:t>
            </w:r>
            <w:proofErr w:type="spellEnd"/>
            <w:r w:rsidRPr="00BB7A1B">
              <w:rPr>
                <w:rFonts w:ascii="Arial" w:eastAsia="Times New Roman" w:hAnsi="Arial" w:cs="Arial"/>
                <w:color w:val="000000"/>
                <w:sz w:val="18"/>
                <w:szCs w:val="18"/>
              </w:rPr>
              <w:t xml:space="preserve">, liver geese; </w:t>
            </w:r>
            <w:proofErr w:type="spellStart"/>
            <w:r w:rsidRPr="00BB7A1B">
              <w:rPr>
                <w:rFonts w:ascii="Arial" w:eastAsia="Times New Roman" w:hAnsi="Arial" w:cs="Arial"/>
                <w:color w:val="000000"/>
                <w:sz w:val="18"/>
                <w:szCs w:val="18"/>
              </w:rPr>
              <w:t>Offals</w:t>
            </w:r>
            <w:proofErr w:type="spellEnd"/>
            <w:r w:rsidRPr="00BB7A1B">
              <w:rPr>
                <w:rFonts w:ascii="Arial" w:eastAsia="Times New Roman" w:hAnsi="Arial" w:cs="Arial"/>
                <w:color w:val="000000"/>
                <w:sz w:val="18"/>
                <w:szCs w:val="18"/>
              </w:rPr>
              <w:t xml:space="preserve">, liver duck; </w:t>
            </w:r>
            <w:proofErr w:type="spellStart"/>
            <w:r w:rsidRPr="00BB7A1B">
              <w:rPr>
                <w:rFonts w:ascii="Arial" w:eastAsia="Times New Roman" w:hAnsi="Arial" w:cs="Arial"/>
                <w:color w:val="000000"/>
                <w:sz w:val="18"/>
                <w:szCs w:val="18"/>
              </w:rPr>
              <w:t>Offals</w:t>
            </w:r>
            <w:proofErr w:type="spellEnd"/>
            <w:r w:rsidRPr="00BB7A1B">
              <w:rPr>
                <w:rFonts w:ascii="Arial" w:eastAsia="Times New Roman" w:hAnsi="Arial" w:cs="Arial"/>
                <w:color w:val="000000"/>
                <w:sz w:val="18"/>
                <w:szCs w:val="18"/>
              </w:rPr>
              <w:t xml:space="preserve">, liver turkeys; </w:t>
            </w:r>
            <w:proofErr w:type="spellStart"/>
            <w:r w:rsidRPr="00BB7A1B">
              <w:rPr>
                <w:rFonts w:ascii="Arial" w:eastAsia="Times New Roman" w:hAnsi="Arial" w:cs="Arial"/>
                <w:color w:val="000000"/>
                <w:sz w:val="18"/>
                <w:szCs w:val="18"/>
              </w:rPr>
              <w:t>Offals</w:t>
            </w:r>
            <w:proofErr w:type="spellEnd"/>
            <w:r w:rsidRPr="00BB7A1B">
              <w:rPr>
                <w:rFonts w:ascii="Arial" w:eastAsia="Times New Roman" w:hAnsi="Arial" w:cs="Arial"/>
                <w:color w:val="000000"/>
                <w:sz w:val="18"/>
                <w:szCs w:val="18"/>
              </w:rPr>
              <w:t xml:space="preserve"> </w:t>
            </w:r>
            <w:proofErr w:type="spellStart"/>
            <w:r w:rsidRPr="00BB7A1B">
              <w:rPr>
                <w:rFonts w:ascii="Arial" w:eastAsia="Times New Roman" w:hAnsi="Arial" w:cs="Arial"/>
                <w:color w:val="000000"/>
                <w:sz w:val="18"/>
                <w:szCs w:val="18"/>
              </w:rPr>
              <w:t>nes</w:t>
            </w:r>
            <w:proofErr w:type="spellEnd"/>
            <w:r w:rsidRPr="00BB7A1B">
              <w:rPr>
                <w:rFonts w:ascii="Arial" w:eastAsia="Times New Roman" w:hAnsi="Arial" w:cs="Arial"/>
                <w:color w:val="000000"/>
                <w:sz w:val="18"/>
                <w:szCs w:val="18"/>
              </w:rPr>
              <w:t xml:space="preserve">; Liver prep.; Fat, cattle; Fat, buffaloes; Fat, sheep; Fat, goats; Fat, pigs; Fat, camels; Fat, other camelids; Oils, fats of animal </w:t>
            </w:r>
            <w:proofErr w:type="spellStart"/>
            <w:r w:rsidRPr="00BB7A1B">
              <w:rPr>
                <w:rFonts w:ascii="Arial" w:eastAsia="Times New Roman" w:hAnsi="Arial" w:cs="Arial"/>
                <w:color w:val="000000"/>
                <w:sz w:val="18"/>
                <w:szCs w:val="18"/>
              </w:rPr>
              <w:t>nes</w:t>
            </w:r>
            <w:proofErr w:type="spellEnd"/>
            <w:r w:rsidRPr="00BB7A1B">
              <w:rPr>
                <w:rFonts w:ascii="Arial" w:eastAsia="Times New Roman" w:hAnsi="Arial" w:cs="Arial"/>
                <w:color w:val="000000"/>
                <w:sz w:val="18"/>
                <w:szCs w:val="18"/>
              </w:rPr>
              <w:t xml:space="preserve">; Degras; Grease incl. lanolin wool; Fat </w:t>
            </w:r>
            <w:proofErr w:type="spellStart"/>
            <w:r w:rsidRPr="00BB7A1B">
              <w:rPr>
                <w:rFonts w:ascii="Arial" w:eastAsia="Times New Roman" w:hAnsi="Arial" w:cs="Arial"/>
                <w:color w:val="000000"/>
                <w:sz w:val="18"/>
                <w:szCs w:val="18"/>
              </w:rPr>
              <w:t>nes</w:t>
            </w:r>
            <w:proofErr w:type="spellEnd"/>
            <w:r w:rsidRPr="00BB7A1B">
              <w:rPr>
                <w:rFonts w:ascii="Arial" w:eastAsia="Times New Roman" w:hAnsi="Arial" w:cs="Arial"/>
                <w:color w:val="000000"/>
                <w:sz w:val="18"/>
                <w:szCs w:val="18"/>
              </w:rPr>
              <w:t>, prepared; Honey, natural; Snails, not sea</w:t>
            </w:r>
          </w:p>
        </w:tc>
      </w:tr>
    </w:tbl>
    <w:p w14:paraId="0B1F8E91" w14:textId="281BE39B" w:rsidR="00325D48" w:rsidRPr="00C43E1E" w:rsidRDefault="00325D48" w:rsidP="00AA29EA">
      <w:pPr>
        <w:pStyle w:val="Heading2"/>
        <w:spacing w:line="276" w:lineRule="auto"/>
      </w:pPr>
      <w:bookmarkStart w:id="15" w:name="_Toc162997997"/>
      <w:r w:rsidRPr="00C43E1E">
        <w:lastRenderedPageBreak/>
        <w:t>S1.</w:t>
      </w:r>
      <w:r w:rsidR="00B020EE">
        <w:t>2</w:t>
      </w:r>
      <w:r w:rsidRPr="00C43E1E">
        <w:t xml:space="preserve">. </w:t>
      </w:r>
      <w:r w:rsidR="00F3081B">
        <w:t>Nested logit structure in l</w:t>
      </w:r>
      <w:r w:rsidRPr="00C43E1E">
        <w:t>and allocation</w:t>
      </w:r>
      <w:r w:rsidR="00F3081B">
        <w:t xml:space="preserve"> and food demand</w:t>
      </w:r>
      <w:bookmarkEnd w:id="15"/>
      <w:r w:rsidRPr="00C43E1E">
        <w:t xml:space="preserve"> </w:t>
      </w:r>
    </w:p>
    <w:p w14:paraId="4AEDA491" w14:textId="5F8EDBFC" w:rsidR="00115D6D" w:rsidRDefault="00C96412" w:rsidP="00AA29EA">
      <w:pPr>
        <w:spacing w:after="121" w:line="276" w:lineRule="auto"/>
        <w:rPr>
          <w:rFonts w:ascii="Arial" w:hAnsi="Arial" w:cs="Arial"/>
        </w:rPr>
      </w:pPr>
      <w:r w:rsidRPr="00C96412">
        <w:rPr>
          <w:rFonts w:ascii="Arial" w:hAnsi="Arial" w:cs="Arial"/>
        </w:rPr>
        <w:t>In GCAM, land allocation is modeled employing the nested logit approach</w:t>
      </w:r>
      <w:r>
        <w:rPr>
          <w:rFonts w:ascii="Arial" w:hAnsi="Arial" w:cs="Arial"/>
        </w:rPr>
        <w:t xml:space="preserve"> for each water-economy region</w:t>
      </w:r>
      <w:r>
        <w:rPr>
          <w:rFonts w:ascii="Arial" w:hAnsi="Arial" w:cs="Arial"/>
        </w:rPr>
        <w:fldChar w:fldCharType="begin"/>
      </w:r>
      <w:r w:rsidR="00794F95">
        <w:rPr>
          <w:rFonts w:ascii="Arial" w:hAnsi="Arial" w:cs="Arial"/>
        </w:rPr>
        <w:instrText xml:space="preserve"> ADDIN ZOTERO_ITEM CSL_CITATION {"citationID":"4qbvc3f0","properties":{"formattedCitation":"\\super 32\\nosupersub{}","plainCitation":"32","noteIndex":0},"citationItems":[{"id":3728,"uris":["http://zotero.org/users/8267882/items/5AE5AWKN"],"itemData":{"id":3728,"type":"article-journal","abstract":"The release of the Global Change Assessment Model (GCAM) version 3.0 represents a major revision in the treatment of agriculture and land-use activities in a model of long-term, global human and physical Earth systems. GCAM 3.0 incorporates greater spatial and temporal resolution compared to GCAM 2.0. In this paper, we document the methods embodied in the new release, describe the motivation for the changes, compare GCAM 3.0 methods to those of other long-term, global agriculture-economy models and apply GCAM 3.0 to explore the impact of changes in agricultural crop yields on global land use and terrestrial carbon. In the absence of continued crop yield improvements throughout the century, not only are cumulative carbon emissions a major source of CO2 emissions to the atmosphere, but bioenergy production remains trivial — land is needed for food. In contrast, the high crop yield improvement scenario cuts terrestrial carbon emissions dramatically and facilitates both food and energy production.","container-title":"Climate Change Economics","ISSN":"2010-0078","issue":"2","note":"publisher: World Scientific Publishing Co., Inc.","page":"1-22","source":"JSTOR","title":"ECONOMIC AND PHYSICAL MODELING OF LAND USE IN GCAM 3.0 AND AN APPLICATION TO AGRICULTURAL PRODUCTIVITY, LAND, AND TERRESTRIAL CARBON","URL":"https://www.jstor.org/stable/climchanecon.5.2.03","volume":"5","author":[{"family":"Wise","given":"Marshall"},{"family":"Calvin","given":"Katherine"},{"family":"Kyle","given":"G. Page"},{"family":"Luckow","given":"Patrick"},{"family":"Edmonds","given":"Jae"}],"accessed":{"date-parts":[["2022",6,28]]},"issued":{"date-parts":[["2014"]]}}}],"schema":"https://github.com/citation-style-language/schema/raw/master/csl-citation.json"} </w:instrText>
      </w:r>
      <w:r>
        <w:rPr>
          <w:rFonts w:ascii="Arial" w:hAnsi="Arial" w:cs="Arial"/>
        </w:rPr>
        <w:fldChar w:fldCharType="separate"/>
      </w:r>
      <w:r w:rsidR="00794F95" w:rsidRPr="00794F95">
        <w:rPr>
          <w:rFonts w:ascii="Arial" w:hAnsi="Arial" w:cs="Arial"/>
          <w:szCs w:val="24"/>
          <w:vertAlign w:val="superscript"/>
        </w:rPr>
        <w:t>32</w:t>
      </w:r>
      <w:r>
        <w:rPr>
          <w:rFonts w:ascii="Arial" w:hAnsi="Arial" w:cs="Arial"/>
        </w:rPr>
        <w:fldChar w:fldCharType="end"/>
      </w:r>
      <w:r w:rsidRPr="00C96412">
        <w:rPr>
          <w:rFonts w:ascii="Arial" w:hAnsi="Arial" w:cs="Arial"/>
        </w:rPr>
        <w:t>, where landowners distribute land across various uses to optimize a preference-adjusted rental profit</w:t>
      </w:r>
      <w:r>
        <w:rPr>
          <w:rFonts w:ascii="Arial" w:hAnsi="Arial" w:cs="Arial"/>
        </w:rPr>
        <w:fldChar w:fldCharType="begin"/>
      </w:r>
      <w:r w:rsidR="00794F95">
        <w:rPr>
          <w:rFonts w:ascii="Arial" w:hAnsi="Arial" w:cs="Arial"/>
        </w:rPr>
        <w:instrText xml:space="preserve"> ADDIN ZOTERO_ITEM CSL_CITATION {"citationID":"9TggsF0Z","properties":{"formattedCitation":"\\super 6\\nosupersub{}","plainCitation":"6","noteIndex":0},"citationItems":[{"id":1771,"uris":["http://zotero.org/users/8267882/items/4YEQR7E4"],"itemData":{"id":1771,"type":"article-journal","abstract":"The difference in land use modeling approaches is an important uncertain factor in evaluating future climate scenarios in global economic models. We compare five widely used land use modeling approaches: constrained optimization, constant elasticity of transformation (CET), the additive form of constant elasticity of transformation (ACET), logit, and Ricardian. We demonstrate that the approaches differ not only by the extent of parameter uses but also by the definition of conversion cost and the consideration of comparative advantage implied by land heterogeneity. We develop a generalized hybrid approach that incorporates ACET/logit and Ricardian to account for both conversion cost and comparative advantage. We use this hybrid approach to estimate future climate impacts on agriculture. We find a welfare loss of about 0.38–0.46% of the global GDP. We demonstrate that ignoring land heterogeneity or land conversion costs underestimates climate impacts on agricultural production and welfare.","container-title":"Climate Change Economics","DOI":"10.1142/S2010007820500049","ISSN":"2010-0078","issue":"01","journalAbbreviation":"Clim. Change Econ.","license":"All rights reserved","note":"publisher: World Scientific Publishing Co.","page":"2050004","source":"worldscientific.com (Atypon)","title":"The critical role of conversion cost and comparative advantage in modeling agricultural land use change","URL":"https://www.worldscientific.com/doi/abs/10.1142/S2010007820500049","volume":"11","author":[{"family":"Zhao","given":"Xin"},{"family":"Calvin","given":"Katherine V."},{"family":"Wise","given":"Marshall A."}],"accessed":{"date-parts":[["2021",12,13]]},"issued":{"date-parts":[["2020",2,1]]}}}],"schema":"https://github.com/citation-style-language/schema/raw/master/csl-citation.json"} </w:instrText>
      </w:r>
      <w:r>
        <w:rPr>
          <w:rFonts w:ascii="Arial" w:hAnsi="Arial" w:cs="Arial"/>
        </w:rPr>
        <w:fldChar w:fldCharType="separate"/>
      </w:r>
      <w:r w:rsidR="00794F95" w:rsidRPr="00794F95">
        <w:rPr>
          <w:rFonts w:ascii="Arial" w:hAnsi="Arial" w:cs="Arial"/>
          <w:szCs w:val="24"/>
          <w:vertAlign w:val="superscript"/>
        </w:rPr>
        <w:t>6</w:t>
      </w:r>
      <w:r>
        <w:rPr>
          <w:rFonts w:ascii="Arial" w:hAnsi="Arial" w:cs="Arial"/>
        </w:rPr>
        <w:fldChar w:fldCharType="end"/>
      </w:r>
      <w:r w:rsidRPr="00C96412">
        <w:rPr>
          <w:rFonts w:ascii="Arial" w:hAnsi="Arial" w:cs="Arial"/>
        </w:rPr>
        <w:t>. This allocation is subject to constraints on physical area and unconditional rental profit distribution, which are determined by cost and land productivity data.</w:t>
      </w:r>
      <w:r w:rsidR="00115D6D">
        <w:rPr>
          <w:rFonts w:ascii="Arial" w:hAnsi="Arial" w:cs="Arial"/>
        </w:rPr>
        <w:t xml:space="preserve"> </w:t>
      </w:r>
      <w:r w:rsidR="00115D6D" w:rsidRPr="00115D6D">
        <w:rPr>
          <w:rFonts w:ascii="Arial" w:hAnsi="Arial" w:cs="Arial"/>
        </w:rPr>
        <w:t>The allocation of physical land shares is determined as a function that responds to the rental profits derived in Equation (1) in the Methods section. A nested structure (</w:t>
      </w:r>
      <w:r w:rsidR="00115D6D" w:rsidRPr="00115D6D">
        <w:rPr>
          <w:rFonts w:ascii="Arial" w:hAnsi="Arial" w:cs="Arial"/>
          <w:b/>
          <w:bCs/>
        </w:rPr>
        <w:fldChar w:fldCharType="begin"/>
      </w:r>
      <w:r w:rsidR="00115D6D" w:rsidRPr="00115D6D">
        <w:rPr>
          <w:rFonts w:ascii="Arial" w:hAnsi="Arial" w:cs="Arial"/>
          <w:b/>
          <w:bCs/>
        </w:rPr>
        <w:instrText xml:space="preserve"> REF _Ref162351117 \h  \* MERGEFORMAT </w:instrText>
      </w:r>
      <w:r w:rsidR="00115D6D" w:rsidRPr="00115D6D">
        <w:rPr>
          <w:rFonts w:ascii="Arial" w:hAnsi="Arial" w:cs="Arial"/>
          <w:b/>
          <w:bCs/>
        </w:rPr>
      </w:r>
      <w:r w:rsidR="00115D6D" w:rsidRPr="00115D6D">
        <w:rPr>
          <w:rFonts w:ascii="Arial" w:hAnsi="Arial" w:cs="Arial"/>
          <w:b/>
          <w:bCs/>
        </w:rPr>
        <w:fldChar w:fldCharType="separate"/>
      </w:r>
      <w:r w:rsidR="009141B0" w:rsidRPr="009141B0">
        <w:rPr>
          <w:rFonts w:ascii="Arial" w:hAnsi="Arial" w:cs="Arial"/>
          <w:b/>
          <w:bCs/>
          <w:szCs w:val="20"/>
        </w:rPr>
        <w:t>Fig. S1</w:t>
      </w:r>
      <w:r w:rsidR="00115D6D" w:rsidRPr="00115D6D">
        <w:rPr>
          <w:rFonts w:ascii="Arial" w:hAnsi="Arial" w:cs="Arial"/>
          <w:b/>
          <w:bCs/>
        </w:rPr>
        <w:fldChar w:fldCharType="end"/>
      </w:r>
      <w:r w:rsidR="00115D6D" w:rsidRPr="00115D6D">
        <w:rPr>
          <w:rFonts w:ascii="Arial" w:hAnsi="Arial" w:cs="Arial"/>
        </w:rPr>
        <w:t>) is employed to enhance the flexibility in controlling the response.</w:t>
      </w:r>
      <w:r w:rsidR="00115D6D">
        <w:rPr>
          <w:rFonts w:ascii="Arial" w:hAnsi="Arial" w:cs="Arial"/>
        </w:rPr>
        <w:t xml:space="preserve"> </w:t>
      </w:r>
      <w:r w:rsidR="00115D6D" w:rsidRPr="00115D6D">
        <w:rPr>
          <w:rFonts w:ascii="Arial" w:hAnsi="Arial" w:cs="Arial"/>
        </w:rPr>
        <w:t>The land logit exponent parameters utilized are sourced from Zhao et al. (2024)</w:t>
      </w:r>
      <w:r w:rsidR="00115D6D">
        <w:rPr>
          <w:rFonts w:ascii="Arial" w:hAnsi="Arial" w:cs="Arial"/>
        </w:rPr>
        <w:fldChar w:fldCharType="begin"/>
      </w:r>
      <w:r w:rsidR="00794F95">
        <w:rPr>
          <w:rFonts w:ascii="Arial" w:hAnsi="Arial" w:cs="Arial"/>
        </w:rPr>
        <w:instrText xml:space="preserve"> ADDIN ZOTERO_ITEM CSL_CITATION {"citationID":"a1v7atjh3db","properties":{"formattedCitation":"\\super 33\\nosupersub{}","plainCitation":"33","noteIndex":0},"citationItems":[{"id":8619,"uris":["http://zotero.org/users/8267882/items/7BJRIY95"],"itemData":{"id":8619,"type":"article-journal","abstract":"Land-based carbon removals, specifically afforestation/reforestation and bioenergy with carbon capture and storage (BECCS), vary widely in 1.5 °C and 2 °C scenarios generated by integrated assessment models. Because underlying drivers are difficult to assess, we use a well-known integrated assessment model, GCAM, to demonstrate that land-based carbon removals are sensitive to the strength and scope of land-based mitigation policies. We find that while cumulative afforestation/reforestation and BECCS deployment are inversely related, they are both typically part of cost-effective mitigation pathways, with forestry options deployed earlier. While the CO2 removal intensity (removal per unit land) of BECCS is typically higher than afforestation/reforestation over long time horizons, the BECCS removal intensity is sensitive to feedstock and technology choices whereas the afforestation/reforestation removal intensity is sensitive to land policy choices. Finally, we find a generally positive relationship between agricultural prices and removal effectiveness of land-based mitigation, suggesting that some trade-offs may be difficult to avoid.","container-title":"Nature Communications","DOI":"10.1038/s41467-024-46575-3","ISSN":"2041-1723","issue":"1","journalAbbreviation":"Nat Commun","language":"en","license":"2024 The Author(s)","note":"publisher: Nature Publishing Group","page":"2297","source":"www.nature.com","title":"Trade-offs in land-based carbon removal measures under 1.5 °C and 2 °C futures","URL":"https://www.nature.com/articles/s41467-024-46575-3","volume":"15","author":[{"family":"Zhao","given":"Xin"},{"family":"Mignone","given":"Bryan K."},{"family":"Wise","given":"Marshall A."},{"family":"McJeon","given":"Haewon C."}],"accessed":{"date-parts":[["2024",3,14]]},"issued":{"date-parts":[["2024",3,14]]}}}],"schema":"https://github.com/citation-style-language/schema/raw/master/csl-citation.json"} </w:instrText>
      </w:r>
      <w:r w:rsidR="00115D6D">
        <w:rPr>
          <w:rFonts w:ascii="Arial" w:hAnsi="Arial" w:cs="Arial"/>
        </w:rPr>
        <w:fldChar w:fldCharType="separate"/>
      </w:r>
      <w:r w:rsidR="00794F95" w:rsidRPr="00794F95">
        <w:rPr>
          <w:rFonts w:ascii="Arial" w:hAnsi="Arial" w:cs="Arial"/>
          <w:szCs w:val="24"/>
          <w:vertAlign w:val="superscript"/>
        </w:rPr>
        <w:t>33</w:t>
      </w:r>
      <w:r w:rsidR="00115D6D">
        <w:rPr>
          <w:rFonts w:ascii="Arial" w:hAnsi="Arial" w:cs="Arial"/>
        </w:rPr>
        <w:fldChar w:fldCharType="end"/>
      </w:r>
      <w:r w:rsidR="00115D6D" w:rsidRPr="00115D6D">
        <w:rPr>
          <w:rFonts w:ascii="Arial" w:hAnsi="Arial" w:cs="Arial"/>
        </w:rPr>
        <w:t>.</w:t>
      </w:r>
    </w:p>
    <w:p w14:paraId="0435EE64" w14:textId="2399DD31" w:rsidR="00BD727F" w:rsidRDefault="00BD727F" w:rsidP="00BD727F">
      <w:pPr>
        <w:spacing w:after="121" w:line="276" w:lineRule="auto"/>
        <w:rPr>
          <w:rFonts w:ascii="Arial" w:hAnsi="Arial" w:cs="Arial"/>
          <w:color w:val="000000" w:themeColor="text1"/>
        </w:rPr>
      </w:pPr>
      <w:r>
        <w:rPr>
          <w:rFonts w:ascii="Arial" w:hAnsi="Arial" w:cs="Arial"/>
        </w:rPr>
        <w:t>On the demand side</w:t>
      </w:r>
      <w:r w:rsidRPr="00115D6D">
        <w:rPr>
          <w:rFonts w:ascii="Arial" w:hAnsi="Arial" w:cs="Arial"/>
        </w:rPr>
        <w:t>, a nesting structure (</w:t>
      </w:r>
      <w:r w:rsidRPr="00115D6D">
        <w:rPr>
          <w:rFonts w:ascii="Arial" w:hAnsi="Arial" w:cs="Arial"/>
          <w:b/>
          <w:bCs/>
        </w:rPr>
        <w:fldChar w:fldCharType="begin"/>
      </w:r>
      <w:r w:rsidRPr="00115D6D">
        <w:rPr>
          <w:rFonts w:ascii="Arial" w:hAnsi="Arial" w:cs="Arial"/>
          <w:b/>
          <w:bCs/>
        </w:rPr>
        <w:instrText xml:space="preserve"> REF _Ref162351390 \h  \* MERGEFORMAT </w:instrText>
      </w:r>
      <w:r w:rsidRPr="00115D6D">
        <w:rPr>
          <w:rFonts w:ascii="Arial" w:hAnsi="Arial" w:cs="Arial"/>
          <w:b/>
          <w:bCs/>
        </w:rPr>
      </w:r>
      <w:r w:rsidRPr="00115D6D">
        <w:rPr>
          <w:rFonts w:ascii="Arial" w:hAnsi="Arial" w:cs="Arial"/>
          <w:b/>
          <w:bCs/>
        </w:rPr>
        <w:fldChar w:fldCharType="separate"/>
      </w:r>
      <w:r w:rsidR="009141B0" w:rsidRPr="009141B0">
        <w:rPr>
          <w:rFonts w:ascii="Arial" w:hAnsi="Arial" w:cs="Arial"/>
          <w:b/>
          <w:bCs/>
        </w:rPr>
        <w:t>Fig. S2</w:t>
      </w:r>
      <w:r w:rsidRPr="00115D6D">
        <w:rPr>
          <w:rFonts w:ascii="Arial" w:hAnsi="Arial" w:cs="Arial"/>
          <w:b/>
          <w:bCs/>
        </w:rPr>
        <w:fldChar w:fldCharType="end"/>
      </w:r>
      <w:r w:rsidRPr="00115D6D">
        <w:rPr>
          <w:rFonts w:ascii="Arial" w:hAnsi="Arial" w:cs="Arial"/>
        </w:rPr>
        <w:t>) is employed to aggregate food from various sources by calories</w:t>
      </w:r>
      <w:r>
        <w:rPr>
          <w:rFonts w:ascii="Arial" w:hAnsi="Arial" w:cs="Arial"/>
        </w:rPr>
        <w:t xml:space="preserve"> </w:t>
      </w:r>
      <w:r w:rsidRPr="00115D6D">
        <w:rPr>
          <w:rFonts w:ascii="Arial" w:hAnsi="Arial" w:cs="Arial"/>
        </w:rPr>
        <w:t xml:space="preserve">in GCAM. At the top level (Staples vs. Non-Staples), the approach devised by Edmonds et al. (2017) </w:t>
      </w:r>
      <w:r w:rsidRPr="00C96412">
        <w:rPr>
          <w:rFonts w:ascii="Arial" w:hAnsi="Arial" w:cs="Arial"/>
        </w:rPr>
        <w:fldChar w:fldCharType="begin"/>
      </w:r>
      <w:r w:rsidR="00794F95">
        <w:rPr>
          <w:rFonts w:ascii="Arial" w:hAnsi="Arial" w:cs="Arial"/>
        </w:rPr>
        <w:instrText xml:space="preserve"> ADDIN ZOTERO_ITEM CSL_CITATION {"citationID":"4m2sBXP9","properties":{"formattedCitation":"\\super 34\\nosupersub{}","plainCitation":"34","noteIndex":0},"citationItems":[{"id":1769,"uris":["http://zotero.org/groups/4443966/items/HVNV3TCG"],"itemData":{"id":1769,"type":"article-journal","abstract":"Demand for agricultural products is an important problem in global change economics. Food consumption will shape and be shaped by global change through interactions with bioenergy and afforestation, two critical issues in meeting international goals. We develop a model of food demand for staple and nonstaple commodities that evolves with changing incomes and prices. The model addresses a long-standing issue in estimating food demands, the evolution of demand relationships across large changes in income and prices. We discuss the model, some of its properties and limitations. We estimate parameter values using pooled cross-sectional-time-series observations and Bayesian Monte Carlo method and cross-validate the model by estimating parameters using a subset of the observations and test its ability to project into the unused observations. Finally, we apply bias correction techniques borrowed from the Earth system modeling community and report results. We find that the demand for food rises rapidly as income initially increases from zero. Demand for staples peaks at under $1000 per person per capita. Nonstaple food demands increase steadily with income. While staples are an inferior good at per capita incomes greater than $1000, we see no evidence that there is a range of per capita income for which staples are Giffen goods.","container-title":"Climate Change Economics","DOI":"10.1142/S2010007817500129","ISSN":"2010-0078","issue":"04","journalAbbreviation":"Clim. Change Econ.","note":"publisher: World Scientific Publishing Co.","page":"1750012","source":"worldscientific.com (Atypon)","title":"A global food demand model for the assessment of complex human-earth systems","URL":"https://www.worldscientific.com/doi/abs/10.1142/S2010007817500129","volume":"08","author":[{"family":"Edmonds","given":"James A."},{"family":"Link","given":"Robert"},{"family":"Waldhoff","given":"Stephanie T."},{"family":"Cui","given":"Ryna"}],"accessed":{"date-parts":[["2021",12,13]]},"issued":{"date-parts":[["2017",11,1]]}}}],"schema":"https://github.com/citation-style-language/schema/raw/master/csl-citation.json"} </w:instrText>
      </w:r>
      <w:r w:rsidRPr="00C96412">
        <w:rPr>
          <w:rFonts w:ascii="Arial" w:hAnsi="Arial" w:cs="Arial"/>
        </w:rPr>
        <w:fldChar w:fldCharType="separate"/>
      </w:r>
      <w:r w:rsidR="00794F95" w:rsidRPr="00794F95">
        <w:rPr>
          <w:rFonts w:ascii="Arial" w:hAnsi="Arial" w:cs="Arial"/>
          <w:szCs w:val="24"/>
          <w:vertAlign w:val="superscript"/>
        </w:rPr>
        <w:t>34</w:t>
      </w:r>
      <w:r w:rsidRPr="00C96412">
        <w:rPr>
          <w:rFonts w:ascii="Arial" w:hAnsi="Arial" w:cs="Arial"/>
        </w:rPr>
        <w:fldChar w:fldCharType="end"/>
      </w:r>
      <w:r w:rsidRPr="00C96412">
        <w:rPr>
          <w:rFonts w:ascii="Arial" w:hAnsi="Arial" w:cs="Arial"/>
        </w:rPr>
        <w:t xml:space="preserve"> </w:t>
      </w:r>
      <w:r w:rsidRPr="00115D6D">
        <w:rPr>
          <w:rFonts w:ascii="Arial" w:hAnsi="Arial" w:cs="Arial"/>
        </w:rPr>
        <w:t xml:space="preserve">is utilized to delineate how own- and cross-price elasticities and income elasticities dynamically change with income. This implies that per capita food calorie consumption is sensitive to both price and income, allowing for substitution between staple and non-staple food calories as indicated by the specified parameters. Food calories, or dietary energy availability, were computed based on food demand (in tonnes), and the conversion factors were compiled using FAOSTAT data with the assistance of the R package </w:t>
      </w:r>
      <w:r w:rsidRPr="00C96412">
        <w:rPr>
          <w:rFonts w:ascii="Arial" w:hAnsi="Arial" w:cs="Arial"/>
          <w:i/>
          <w:iCs/>
          <w:color w:val="000000" w:themeColor="text1"/>
        </w:rPr>
        <w:t>gcamfaostat</w:t>
      </w:r>
      <w:r w:rsidRPr="00C96412">
        <w:rPr>
          <w:rFonts w:ascii="Arial" w:hAnsi="Arial" w:cs="Arial"/>
          <w:color w:val="000000" w:themeColor="text1"/>
        </w:rPr>
        <w:fldChar w:fldCharType="begin"/>
      </w:r>
      <w:r w:rsidR="00794F95">
        <w:rPr>
          <w:rFonts w:ascii="Arial" w:hAnsi="Arial" w:cs="Arial"/>
          <w:color w:val="000000" w:themeColor="text1"/>
        </w:rPr>
        <w:instrText xml:space="preserve"> ADDIN ZOTERO_ITEM CSL_CITATION {"citationID":"jfuAPAB6","properties":{"formattedCitation":"\\super 35\\nosupersub{}","plainCitation":"35","noteIndex":0},"citationItems":[{"id":7602,"uris":["http://zotero.org/users/8267882/items/WVD77UWC"],"itemData":{"id":7602,"type":"report","publisher":"PNNL","title":"gcamfaostat: An R prepare, process, and synthesize FAOSTAT data for global agroeconomic and multisector dynamic modeling","URL":"https://jgcri.github.io/gcamfaostat","author":[{"family":"Zhao","given":"Xin"},{"family":"Chepeliev","given":"Maksym"},{"family":"Patel","given":"Pralit"},{"family":"Wise","given":"Marshall"},{"family":"Calvin","given":"Kate"},{"family":"Narayan","given":"Kanishka"},{"family":"Vernon","given":"Chris"}],"issued":{"date-parts":[["2024"]]}}}],"schema":"https://github.com/citation-style-language/schema/raw/master/csl-citation.json"} </w:instrText>
      </w:r>
      <w:r w:rsidRPr="00C96412">
        <w:rPr>
          <w:rFonts w:ascii="Arial" w:hAnsi="Arial" w:cs="Arial"/>
          <w:color w:val="000000" w:themeColor="text1"/>
        </w:rPr>
        <w:fldChar w:fldCharType="separate"/>
      </w:r>
      <w:r w:rsidR="00794F95" w:rsidRPr="00794F95">
        <w:rPr>
          <w:rFonts w:ascii="Arial" w:hAnsi="Arial" w:cs="Arial"/>
          <w:szCs w:val="24"/>
          <w:vertAlign w:val="superscript"/>
        </w:rPr>
        <w:t>35</w:t>
      </w:r>
      <w:r w:rsidRPr="00C96412">
        <w:rPr>
          <w:rFonts w:ascii="Arial" w:hAnsi="Arial" w:cs="Arial"/>
          <w:color w:val="000000" w:themeColor="text1"/>
        </w:rPr>
        <w:fldChar w:fldCharType="end"/>
      </w:r>
      <w:r w:rsidRPr="00C96412">
        <w:rPr>
          <w:rFonts w:ascii="Arial" w:hAnsi="Arial" w:cs="Arial"/>
          <w:color w:val="000000" w:themeColor="text1"/>
        </w:rPr>
        <w:t>.</w:t>
      </w:r>
    </w:p>
    <w:p w14:paraId="5183322D" w14:textId="77777777" w:rsidR="00115D6D" w:rsidRDefault="00115D6D" w:rsidP="00AA29EA">
      <w:pPr>
        <w:spacing w:after="121" w:line="276" w:lineRule="auto"/>
        <w:rPr>
          <w:rFonts w:ascii="Arial" w:hAnsi="Arial" w:cs="Arial"/>
        </w:rPr>
      </w:pPr>
    </w:p>
    <w:p w14:paraId="2B781696" w14:textId="3EFA4B97" w:rsidR="00AA29EA" w:rsidRDefault="00AA29EA" w:rsidP="00C43E1E">
      <w:pPr>
        <w:jc w:val="center"/>
        <w:rPr>
          <w:rFonts w:ascii="Arial" w:hAnsi="Arial" w:cs="Arial"/>
        </w:rPr>
      </w:pPr>
      <w:r>
        <w:rPr>
          <w:noProof/>
        </w:rPr>
        <w:drawing>
          <wp:inline distT="0" distB="0" distL="0" distR="0" wp14:anchorId="2332B3B4" wp14:editId="4711C154">
            <wp:extent cx="6400800" cy="3808476"/>
            <wp:effectExtent l="0" t="0" r="0" b="0"/>
            <wp:docPr id="7" name="Graphic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96DAC541-7B7A-43D3-8B79-37D633B846F1}">
                          <asvg:svgBlip xmlns:asvg="http://schemas.microsoft.com/office/drawing/2016/SVG/main" r:embed="rId13"/>
                        </a:ext>
                      </a:extLst>
                    </a:blip>
                    <a:stretch>
                      <a:fillRect/>
                    </a:stretch>
                  </pic:blipFill>
                  <pic:spPr>
                    <a:xfrm>
                      <a:off x="0" y="0"/>
                      <a:ext cx="6400800" cy="3808476"/>
                    </a:xfrm>
                    <a:prstGeom prst="rect">
                      <a:avLst/>
                    </a:prstGeom>
                  </pic:spPr>
                </pic:pic>
              </a:graphicData>
            </a:graphic>
          </wp:inline>
        </w:drawing>
      </w:r>
    </w:p>
    <w:p w14:paraId="6BD58E4D" w14:textId="04A7B343" w:rsidR="00356A52" w:rsidRPr="006C6191" w:rsidRDefault="00AA29EA" w:rsidP="00356A52">
      <w:pPr>
        <w:pStyle w:val="Caption"/>
        <w:spacing w:line="276" w:lineRule="auto"/>
        <w:jc w:val="both"/>
        <w:rPr>
          <w:vanish/>
          <w:sz w:val="22"/>
          <w:szCs w:val="22"/>
          <w:specVanish/>
        </w:rPr>
      </w:pPr>
      <w:bookmarkStart w:id="16" w:name="_Ref162351117"/>
      <w:bookmarkStart w:id="17" w:name="_Toc158986655"/>
      <w:bookmarkStart w:id="18" w:name="_Toc162998112"/>
      <w:bookmarkStart w:id="19" w:name="_Hlk156227707"/>
      <w:r w:rsidRPr="006C6191">
        <w:rPr>
          <w:sz w:val="22"/>
          <w:szCs w:val="22"/>
        </w:rPr>
        <w:t>Fig. S</w:t>
      </w:r>
      <w:r w:rsidRPr="006C6191">
        <w:rPr>
          <w:sz w:val="22"/>
          <w:szCs w:val="22"/>
        </w:rPr>
        <w:fldChar w:fldCharType="begin"/>
      </w:r>
      <w:r w:rsidRPr="006C6191">
        <w:rPr>
          <w:sz w:val="22"/>
          <w:szCs w:val="22"/>
        </w:rPr>
        <w:instrText xml:space="preserve"> SEQ Fig._S \* ARABIC </w:instrText>
      </w:r>
      <w:r w:rsidRPr="006C6191">
        <w:rPr>
          <w:sz w:val="22"/>
          <w:szCs w:val="22"/>
        </w:rPr>
        <w:fldChar w:fldCharType="separate"/>
      </w:r>
      <w:r w:rsidR="009141B0">
        <w:rPr>
          <w:noProof/>
          <w:sz w:val="22"/>
          <w:szCs w:val="22"/>
        </w:rPr>
        <w:t>1</w:t>
      </w:r>
      <w:r w:rsidRPr="006C6191">
        <w:rPr>
          <w:noProof/>
          <w:sz w:val="22"/>
          <w:szCs w:val="22"/>
        </w:rPr>
        <w:fldChar w:fldCharType="end"/>
      </w:r>
      <w:bookmarkEnd w:id="16"/>
      <w:r w:rsidRPr="006C6191">
        <w:rPr>
          <w:noProof/>
          <w:sz w:val="22"/>
          <w:szCs w:val="22"/>
        </w:rPr>
        <w:t xml:space="preserve"> |</w:t>
      </w:r>
      <w:r w:rsidRPr="006C6191">
        <w:rPr>
          <w:sz w:val="22"/>
          <w:szCs w:val="22"/>
        </w:rPr>
        <w:t xml:space="preserve"> Land nesting structure in GCAM.</w:t>
      </w:r>
      <w:bookmarkEnd w:id="17"/>
      <w:bookmarkEnd w:id="18"/>
      <w:r w:rsidRPr="006C6191">
        <w:rPr>
          <w:sz w:val="22"/>
          <w:szCs w:val="22"/>
        </w:rPr>
        <w:t xml:space="preserve"> </w:t>
      </w:r>
      <w:bookmarkEnd w:id="19"/>
    </w:p>
    <w:p w14:paraId="4822A33F" w14:textId="0AA78B95" w:rsidR="00AA29EA" w:rsidRPr="006C6191" w:rsidRDefault="00356A52" w:rsidP="00C43E1E">
      <w:pPr>
        <w:spacing w:line="276" w:lineRule="auto"/>
        <w:jc w:val="both"/>
        <w:rPr>
          <w:rFonts w:ascii="Arial" w:hAnsi="Arial" w:cs="Arial"/>
        </w:rPr>
      </w:pPr>
      <w:r w:rsidRPr="006C6191">
        <w:rPr>
          <w:rFonts w:ascii="Arial" w:hAnsi="Arial" w:cs="Arial"/>
        </w:rPr>
        <w:t xml:space="preserve"> </w:t>
      </w:r>
      <w:r w:rsidR="00130E56" w:rsidRPr="006C6191">
        <w:rPr>
          <w:rFonts w:ascii="Arial" w:hAnsi="Arial" w:cs="Arial"/>
        </w:rPr>
        <w:t>Note that managed (grazed) pasture is utilized in the Beef, Dairy, and Sheep &amp; Goat sectors in GCAM. Similar to non-energy crops, energy crop production technologies in GCAM are also distinguished by irrigation and fertilizer use. Forest area is distinguished by hardwood and softwood. The other arable land corresponds to "land with temporary fallow" in FAOSTAT land data. Source: adapted from Fig. S16 in Zhao et al. (2021)</w:t>
      </w:r>
      <w:r w:rsidR="00130E56" w:rsidRPr="006C6191">
        <w:rPr>
          <w:rFonts w:ascii="Arial" w:hAnsi="Arial" w:cs="Arial"/>
        </w:rPr>
        <w:fldChar w:fldCharType="begin"/>
      </w:r>
      <w:r w:rsidR="00794F95">
        <w:rPr>
          <w:rFonts w:ascii="Arial" w:hAnsi="Arial" w:cs="Arial"/>
        </w:rPr>
        <w:instrText xml:space="preserve"> ADDIN ZOTERO_ITEM CSL_CITATION {"citationID":"usORCd1p","properties":{"formattedCitation":"\\super 12\\nosupersub{}","plainCitation":"12","noteIndex":0},"citationItems":[{"id":4166,"uris":["http://zotero.org/users/8267882/items/N5H43RTC"],"itemData":{"id":4166,"type":"article-journal","abstract":"Most studies assessing climate impacts on agriculture have focused on average changes in market-mediated responses (e.g. changes in land use, production, and consumption). However, the response of global agricultural markets to interannual variability (IAV) in climate and biophysical shocks is poorly understood and not well represented in global economic models. Here we show a strong transmission of IAVs in climate-induced biophysical yield shocks to agriculture markets, which is further magnified by endogenous market fluctuations generated due to producers’ imperfect expectations of market and weather conditions. We demonstrate that the volatility of crop prices and consumption could be significantly underestimated (i.e. on average by 55% and 41%, respectively) by assuming perfect foresight, a standard assumption in the economic equilibrium modeling, compared with the relatively more realistic adaptive expectations. We also find heterogeneity in IAV across crops and regions, which is considerably mediated by international trade. Studying IAV provides fundamentally new insights on measuring and understanding climate impacts on global agriculture, and our framework lays the foundation for further investigating the full range of climate impacts on biophysical and human systems.","container-title":"Environmental Research Letters","DOI":"10.1088/1748-9326/ac2965","ISSN":"1748-9326","issue":"10","journalAbbreviation":"Environ. Res. Lett.","language":"en","license":"Creative Commons Attribution-NonCommercial-ShareAlike 4.0 International License (CC-BY-NC-SA)","note":"publisher: IOP Publishing","page":"104037","source":"Institute of Physics","title":"Global agricultural responses to interannual climate and biophysical variability","URL":"https://doi.org/10.1088/1748-9326/ac2965","volume":"16","author":[{"family":"Zhao","given":"Xin"},{"family":"Calvin","given":"Katherine V."},{"family":"Wise","given":"Marshall A."},{"family":"Patel","given":"Pralit L."},{"family":"Snyder","given":"Abigail C."},{"family":"Waldhoff","given":"Stephanie T."},{"family":"Hejazi","given":"Mohamad I."},{"family":"Edmonds","given":"James A."}],"accessed":{"date-parts":[["2022",8,24]]},"issued":{"date-parts":[["2021",10]]}},"label":"page","suppress-author":true}],"schema":"https://github.com/citation-style-language/schema/raw/master/csl-citation.json"} </w:instrText>
      </w:r>
      <w:r w:rsidR="00130E56" w:rsidRPr="006C6191">
        <w:rPr>
          <w:rFonts w:ascii="Arial" w:hAnsi="Arial" w:cs="Arial"/>
        </w:rPr>
        <w:fldChar w:fldCharType="separate"/>
      </w:r>
      <w:r w:rsidR="00794F95" w:rsidRPr="00794F95">
        <w:rPr>
          <w:rFonts w:ascii="Arial" w:hAnsi="Arial" w:cs="Arial"/>
          <w:szCs w:val="24"/>
          <w:vertAlign w:val="superscript"/>
        </w:rPr>
        <w:t>12</w:t>
      </w:r>
      <w:r w:rsidR="00130E56" w:rsidRPr="006C6191">
        <w:rPr>
          <w:rFonts w:ascii="Arial" w:hAnsi="Arial" w:cs="Arial"/>
        </w:rPr>
        <w:fldChar w:fldCharType="end"/>
      </w:r>
      <w:r w:rsidR="00130E56" w:rsidRPr="006C6191">
        <w:rPr>
          <w:rFonts w:ascii="Arial" w:hAnsi="Arial" w:cs="Arial"/>
        </w:rPr>
        <w:t>.</w:t>
      </w:r>
    </w:p>
    <w:p w14:paraId="120F172C" w14:textId="77777777" w:rsidR="00C96412" w:rsidRDefault="00C96412" w:rsidP="00C43E1E">
      <w:pPr>
        <w:spacing w:line="276" w:lineRule="auto"/>
        <w:jc w:val="both"/>
        <w:rPr>
          <w:rFonts w:ascii="Arial" w:hAnsi="Arial" w:cs="Arial"/>
          <w:sz w:val="20"/>
          <w:szCs w:val="20"/>
        </w:rPr>
      </w:pPr>
    </w:p>
    <w:p w14:paraId="5C50AFF0" w14:textId="77777777" w:rsidR="00362CE4" w:rsidRDefault="00362CE4" w:rsidP="00362CE4">
      <w:bookmarkStart w:id="20" w:name="_Hlk156229973"/>
      <w:r>
        <w:rPr>
          <w:noProof/>
        </w:rPr>
        <w:lastRenderedPageBreak/>
        <w:drawing>
          <wp:inline distT="0" distB="0" distL="0" distR="0" wp14:anchorId="4808884D" wp14:editId="2D4666EB">
            <wp:extent cx="6854489" cy="312356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a:picLocks noChangeAspect="1" noChangeArrowheads="1"/>
                    </pic:cNvPicPr>
                  </pic:nvPicPr>
                  <pic:blipFill>
                    <a:blip r:embed="rId14"/>
                    <a:stretch>
                      <a:fillRect/>
                    </a:stretch>
                  </pic:blipFill>
                  <pic:spPr bwMode="auto">
                    <a:xfrm>
                      <a:off x="0" y="0"/>
                      <a:ext cx="6854489" cy="3123565"/>
                    </a:xfrm>
                    <a:prstGeom prst="rect">
                      <a:avLst/>
                    </a:prstGeom>
                    <a:noFill/>
                    <a:ln>
                      <a:noFill/>
                    </a:ln>
                  </pic:spPr>
                </pic:pic>
              </a:graphicData>
            </a:graphic>
          </wp:inline>
        </w:drawing>
      </w:r>
    </w:p>
    <w:p w14:paraId="1E7A73D7" w14:textId="7E746922" w:rsidR="00362CE4" w:rsidRPr="00932BD5" w:rsidRDefault="00362CE4" w:rsidP="00362CE4">
      <w:pPr>
        <w:pStyle w:val="Caption"/>
        <w:jc w:val="both"/>
        <w:rPr>
          <w:rFonts w:cs="Arial"/>
          <w:vanish/>
          <w:sz w:val="22"/>
          <w:szCs w:val="22"/>
          <w:specVanish/>
        </w:rPr>
      </w:pPr>
      <w:bookmarkStart w:id="21" w:name="_Ref162351390"/>
      <w:bookmarkStart w:id="22" w:name="_Toc158986659"/>
      <w:bookmarkStart w:id="23" w:name="_Toc162998113"/>
      <w:r w:rsidRPr="00932BD5">
        <w:rPr>
          <w:rFonts w:cs="Arial"/>
          <w:sz w:val="22"/>
          <w:szCs w:val="22"/>
        </w:rPr>
        <w:t>Fig. S</w:t>
      </w:r>
      <w:r w:rsidRPr="00932BD5">
        <w:rPr>
          <w:rFonts w:cs="Arial"/>
          <w:sz w:val="22"/>
          <w:szCs w:val="22"/>
        </w:rPr>
        <w:fldChar w:fldCharType="begin"/>
      </w:r>
      <w:r w:rsidRPr="00932BD5">
        <w:rPr>
          <w:rFonts w:cs="Arial"/>
          <w:sz w:val="22"/>
          <w:szCs w:val="22"/>
        </w:rPr>
        <w:instrText xml:space="preserve"> SEQ Fig._S \* ARABIC </w:instrText>
      </w:r>
      <w:r w:rsidRPr="00932BD5">
        <w:rPr>
          <w:rFonts w:cs="Arial"/>
          <w:sz w:val="22"/>
          <w:szCs w:val="22"/>
        </w:rPr>
        <w:fldChar w:fldCharType="separate"/>
      </w:r>
      <w:r w:rsidR="009141B0">
        <w:rPr>
          <w:rFonts w:cs="Arial"/>
          <w:noProof/>
          <w:sz w:val="22"/>
          <w:szCs w:val="22"/>
        </w:rPr>
        <w:t>2</w:t>
      </w:r>
      <w:r w:rsidRPr="00932BD5">
        <w:rPr>
          <w:rFonts w:cs="Arial"/>
          <w:noProof/>
          <w:sz w:val="22"/>
          <w:szCs w:val="22"/>
        </w:rPr>
        <w:fldChar w:fldCharType="end"/>
      </w:r>
      <w:bookmarkEnd w:id="21"/>
      <w:r w:rsidRPr="00932BD5">
        <w:rPr>
          <w:rFonts w:cs="Arial"/>
          <w:noProof/>
          <w:sz w:val="22"/>
          <w:szCs w:val="22"/>
        </w:rPr>
        <w:t xml:space="preserve"> |</w:t>
      </w:r>
      <w:r w:rsidRPr="00932BD5">
        <w:rPr>
          <w:rFonts w:cs="Arial"/>
          <w:sz w:val="22"/>
          <w:szCs w:val="22"/>
        </w:rPr>
        <w:t xml:space="preserve"> Food demand nesting structure in GCAM v7.</w:t>
      </w:r>
      <w:bookmarkEnd w:id="22"/>
      <w:bookmarkEnd w:id="23"/>
      <w:r w:rsidRPr="00932BD5">
        <w:rPr>
          <w:rFonts w:cs="Arial"/>
          <w:sz w:val="22"/>
          <w:szCs w:val="22"/>
        </w:rPr>
        <w:t xml:space="preserve"> </w:t>
      </w:r>
    </w:p>
    <w:p w14:paraId="5ABAB6ED" w14:textId="42FBDE72" w:rsidR="00362CE4" w:rsidRPr="003A534C" w:rsidRDefault="00362CE4" w:rsidP="00362CE4">
      <w:pPr>
        <w:rPr>
          <w:rFonts w:ascii="Arial" w:eastAsiaTheme="minorEastAsia" w:hAnsi="Arial" w:cs="Arial"/>
          <w:b/>
          <w:bCs/>
        </w:rPr>
      </w:pPr>
      <w:r w:rsidRPr="00932BD5">
        <w:rPr>
          <w:rFonts w:ascii="Arial" w:hAnsi="Arial" w:cs="Arial"/>
        </w:rPr>
        <w:t xml:space="preserve"> </w:t>
      </w:r>
      <w:r w:rsidRPr="003A534C">
        <w:rPr>
          <w:rFonts w:ascii="Arial" w:hAnsi="Arial" w:cs="Arial"/>
        </w:rPr>
        <w:t>See</w:t>
      </w:r>
      <w:r w:rsidR="003A534C" w:rsidRPr="003A534C">
        <w:rPr>
          <w:rFonts w:ascii="Arial" w:hAnsi="Arial" w:cs="Arial"/>
        </w:rPr>
        <w:t xml:space="preserve"> </w:t>
      </w:r>
      <w:r w:rsidR="003A534C" w:rsidRPr="003A534C">
        <w:rPr>
          <w:rFonts w:ascii="Arial" w:hAnsi="Arial" w:cs="Arial"/>
          <w:b/>
          <w:bCs/>
        </w:rPr>
        <w:fldChar w:fldCharType="begin"/>
      </w:r>
      <w:r w:rsidR="003A534C" w:rsidRPr="003A534C">
        <w:rPr>
          <w:rFonts w:ascii="Arial" w:hAnsi="Arial" w:cs="Arial"/>
          <w:b/>
          <w:bCs/>
        </w:rPr>
        <w:instrText xml:space="preserve"> REF _Ref162476437 \h  \* MERGEFORMAT </w:instrText>
      </w:r>
      <w:r w:rsidR="003A534C" w:rsidRPr="003A534C">
        <w:rPr>
          <w:rFonts w:ascii="Arial" w:hAnsi="Arial" w:cs="Arial"/>
          <w:b/>
          <w:bCs/>
        </w:rPr>
      </w:r>
      <w:r w:rsidR="003A534C" w:rsidRPr="003A534C">
        <w:rPr>
          <w:rFonts w:ascii="Arial" w:hAnsi="Arial" w:cs="Arial"/>
          <w:b/>
          <w:bCs/>
        </w:rPr>
        <w:fldChar w:fldCharType="separate"/>
      </w:r>
      <w:r w:rsidR="009141B0" w:rsidRPr="009141B0">
        <w:rPr>
          <w:rFonts w:ascii="Arial" w:eastAsiaTheme="minorEastAsia" w:hAnsi="Arial" w:cs="Arial"/>
          <w:b/>
          <w:bCs/>
        </w:rPr>
        <w:t>Table S3</w:t>
      </w:r>
      <w:r w:rsidR="003A534C" w:rsidRPr="003A534C">
        <w:rPr>
          <w:rFonts w:ascii="Arial" w:hAnsi="Arial" w:cs="Arial"/>
          <w:b/>
          <w:bCs/>
        </w:rPr>
        <w:fldChar w:fldCharType="end"/>
      </w:r>
      <w:r w:rsidR="003A534C" w:rsidRPr="003A534C">
        <w:rPr>
          <w:rFonts w:ascii="Arial" w:hAnsi="Arial" w:cs="Arial"/>
        </w:rPr>
        <w:t xml:space="preserve"> </w:t>
      </w:r>
      <w:r w:rsidRPr="003A534C">
        <w:rPr>
          <w:rFonts w:ascii="Arial" w:hAnsi="Arial" w:cs="Arial"/>
        </w:rPr>
        <w:t>for</w:t>
      </w:r>
      <w:r w:rsidRPr="00932BD5">
        <w:rPr>
          <w:rFonts w:ascii="Arial" w:hAnsi="Arial" w:cs="Arial"/>
        </w:rPr>
        <w:t xml:space="preserve"> the GCAM commodity mapping. Source: Fig. S10 in Zhao et al. (2024)</w:t>
      </w:r>
      <w:r w:rsidR="001A2AEE" w:rsidRPr="00932BD5">
        <w:rPr>
          <w:rFonts w:ascii="Arial" w:hAnsi="Arial" w:cs="Arial"/>
        </w:rPr>
        <w:fldChar w:fldCharType="begin"/>
      </w:r>
      <w:r w:rsidR="00794F95">
        <w:rPr>
          <w:rFonts w:ascii="Arial" w:hAnsi="Arial" w:cs="Arial"/>
        </w:rPr>
        <w:instrText xml:space="preserve"> ADDIN ZOTERO_ITEM CSL_CITATION {"citationID":"a1a05djfli2","properties":{"formattedCitation":"\\super 33\\nosupersub{}","plainCitation":"33","noteIndex":0},"citationItems":[{"id":8619,"uris":["http://zotero.org/users/8267882/items/7BJRIY95"],"itemData":{"id":8619,"type":"article-journal","abstract":"Land-based carbon removals, specifically afforestation/reforestation and bioenergy with carbon capture and storage (BECCS), vary widely in 1.5 °C and 2 °C scenarios generated by integrated assessment models. Because underlying drivers are difficult to assess, we use a well-known integrated assessment model, GCAM, to demonstrate that land-based carbon removals are sensitive to the strength and scope of land-based mitigation policies. We find that while cumulative afforestation/reforestation and BECCS deployment are inversely related, they are both typically part of cost-effective mitigation pathways, with forestry options deployed earlier. While the CO2 removal intensity (removal per unit land) of BECCS is typically higher than afforestation/reforestation over long time horizons, the BECCS removal intensity is sensitive to feedstock and technology choices whereas the afforestation/reforestation removal intensity is sensitive to land policy choices. Finally, we find a generally positive relationship between agricultural prices and removal effectiveness of land-based mitigation, suggesting that some trade-offs may be difficult to avoid.","container-title":"Nature Communications","DOI":"10.1038/s41467-024-46575-3","ISSN":"2041-1723","issue":"1","journalAbbreviation":"Nat Commun","language":"en","license":"2024 The Author(s)","note":"publisher: Nature Publishing Group","page":"2297","source":"www.nature.com","title":"Trade-offs in land-based carbon removal measures under 1.5 °C and 2 °C futures","URL":"https://www.nature.com/articles/s41467-024-46575-3","volume":"15","author":[{"family":"Zhao","given":"Xin"},{"family":"Mignone","given":"Bryan K."},{"family":"Wise","given":"Marshall A."},{"family":"McJeon","given":"Haewon C."}],"accessed":{"date-parts":[["2024",3,14]]},"issued":{"date-parts":[["2024",3,14]]}}}],"schema":"https://github.com/citation-style-language/schema/raw/master/csl-citation.json"} </w:instrText>
      </w:r>
      <w:r w:rsidR="001A2AEE" w:rsidRPr="00932BD5">
        <w:rPr>
          <w:rFonts w:ascii="Arial" w:hAnsi="Arial" w:cs="Arial"/>
        </w:rPr>
        <w:fldChar w:fldCharType="separate"/>
      </w:r>
      <w:r w:rsidR="00794F95" w:rsidRPr="00794F95">
        <w:rPr>
          <w:rFonts w:ascii="Arial" w:hAnsi="Arial" w:cs="Arial"/>
          <w:szCs w:val="24"/>
          <w:vertAlign w:val="superscript"/>
        </w:rPr>
        <w:t>33</w:t>
      </w:r>
      <w:r w:rsidR="001A2AEE" w:rsidRPr="00932BD5">
        <w:rPr>
          <w:rFonts w:ascii="Arial" w:hAnsi="Arial" w:cs="Arial"/>
        </w:rPr>
        <w:fldChar w:fldCharType="end"/>
      </w:r>
    </w:p>
    <w:bookmarkEnd w:id="20"/>
    <w:p w14:paraId="69224F16" w14:textId="77777777" w:rsidR="00B83423" w:rsidRDefault="00B83423" w:rsidP="00C43E1E">
      <w:pPr>
        <w:spacing w:line="276" w:lineRule="auto"/>
        <w:rPr>
          <w:rFonts w:ascii="Arial" w:hAnsi="Arial" w:cs="Arial"/>
        </w:rPr>
      </w:pPr>
    </w:p>
    <w:p w14:paraId="0FB49222" w14:textId="77777777" w:rsidR="00932BD5" w:rsidRDefault="00932BD5" w:rsidP="00C43E1E">
      <w:pPr>
        <w:spacing w:line="276" w:lineRule="auto"/>
        <w:rPr>
          <w:rFonts w:ascii="Arial" w:hAnsi="Arial" w:cs="Arial"/>
        </w:rPr>
      </w:pPr>
    </w:p>
    <w:p w14:paraId="537B01BD" w14:textId="002E66BF" w:rsidR="008B4807" w:rsidRDefault="008B4807" w:rsidP="008B4807">
      <w:pPr>
        <w:pStyle w:val="Heading2"/>
        <w:spacing w:line="276" w:lineRule="auto"/>
      </w:pPr>
      <w:bookmarkStart w:id="24" w:name="_Toc162997998"/>
      <w:r>
        <w:t>S1.3. Factor substitution through technology transition</w:t>
      </w:r>
      <w:bookmarkEnd w:id="24"/>
    </w:p>
    <w:p w14:paraId="30FEA24D" w14:textId="224CAA8D" w:rsidR="008B4807" w:rsidRPr="001B6224" w:rsidRDefault="008B4807" w:rsidP="001B6224">
      <w:pPr>
        <w:spacing w:line="276" w:lineRule="auto"/>
        <w:rPr>
          <w:rFonts w:ascii="Arial" w:hAnsi="Arial" w:cs="Arial"/>
        </w:rPr>
      </w:pPr>
      <w:r w:rsidRPr="001B6224">
        <w:rPr>
          <w:rFonts w:ascii="Arial" w:hAnsi="Arial" w:cs="Arial"/>
        </w:rPr>
        <w:t>The GCAM model simulates crop production at the technology level to account for variations in productivity across different technologies, such as irrigation versus rainfed and high-</w:t>
      </w:r>
      <w:r w:rsidR="00142FFC" w:rsidRPr="001B6224">
        <w:rPr>
          <w:rFonts w:ascii="Arial" w:hAnsi="Arial" w:cs="Arial"/>
        </w:rPr>
        <w:t xml:space="preserve">inputs </w:t>
      </w:r>
      <w:r w:rsidRPr="001B6224">
        <w:rPr>
          <w:rFonts w:ascii="Arial" w:hAnsi="Arial" w:cs="Arial"/>
        </w:rPr>
        <w:t>versus low-</w:t>
      </w:r>
      <w:r w:rsidR="00142FFC" w:rsidRPr="001B6224">
        <w:rPr>
          <w:rFonts w:ascii="Arial" w:hAnsi="Arial" w:cs="Arial"/>
        </w:rPr>
        <w:t>inputs</w:t>
      </w:r>
      <w:r w:rsidRPr="001B6224">
        <w:rPr>
          <w:rFonts w:ascii="Arial" w:hAnsi="Arial" w:cs="Arial"/>
        </w:rPr>
        <w:t xml:space="preserve">, and to enable endogenous yield responses through technology transitions. In GCAM v7.0, the differentiation between high and low </w:t>
      </w:r>
      <w:r w:rsidR="00142FFC" w:rsidRPr="001B6224">
        <w:rPr>
          <w:rFonts w:ascii="Arial" w:hAnsi="Arial" w:cs="Arial"/>
        </w:rPr>
        <w:t>inputs</w:t>
      </w:r>
      <w:r w:rsidRPr="001B6224">
        <w:rPr>
          <w:rFonts w:ascii="Arial" w:hAnsi="Arial" w:cs="Arial"/>
        </w:rPr>
        <w:t xml:space="preserve"> only pertains to nitrogen fertilizer inputs. In our study, we expand upon this framework to also associate high inputs with capital-intensive and low inputs with labor-intensive technologies. Consequently, endogenous capital-labor substitution is accounted for through technology transitions as well. Here, we document our method for differentiating technology-level productivity in our base year.</w:t>
      </w:r>
    </w:p>
    <w:p w14:paraId="33A53A5E" w14:textId="77777777" w:rsidR="008B4807" w:rsidRPr="001B6224" w:rsidRDefault="008B4807" w:rsidP="001B6224">
      <w:pPr>
        <w:spacing w:line="276" w:lineRule="auto"/>
        <w:rPr>
          <w:rFonts w:ascii="Arial" w:eastAsiaTheme="minorEastAsia" w:hAnsi="Arial" w:cs="Arial"/>
        </w:rPr>
      </w:pPr>
      <w:r w:rsidRPr="001B6224">
        <w:rPr>
          <w:rFonts w:ascii="Arial" w:hAnsi="Arial" w:cs="Arial"/>
        </w:rPr>
        <w:t>As shown in Equation (2) in the main Methods, we disaggregated the unit cost of labor (</w:t>
      </w:r>
      <m:oMath>
        <m:sSubSup>
          <m:sSubSupPr>
            <m:ctrlPr>
              <w:rPr>
                <w:rFonts w:ascii="Cambria Math" w:hAnsi="Cambria Math" w:cs="Arial"/>
                <w:i/>
                <w14:ligatures w14:val="standardContextual"/>
              </w:rPr>
            </m:ctrlPr>
          </m:sSubSupPr>
          <m:e>
            <m:r>
              <w:rPr>
                <w:rFonts w:ascii="Cambria Math" w:hAnsi="Cambria Math" w:cs="Arial"/>
              </w:rPr>
              <m:t>h</m:t>
            </m:r>
          </m:e>
          <m:sub>
            <m:r>
              <w:rPr>
                <w:rFonts w:ascii="Cambria Math" w:hAnsi="Cambria Math" w:cs="Arial"/>
              </w:rPr>
              <m:t>k,b,r,t</m:t>
            </m:r>
          </m:sub>
          <m:sup>
            <m:r>
              <w:rPr>
                <w:rFonts w:ascii="Cambria Math" w:hAnsi="Cambria Math" w:cs="Arial"/>
              </w:rPr>
              <m:t>L</m:t>
            </m:r>
          </m:sup>
        </m:sSubSup>
        <m:r>
          <w:rPr>
            <w:rFonts w:ascii="Cambria Math" w:hAnsi="Cambria Math" w:cs="Arial"/>
          </w:rPr>
          <m:t>=</m:t>
        </m:r>
        <m:f>
          <m:fPr>
            <m:ctrlPr>
              <w:rPr>
                <w:rFonts w:ascii="Cambria Math" w:hAnsi="Cambria Math" w:cs="Arial"/>
                <w:i/>
                <w14:ligatures w14:val="standardContextual"/>
              </w:rPr>
            </m:ctrlPr>
          </m:fPr>
          <m:num>
            <m:sSubSup>
              <m:sSubSupPr>
                <m:ctrlPr>
                  <w:rPr>
                    <w:rFonts w:ascii="Cambria Math" w:hAnsi="Cambria Math" w:cs="Arial"/>
                    <w:i/>
                    <w14:ligatures w14:val="standardContextual"/>
                  </w:rPr>
                </m:ctrlPr>
              </m:sSubSupPr>
              <m:e>
                <m:r>
                  <w:rPr>
                    <w:rFonts w:ascii="Cambria Math" w:hAnsi="Cambria Math" w:cs="Arial"/>
                  </w:rPr>
                  <m:t>P</m:t>
                </m:r>
              </m:e>
              <m:sub>
                <m:r>
                  <w:rPr>
                    <w:rFonts w:ascii="Cambria Math" w:hAnsi="Cambria Math" w:cs="Arial"/>
                  </w:rPr>
                  <m:t>r,t</m:t>
                </m:r>
              </m:sub>
              <m:sup>
                <m:r>
                  <w:rPr>
                    <w:rFonts w:ascii="Cambria Math" w:hAnsi="Cambria Math" w:cs="Arial"/>
                  </w:rPr>
                  <m:t>L</m:t>
                </m:r>
              </m:sup>
            </m:sSubSup>
          </m:num>
          <m:den>
            <m:sSubSup>
              <m:sSubSupPr>
                <m:ctrlPr>
                  <w:rPr>
                    <w:rFonts w:ascii="Cambria Math" w:hAnsi="Cambria Math" w:cs="Arial"/>
                    <w:i/>
                    <w14:ligatures w14:val="standardContextual"/>
                  </w:rPr>
                </m:ctrlPr>
              </m:sSubSupPr>
              <m:e>
                <m:r>
                  <w:rPr>
                    <w:rFonts w:ascii="Cambria Math" w:hAnsi="Cambria Math" w:cs="Arial"/>
                  </w:rPr>
                  <m:t>g</m:t>
                </m:r>
              </m:e>
              <m:sub>
                <m:r>
                  <w:rPr>
                    <w:rFonts w:ascii="Cambria Math" w:hAnsi="Cambria Math" w:cs="Arial"/>
                  </w:rPr>
                  <m:t>k, b,r,t</m:t>
                </m:r>
              </m:sub>
              <m:sup>
                <m:r>
                  <w:rPr>
                    <w:rFonts w:ascii="Cambria Math" w:hAnsi="Cambria Math" w:cs="Arial"/>
                  </w:rPr>
                  <m:t>L</m:t>
                </m:r>
              </m:sup>
            </m:sSubSup>
          </m:den>
        </m:f>
      </m:oMath>
      <w:r w:rsidRPr="001B6224">
        <w:rPr>
          <w:rFonts w:ascii="Arial" w:hAnsi="Arial" w:cs="Arial"/>
        </w:rPr>
        <w:t>) and capital (</w:t>
      </w:r>
      <m:oMath>
        <m:sSubSup>
          <m:sSubSupPr>
            <m:ctrlPr>
              <w:rPr>
                <w:rFonts w:ascii="Cambria Math" w:hAnsi="Cambria Math" w:cs="Arial"/>
                <w:i/>
                <w14:ligatures w14:val="standardContextual"/>
              </w:rPr>
            </m:ctrlPr>
          </m:sSubSupPr>
          <m:e>
            <m:r>
              <w:rPr>
                <w:rFonts w:ascii="Cambria Math" w:hAnsi="Cambria Math" w:cs="Arial"/>
              </w:rPr>
              <m:t>h</m:t>
            </m:r>
          </m:e>
          <m:sub>
            <m:r>
              <w:rPr>
                <w:rFonts w:ascii="Cambria Math" w:hAnsi="Cambria Math" w:cs="Arial"/>
              </w:rPr>
              <m:t>k,b,r,t</m:t>
            </m:r>
          </m:sub>
          <m:sup>
            <m:r>
              <w:rPr>
                <w:rFonts w:ascii="Cambria Math" w:hAnsi="Cambria Math" w:cs="Arial"/>
              </w:rPr>
              <m:t>K</m:t>
            </m:r>
          </m:sup>
        </m:sSubSup>
        <m:r>
          <w:rPr>
            <w:rFonts w:ascii="Cambria Math" w:eastAsiaTheme="minorEastAsia" w:hAnsi="Cambria Math" w:cs="Arial"/>
          </w:rPr>
          <m:t>=</m:t>
        </m:r>
        <m:f>
          <m:fPr>
            <m:ctrlPr>
              <w:rPr>
                <w:rFonts w:ascii="Cambria Math" w:hAnsi="Cambria Math" w:cs="Arial"/>
                <w:i/>
                <w14:ligatures w14:val="standardContextual"/>
              </w:rPr>
            </m:ctrlPr>
          </m:fPr>
          <m:num>
            <m:sSubSup>
              <m:sSubSupPr>
                <m:ctrlPr>
                  <w:rPr>
                    <w:rFonts w:ascii="Cambria Math" w:hAnsi="Cambria Math" w:cs="Arial"/>
                    <w:i/>
                    <w14:ligatures w14:val="standardContextual"/>
                  </w:rPr>
                </m:ctrlPr>
              </m:sSubSupPr>
              <m:e>
                <m:r>
                  <w:rPr>
                    <w:rFonts w:ascii="Cambria Math" w:hAnsi="Cambria Math" w:cs="Arial"/>
                  </w:rPr>
                  <m:t>P</m:t>
                </m:r>
              </m:e>
              <m:sub>
                <m:r>
                  <w:rPr>
                    <w:rFonts w:ascii="Cambria Math" w:hAnsi="Cambria Math" w:cs="Arial"/>
                  </w:rPr>
                  <m:t>r,t</m:t>
                </m:r>
              </m:sub>
              <m:sup>
                <m:r>
                  <w:rPr>
                    <w:rFonts w:ascii="Cambria Math" w:hAnsi="Cambria Math" w:cs="Arial"/>
                  </w:rPr>
                  <m:t>K</m:t>
                </m:r>
              </m:sup>
            </m:sSubSup>
          </m:num>
          <m:den>
            <m:sSubSup>
              <m:sSubSupPr>
                <m:ctrlPr>
                  <w:rPr>
                    <w:rFonts w:ascii="Cambria Math" w:hAnsi="Cambria Math" w:cs="Arial"/>
                    <w:i/>
                    <w14:ligatures w14:val="standardContextual"/>
                  </w:rPr>
                </m:ctrlPr>
              </m:sSubSupPr>
              <m:e>
                <m:r>
                  <w:rPr>
                    <w:rFonts w:ascii="Cambria Math" w:hAnsi="Cambria Math" w:cs="Arial"/>
                  </w:rPr>
                  <m:t>g</m:t>
                </m:r>
              </m:e>
              <m:sub>
                <m:r>
                  <w:rPr>
                    <w:rFonts w:ascii="Cambria Math" w:hAnsi="Cambria Math" w:cs="Arial"/>
                  </w:rPr>
                  <m:t>k, b,r,t</m:t>
                </m:r>
              </m:sub>
              <m:sup>
                <m:r>
                  <w:rPr>
                    <w:rFonts w:ascii="Cambria Math" w:hAnsi="Cambria Math" w:cs="Arial"/>
                  </w:rPr>
                  <m:t>K</m:t>
                </m:r>
              </m:sup>
            </m:sSubSup>
          </m:den>
        </m:f>
      </m:oMath>
      <w:r w:rsidRPr="001B6224">
        <w:rPr>
          <w:rFonts w:ascii="Arial" w:hAnsi="Arial" w:cs="Arial"/>
        </w:rPr>
        <w:t xml:space="preserve">) for crop </w:t>
      </w:r>
      <m:oMath>
        <m:r>
          <w:rPr>
            <w:rFonts w:ascii="Cambria Math" w:hAnsi="Cambria Math" w:cs="Arial"/>
          </w:rPr>
          <m:t>k</m:t>
        </m:r>
      </m:oMath>
      <w:r w:rsidRPr="001B6224">
        <w:rPr>
          <w:rFonts w:ascii="Arial" w:eastAsiaTheme="minorEastAsia" w:hAnsi="Arial" w:cs="Arial"/>
        </w:rPr>
        <w:t xml:space="preserve"> produced in w</w:t>
      </w:r>
      <w:r w:rsidRPr="001B6224">
        <w:rPr>
          <w:rFonts w:ascii="Arial" w:hAnsi="Arial" w:cs="Arial"/>
        </w:rPr>
        <w:t xml:space="preserve">ater basin </w:t>
      </w:r>
      <m:oMath>
        <m:r>
          <w:rPr>
            <w:rFonts w:ascii="Cambria Math" w:hAnsi="Cambria Math" w:cs="Arial"/>
          </w:rPr>
          <m:t>b</m:t>
        </m:r>
      </m:oMath>
      <w:r w:rsidRPr="001B6224">
        <w:rPr>
          <w:rFonts w:ascii="Arial" w:eastAsiaTheme="minorEastAsia" w:hAnsi="Arial" w:cs="Arial"/>
        </w:rPr>
        <w:t xml:space="preserve">, region </w:t>
      </w:r>
      <m:oMath>
        <m:r>
          <w:rPr>
            <w:rFonts w:ascii="Cambria Math" w:eastAsiaTheme="minorEastAsia" w:hAnsi="Cambria Math" w:cs="Arial"/>
          </w:rPr>
          <m:t>r</m:t>
        </m:r>
      </m:oMath>
      <w:r w:rsidRPr="001B6224">
        <w:rPr>
          <w:rFonts w:ascii="Arial" w:eastAsiaTheme="minorEastAsia" w:hAnsi="Arial" w:cs="Arial"/>
        </w:rPr>
        <w:t xml:space="preserve">, and period </w:t>
      </w:r>
      <m:oMath>
        <m:r>
          <w:rPr>
            <w:rFonts w:ascii="Cambria Math" w:eastAsiaTheme="minorEastAsia" w:hAnsi="Cambria Math" w:cs="Arial"/>
          </w:rPr>
          <m:t>t</m:t>
        </m:r>
      </m:oMath>
      <w:r w:rsidRPr="001B6224">
        <w:rPr>
          <w:rFonts w:ascii="Arial" w:eastAsiaTheme="minorEastAsia" w:hAnsi="Arial" w:cs="Arial"/>
        </w:rPr>
        <w:t xml:space="preserve">. However, the unit costs need to be further differentiated by irrigation technology </w:t>
      </w:r>
      <m:oMath>
        <m:r>
          <w:rPr>
            <w:rFonts w:ascii="Cambria Math" w:hAnsi="Cambria Math" w:cs="Arial"/>
          </w:rPr>
          <m:t>i</m:t>
        </m:r>
      </m:oMath>
      <w:r w:rsidRPr="001B6224">
        <w:rPr>
          <w:rFonts w:ascii="Arial" w:eastAsiaTheme="minorEastAsia" w:hAnsi="Arial" w:cs="Arial"/>
        </w:rPr>
        <w:t xml:space="preserve"> (irrigation or rainfed) and management practice </w:t>
      </w:r>
      <m:oMath>
        <m:r>
          <w:rPr>
            <w:rFonts w:ascii="Cambria Math" w:hAnsi="Cambria Math" w:cs="Arial"/>
          </w:rPr>
          <m:t>m</m:t>
        </m:r>
      </m:oMath>
      <w:r w:rsidRPr="001B6224">
        <w:rPr>
          <w:rFonts w:ascii="Arial" w:eastAsiaTheme="minorEastAsia" w:hAnsi="Arial" w:cs="Arial"/>
        </w:rPr>
        <w:t xml:space="preserve"> (high-input or low-input). This is particularly needed for the base year and the initial calibration (</w:t>
      </w:r>
      <m:oMath>
        <m:r>
          <w:rPr>
            <w:rFonts w:ascii="Cambria Math" w:hAnsi="Cambria Math" w:cs="Arial"/>
          </w:rPr>
          <m:t>t=2015</m:t>
        </m:r>
      </m:oMath>
      <w:r w:rsidRPr="001B6224">
        <w:rPr>
          <w:rFonts w:ascii="Arial" w:eastAsiaTheme="minorEastAsia" w:hAnsi="Arial" w:cs="Arial"/>
        </w:rPr>
        <w:t>; omitted in our derivations below for simplicity).</w:t>
      </w:r>
    </w:p>
    <w:p w14:paraId="64BCEC2E" w14:textId="7F8A3658" w:rsidR="008B4807" w:rsidRPr="001B6224" w:rsidRDefault="008B4807" w:rsidP="001B6224">
      <w:pPr>
        <w:spacing w:line="276" w:lineRule="auto"/>
        <w:rPr>
          <w:rFonts w:ascii="Arial" w:hAnsi="Arial" w:cs="Arial"/>
        </w:rPr>
      </w:pPr>
      <w:r w:rsidRPr="001B6224">
        <w:rPr>
          <w:rFonts w:ascii="Arial" w:hAnsi="Arial" w:cs="Arial"/>
        </w:rPr>
        <w:t>We assume high-input technologies are more capital-intensive</w:t>
      </w:r>
      <w:r w:rsidR="001B6224" w:rsidRPr="001B6224">
        <w:rPr>
          <w:rFonts w:ascii="Arial" w:hAnsi="Arial" w:cs="Arial"/>
        </w:rPr>
        <w:t xml:space="preserve">, </w:t>
      </w:r>
      <w:r w:rsidRPr="001B6224">
        <w:rPr>
          <w:rFonts w:ascii="Arial" w:hAnsi="Arial" w:cs="Arial"/>
        </w:rPr>
        <w:t xml:space="preserve">e.g., higher capital </w:t>
      </w:r>
      <w:r w:rsidR="001B6224" w:rsidRPr="001B6224">
        <w:rPr>
          <w:rFonts w:ascii="Arial" w:hAnsi="Arial" w:cs="Arial"/>
        </w:rPr>
        <w:t>“</w:t>
      </w:r>
      <w:r w:rsidR="000E7682" w:rsidRPr="001B6224">
        <w:rPr>
          <w:rFonts w:ascii="Arial" w:hAnsi="Arial" w:cs="Arial"/>
        </w:rPr>
        <w:t>cost per unit of output</w:t>
      </w:r>
      <w:r w:rsidR="001B6224" w:rsidRPr="001B6224">
        <w:rPr>
          <w:rFonts w:ascii="Arial" w:hAnsi="Arial" w:cs="Arial"/>
        </w:rPr>
        <w:t>” (referred to as “unit cost” hereafter, implying cost share)</w:t>
      </w:r>
      <w:r w:rsidRPr="001B6224">
        <w:rPr>
          <w:rFonts w:ascii="Arial" w:hAnsi="Arial" w:cs="Arial"/>
        </w:rPr>
        <w:t xml:space="preserve">, while low-input technologies are more labor-intensive (e.g., higher labor </w:t>
      </w:r>
      <w:r w:rsidR="001B6224" w:rsidRPr="001B6224">
        <w:rPr>
          <w:rFonts w:ascii="Arial" w:hAnsi="Arial" w:cs="Arial"/>
        </w:rPr>
        <w:t>unit cost</w:t>
      </w:r>
      <w:r w:rsidRPr="001B6224">
        <w:rPr>
          <w:rFonts w:ascii="Arial" w:hAnsi="Arial" w:cs="Arial"/>
        </w:rPr>
        <w:t xml:space="preserve">). </w:t>
      </w:r>
      <w:r w:rsidRPr="001B6224">
        <w:rPr>
          <w:rFonts w:ascii="Arial" w:eastAsiaTheme="minorEastAsia" w:hAnsi="Arial" w:cs="Arial"/>
        </w:rPr>
        <w:t xml:space="preserve">As shown in </w:t>
      </w:r>
      <w:r w:rsidRPr="001B6224">
        <w:rPr>
          <w:rFonts w:ascii="Arial" w:hAnsi="Arial" w:cs="Arial"/>
          <w:b/>
          <w:bCs/>
        </w:rPr>
        <w:fldChar w:fldCharType="begin"/>
      </w:r>
      <w:r w:rsidRPr="001B6224">
        <w:rPr>
          <w:rFonts w:ascii="Arial" w:hAnsi="Arial" w:cs="Arial"/>
          <w:b/>
          <w:bCs/>
        </w:rPr>
        <w:instrText xml:space="preserve"> REF _Ref162351561 \h  \* MERGEFORMAT </w:instrText>
      </w:r>
      <w:r w:rsidRPr="001B6224">
        <w:rPr>
          <w:rFonts w:ascii="Arial" w:hAnsi="Arial" w:cs="Arial"/>
          <w:b/>
          <w:bCs/>
        </w:rPr>
      </w:r>
      <w:r w:rsidRPr="001B6224">
        <w:rPr>
          <w:rFonts w:ascii="Arial" w:hAnsi="Arial" w:cs="Arial"/>
          <w:b/>
          <w:bCs/>
        </w:rPr>
        <w:fldChar w:fldCharType="separate"/>
      </w:r>
      <w:r w:rsidR="009141B0" w:rsidRPr="009141B0">
        <w:rPr>
          <w:rFonts w:ascii="Arial" w:eastAsiaTheme="minorEastAsia" w:hAnsi="Arial" w:cs="Arial"/>
          <w:b/>
          <w:bCs/>
          <w:szCs w:val="20"/>
        </w:rPr>
        <w:t>Table S4</w:t>
      </w:r>
      <w:r w:rsidRPr="001B6224">
        <w:rPr>
          <w:rFonts w:ascii="Arial" w:hAnsi="Arial" w:cs="Arial"/>
          <w:b/>
          <w:bCs/>
        </w:rPr>
        <w:fldChar w:fldCharType="end"/>
      </w:r>
      <w:r w:rsidRPr="001B6224">
        <w:rPr>
          <w:rFonts w:ascii="Arial" w:eastAsiaTheme="minorEastAsia" w:hAnsi="Arial" w:cs="Arial"/>
        </w:rPr>
        <w:t>, we introduce a parameter (</w:t>
      </w:r>
      <m:oMath>
        <m:r>
          <w:rPr>
            <w:rFonts w:ascii="Cambria Math" w:hAnsi="Cambria Math" w:cs="Arial"/>
          </w:rPr>
          <m:t>θ</m:t>
        </m:r>
      </m:oMath>
      <w:r w:rsidRPr="001B6224">
        <w:rPr>
          <w:rFonts w:ascii="Arial" w:eastAsiaTheme="minorEastAsia" w:hAnsi="Arial" w:cs="Arial"/>
        </w:rPr>
        <w:t xml:space="preserve">) to differentiate the </w:t>
      </w:r>
      <w:r w:rsidR="001B308C" w:rsidRPr="001B6224">
        <w:rPr>
          <w:rFonts w:ascii="Arial" w:eastAsiaTheme="minorEastAsia" w:hAnsi="Arial" w:cs="Arial"/>
        </w:rPr>
        <w:t xml:space="preserve">labor and capital </w:t>
      </w:r>
      <w:r w:rsidR="006720BA" w:rsidRPr="001B6224">
        <w:rPr>
          <w:rFonts w:ascii="Arial" w:eastAsiaTheme="minorEastAsia" w:hAnsi="Arial" w:cs="Arial"/>
        </w:rPr>
        <w:t xml:space="preserve">cost </w:t>
      </w:r>
      <w:r w:rsidR="001B6224" w:rsidRPr="001B6224">
        <w:rPr>
          <w:rFonts w:ascii="Arial" w:hAnsi="Arial" w:cs="Arial"/>
        </w:rPr>
        <w:t>unit cost</w:t>
      </w:r>
      <w:r w:rsidRPr="001B6224">
        <w:rPr>
          <w:rFonts w:ascii="Arial" w:eastAsiaTheme="minorEastAsia" w:hAnsi="Arial" w:cs="Arial"/>
        </w:rPr>
        <w:t xml:space="preserve"> without affecting the total cost so that the zero pure profit condition still holds. If </w:t>
      </w:r>
      <m:oMath>
        <m:r>
          <w:rPr>
            <w:rFonts w:ascii="Cambria Math" w:hAnsi="Cambria Math" w:cs="Arial"/>
          </w:rPr>
          <m:t>θ</m:t>
        </m:r>
      </m:oMath>
      <w:r w:rsidRPr="001B6224">
        <w:rPr>
          <w:rFonts w:ascii="Arial" w:eastAsiaTheme="minorEastAsia" w:hAnsi="Arial" w:cs="Arial"/>
        </w:rPr>
        <w:t xml:space="preserve"> is closer to zero, labor (and thus capital) yield is </w:t>
      </w:r>
      <w:r w:rsidR="000E4271" w:rsidRPr="001B6224">
        <w:rPr>
          <w:rFonts w:ascii="Arial" w:eastAsiaTheme="minorEastAsia" w:hAnsi="Arial" w:cs="Arial"/>
        </w:rPr>
        <w:t>similar</w:t>
      </w:r>
      <w:r w:rsidRPr="001B6224">
        <w:rPr>
          <w:rFonts w:ascii="Arial" w:eastAsiaTheme="minorEastAsia" w:hAnsi="Arial" w:cs="Arial"/>
        </w:rPr>
        <w:t xml:space="preserve"> across technologies and the potential for substitution is low. A larger </w:t>
      </w:r>
      <m:oMath>
        <m:r>
          <w:rPr>
            <w:rFonts w:ascii="Cambria Math" w:hAnsi="Cambria Math" w:cs="Arial"/>
          </w:rPr>
          <m:t>θ</m:t>
        </m:r>
      </m:oMath>
      <w:r w:rsidRPr="001B6224">
        <w:rPr>
          <w:rFonts w:ascii="Arial" w:eastAsiaTheme="minorEastAsia" w:hAnsi="Arial" w:cs="Arial"/>
        </w:rPr>
        <w:t xml:space="preserve"> implies a larger substitution potential. </w:t>
      </w:r>
      <w:r w:rsidRPr="001B6224">
        <w:rPr>
          <w:rFonts w:ascii="Arial" w:hAnsi="Arial" w:cs="Arial"/>
        </w:rPr>
        <w:t xml:space="preserve">Specifically, we start from the derived water-basin crop-specific </w:t>
      </w:r>
      <w:r w:rsidRPr="001B6224">
        <w:rPr>
          <w:rFonts w:ascii="Arial" w:hAnsi="Arial" w:cs="Arial"/>
        </w:rPr>
        <w:lastRenderedPageBreak/>
        <w:t xml:space="preserve">labor </w:t>
      </w:r>
      <w:r w:rsidR="001B6224" w:rsidRPr="001B6224">
        <w:rPr>
          <w:rFonts w:ascii="Arial" w:hAnsi="Arial" w:cs="Arial"/>
        </w:rPr>
        <w:t>unit cost,</w:t>
      </w:r>
      <w:r w:rsidRPr="001B6224">
        <w:rPr>
          <w:rFonts w:ascii="Arial" w:hAnsi="Arial" w:cs="Arial"/>
        </w:rPr>
        <w:t xml:space="preserve"> </w:t>
      </w:r>
      <m:oMath>
        <m:sSup>
          <m:sSupPr>
            <m:ctrlPr>
              <w:rPr>
                <w:rFonts w:ascii="Cambria Math" w:hAnsi="Cambria Math" w:cs="Arial"/>
                <w:i/>
                <w14:ligatures w14:val="standardContextual"/>
              </w:rPr>
            </m:ctrlPr>
          </m:sSupPr>
          <m:e>
            <m:r>
              <w:rPr>
                <w:rFonts w:ascii="Cambria Math" w:hAnsi="Cambria Math" w:cs="Arial"/>
              </w:rPr>
              <m:t>h</m:t>
            </m:r>
          </m:e>
          <m:sup>
            <m:r>
              <w:rPr>
                <w:rFonts w:ascii="Cambria Math" w:hAnsi="Cambria Math" w:cs="Arial"/>
              </w:rPr>
              <m:t>L</m:t>
            </m:r>
          </m:sup>
        </m:sSup>
      </m:oMath>
      <w:r w:rsidRPr="001B6224">
        <w:rPr>
          <w:rFonts w:ascii="Arial" w:eastAsiaTheme="minorEastAsia" w:hAnsi="Arial" w:cs="Arial"/>
        </w:rPr>
        <w:t xml:space="preserve">, </w:t>
      </w:r>
      <w:r w:rsidRPr="001B6224">
        <w:rPr>
          <w:rFonts w:ascii="Arial" w:hAnsi="Arial" w:cs="Arial"/>
        </w:rPr>
        <w:t xml:space="preserve">and impose an exogenous decrease in the labor cost per unit of irrigated-high-input technology. To keep the </w:t>
      </w:r>
      <w:r w:rsidR="001B6224" w:rsidRPr="001B6224">
        <w:rPr>
          <w:rFonts w:ascii="Arial" w:hAnsi="Arial" w:cs="Arial"/>
        </w:rPr>
        <w:t>total unit cost</w:t>
      </w:r>
      <w:r w:rsidRPr="001B6224">
        <w:rPr>
          <w:rFonts w:ascii="Arial" w:hAnsi="Arial" w:cs="Arial"/>
        </w:rPr>
        <w:t xml:space="preserve"> the same before and after the adjustment, we impose the same level of increase in the capital cost per unit. To maintain the weighted total </w:t>
      </w:r>
      <w:r w:rsidR="008804EA" w:rsidRPr="001B6224">
        <w:rPr>
          <w:rFonts w:ascii="Arial" w:hAnsi="Arial" w:cs="Arial"/>
        </w:rPr>
        <w:t xml:space="preserve">production </w:t>
      </w:r>
      <w:r w:rsidR="001B6224" w:rsidRPr="001B6224">
        <w:rPr>
          <w:rFonts w:ascii="Arial" w:hAnsi="Arial" w:cs="Arial"/>
        </w:rPr>
        <w:t>unit cost</w:t>
      </w:r>
      <w:r w:rsidR="008804EA" w:rsidRPr="001B6224">
        <w:rPr>
          <w:rFonts w:ascii="Arial" w:hAnsi="Arial" w:cs="Arial"/>
        </w:rPr>
        <w:t xml:space="preserve"> </w:t>
      </w:r>
      <w:r w:rsidRPr="001B6224">
        <w:rPr>
          <w:rFonts w:ascii="Arial" w:hAnsi="Arial" w:cs="Arial"/>
        </w:rPr>
        <w:t xml:space="preserve">with irrigated practice the same as the water-basin level data, we further adjust the labor and capital </w:t>
      </w:r>
      <w:r w:rsidR="001B6224" w:rsidRPr="001B6224">
        <w:rPr>
          <w:rFonts w:ascii="Arial" w:hAnsi="Arial" w:cs="Arial"/>
        </w:rPr>
        <w:t xml:space="preserve">unit cost </w:t>
      </w:r>
      <w:r w:rsidRPr="001B6224">
        <w:rPr>
          <w:rFonts w:ascii="Arial" w:hAnsi="Arial" w:cs="Arial"/>
        </w:rPr>
        <w:t xml:space="preserve">of the irrigated-low-fertilized technology. Similar adjustments are done for the rainfed technologies, and we assume the </w:t>
      </w:r>
      <w:r w:rsidRPr="001B6224">
        <w:rPr>
          <w:rFonts w:ascii="Arial" w:eastAsiaTheme="minorEastAsia" w:hAnsi="Arial" w:cs="Arial"/>
        </w:rPr>
        <w:t>substitution potential</w:t>
      </w:r>
      <w:r w:rsidRPr="001B6224">
        <w:rPr>
          <w:rFonts w:ascii="Arial" w:hAnsi="Arial" w:cs="Arial"/>
        </w:rPr>
        <w:t xml:space="preserve"> is larger for irrigated technologies (</w:t>
      </w:r>
      <m:oMath>
        <m:r>
          <w:rPr>
            <w:rFonts w:ascii="Cambria Math" w:hAnsi="Cambria Math" w:cs="Arial"/>
          </w:rPr>
          <m:t>θ=0.2</m:t>
        </m:r>
      </m:oMath>
      <w:r w:rsidRPr="001B6224">
        <w:rPr>
          <w:rFonts w:ascii="Arial" w:hAnsi="Arial" w:cs="Arial"/>
        </w:rPr>
        <w:t>) compared to rainfed (</w:t>
      </w:r>
      <m:oMath>
        <m:r>
          <w:rPr>
            <w:rFonts w:ascii="Cambria Math" w:hAnsi="Cambria Math" w:cs="Arial"/>
          </w:rPr>
          <m:t>θ=0.1</m:t>
        </m:r>
      </m:oMath>
      <w:r w:rsidRPr="001B6224">
        <w:rPr>
          <w:rFonts w:ascii="Arial" w:hAnsi="Arial" w:cs="Arial"/>
        </w:rPr>
        <w:t xml:space="preserve">). As a result, </w:t>
      </w:r>
      <m:oMath>
        <m:sSubSup>
          <m:sSubSupPr>
            <m:ctrlPr>
              <w:rPr>
                <w:rFonts w:ascii="Cambria Math" w:hAnsi="Cambria Math" w:cs="Arial"/>
                <w:i/>
                <w14:ligatures w14:val="standardContextual"/>
              </w:rPr>
            </m:ctrlPr>
          </m:sSubSupPr>
          <m:e>
            <m:r>
              <w:rPr>
                <w:rFonts w:ascii="Cambria Math" w:hAnsi="Cambria Math" w:cs="Arial"/>
              </w:rPr>
              <m:t>h</m:t>
            </m:r>
          </m:e>
          <m:sub>
            <m:r>
              <w:rPr>
                <w:rFonts w:ascii="Cambria Math" w:hAnsi="Cambria Math" w:cs="Arial"/>
              </w:rPr>
              <m:t>i,m,k,b,r</m:t>
            </m:r>
          </m:sub>
          <m:sup>
            <m:r>
              <w:rPr>
                <w:rFonts w:ascii="Cambria Math" w:hAnsi="Cambria Math" w:cs="Arial"/>
              </w:rPr>
              <m:t>L</m:t>
            </m:r>
          </m:sup>
        </m:sSubSup>
      </m:oMath>
      <w:r w:rsidRPr="001B6224">
        <w:rPr>
          <w:rFonts w:ascii="Arial" w:hAnsi="Arial" w:cs="Arial"/>
        </w:rPr>
        <w:t xml:space="preserve"> and </w:t>
      </w:r>
      <m:oMath>
        <m:sSubSup>
          <m:sSubSupPr>
            <m:ctrlPr>
              <w:rPr>
                <w:rFonts w:ascii="Cambria Math" w:hAnsi="Cambria Math" w:cs="Arial"/>
                <w:i/>
                <w14:ligatures w14:val="standardContextual"/>
              </w:rPr>
            </m:ctrlPr>
          </m:sSubSupPr>
          <m:e>
            <m:r>
              <w:rPr>
                <w:rFonts w:ascii="Cambria Math" w:hAnsi="Cambria Math" w:cs="Arial"/>
              </w:rPr>
              <m:t>h</m:t>
            </m:r>
          </m:e>
          <m:sub>
            <m:r>
              <w:rPr>
                <w:rFonts w:ascii="Cambria Math" w:hAnsi="Cambria Math" w:cs="Arial"/>
              </w:rPr>
              <m:t>i,m,k,b,r</m:t>
            </m:r>
          </m:sub>
          <m:sup>
            <m:r>
              <w:rPr>
                <w:rFonts w:ascii="Cambria Math" w:hAnsi="Cambria Math" w:cs="Arial"/>
              </w:rPr>
              <m:t>K</m:t>
            </m:r>
          </m:sup>
        </m:sSubSup>
      </m:oMath>
      <w:r w:rsidRPr="001B6224">
        <w:rPr>
          <w:rFonts w:ascii="Arial" w:hAnsi="Arial" w:cs="Arial"/>
        </w:rPr>
        <w:t xml:space="preserve"> are obtained for the GCAM base year. With observed factor prices in the base year, we are able to derive the labor yield in base year </w:t>
      </w:r>
      <m:oMath>
        <m:sSubSup>
          <m:sSubSupPr>
            <m:ctrlPr>
              <w:rPr>
                <w:rFonts w:ascii="Cambria Math" w:hAnsi="Cambria Math" w:cs="Arial"/>
                <w:i/>
                <w14:ligatures w14:val="standardContextual"/>
              </w:rPr>
            </m:ctrlPr>
          </m:sSubSupPr>
          <m:e>
            <m:r>
              <w:rPr>
                <w:rFonts w:ascii="Cambria Math" w:hAnsi="Cambria Math" w:cs="Arial"/>
              </w:rPr>
              <m:t>g</m:t>
            </m:r>
          </m:e>
          <m:sub>
            <m:r>
              <w:rPr>
                <w:rFonts w:ascii="Cambria Math" w:hAnsi="Cambria Math" w:cs="Arial"/>
              </w:rPr>
              <m:t>i,m,k,b,r</m:t>
            </m:r>
          </m:sub>
          <m:sup>
            <m:r>
              <w:rPr>
                <w:rFonts w:ascii="Cambria Math" w:hAnsi="Cambria Math" w:cs="Arial"/>
              </w:rPr>
              <m:t>L</m:t>
            </m:r>
          </m:sup>
        </m:sSubSup>
        <m:r>
          <w:rPr>
            <w:rFonts w:ascii="Cambria Math" w:eastAsiaTheme="minorEastAsia" w:hAnsi="Cambria Math" w:cs="Arial"/>
          </w:rPr>
          <m:t>=</m:t>
        </m:r>
        <m:f>
          <m:fPr>
            <m:ctrlPr>
              <w:rPr>
                <w:rFonts w:ascii="Cambria Math" w:eastAsiaTheme="minorEastAsia" w:hAnsi="Cambria Math" w:cs="Arial"/>
                <w:i/>
                <w14:ligatures w14:val="standardContextual"/>
              </w:rPr>
            </m:ctrlPr>
          </m:fPr>
          <m:num>
            <m:sSubSup>
              <m:sSubSupPr>
                <m:ctrlPr>
                  <w:rPr>
                    <w:rFonts w:ascii="Cambria Math" w:hAnsi="Cambria Math" w:cs="Arial"/>
                    <w:i/>
                    <w14:ligatures w14:val="standardContextual"/>
                  </w:rPr>
                </m:ctrlPr>
              </m:sSubSupPr>
              <m:e>
                <m:r>
                  <w:rPr>
                    <w:rFonts w:ascii="Cambria Math" w:hAnsi="Cambria Math" w:cs="Arial"/>
                  </w:rPr>
                  <m:t>P</m:t>
                </m:r>
              </m:e>
              <m:sub>
                <m:r>
                  <w:rPr>
                    <w:rFonts w:ascii="Cambria Math" w:hAnsi="Cambria Math" w:cs="Arial"/>
                  </w:rPr>
                  <m:t>r</m:t>
                </m:r>
              </m:sub>
              <m:sup>
                <m:r>
                  <w:rPr>
                    <w:rFonts w:ascii="Cambria Math" w:hAnsi="Cambria Math" w:cs="Arial"/>
                  </w:rPr>
                  <m:t>L</m:t>
                </m:r>
              </m:sup>
            </m:sSubSup>
          </m:num>
          <m:den>
            <m:sSubSup>
              <m:sSubSupPr>
                <m:ctrlPr>
                  <w:rPr>
                    <w:rFonts w:ascii="Cambria Math" w:hAnsi="Cambria Math" w:cs="Arial"/>
                    <w:i/>
                    <w14:ligatures w14:val="standardContextual"/>
                  </w:rPr>
                </m:ctrlPr>
              </m:sSubSupPr>
              <m:e>
                <m:r>
                  <w:rPr>
                    <w:rFonts w:ascii="Cambria Math" w:hAnsi="Cambria Math" w:cs="Arial"/>
                  </w:rPr>
                  <m:t>h</m:t>
                </m:r>
              </m:e>
              <m:sub>
                <m:r>
                  <w:rPr>
                    <w:rFonts w:ascii="Cambria Math" w:hAnsi="Cambria Math" w:cs="Arial"/>
                  </w:rPr>
                  <m:t>i,m,k,b,r</m:t>
                </m:r>
              </m:sub>
              <m:sup>
                <m:r>
                  <w:rPr>
                    <w:rFonts w:ascii="Cambria Math" w:hAnsi="Cambria Math" w:cs="Arial"/>
                  </w:rPr>
                  <m:t>L</m:t>
                </m:r>
              </m:sup>
            </m:sSubSup>
          </m:den>
        </m:f>
      </m:oMath>
      <w:r w:rsidRPr="001B6224">
        <w:rPr>
          <w:rFonts w:ascii="Arial" w:eastAsiaTheme="minorEastAsia" w:hAnsi="Arial" w:cs="Arial"/>
        </w:rPr>
        <w:t xml:space="preserve"> , and labor yield in future periods </w:t>
      </w:r>
      <m:oMath>
        <m:sSubSup>
          <m:sSubSupPr>
            <m:ctrlPr>
              <w:rPr>
                <w:rFonts w:ascii="Cambria Math" w:hAnsi="Cambria Math" w:cs="Arial"/>
                <w:i/>
                <w14:ligatures w14:val="standardContextual"/>
              </w:rPr>
            </m:ctrlPr>
          </m:sSubSupPr>
          <m:e>
            <m:r>
              <w:rPr>
                <w:rFonts w:ascii="Cambria Math" w:hAnsi="Cambria Math" w:cs="Arial"/>
              </w:rPr>
              <m:t>g</m:t>
            </m:r>
          </m:e>
          <m:sub>
            <m:r>
              <w:rPr>
                <w:rFonts w:ascii="Cambria Math" w:hAnsi="Cambria Math" w:cs="Arial"/>
              </w:rPr>
              <m:t>i,m,k,b,r,t</m:t>
            </m:r>
          </m:sub>
          <m:sup>
            <m:r>
              <w:rPr>
                <w:rFonts w:ascii="Cambria Math" w:hAnsi="Cambria Math" w:cs="Arial"/>
              </w:rPr>
              <m:t>L</m:t>
            </m:r>
          </m:sup>
        </m:sSubSup>
      </m:oMath>
      <w:r w:rsidRPr="001B6224">
        <w:rPr>
          <w:rFonts w:ascii="Arial" w:eastAsiaTheme="minorEastAsia" w:hAnsi="Arial" w:cs="Arial"/>
        </w:rPr>
        <w:t xml:space="preserve"> are determined by the base year labor yield and technical shifter </w:t>
      </w:r>
      <m:oMath>
        <m:sSubSup>
          <m:sSubSupPr>
            <m:ctrlPr>
              <w:rPr>
                <w:rFonts w:ascii="Cambria Math" w:hAnsi="Cambria Math" w:cs="Arial"/>
                <w:i/>
                <w14:ligatures w14:val="standardContextual"/>
              </w:rPr>
            </m:ctrlPr>
          </m:sSubSupPr>
          <m:e>
            <m:r>
              <w:rPr>
                <w:rFonts w:ascii="Cambria Math" w:hAnsi="Cambria Math" w:cs="Arial"/>
              </w:rPr>
              <m:t>G</m:t>
            </m:r>
          </m:e>
          <m:sub>
            <m:r>
              <w:rPr>
                <w:rFonts w:ascii="Cambria Math" w:hAnsi="Cambria Math" w:cs="Arial"/>
              </w:rPr>
              <m:t>r,t</m:t>
            </m:r>
          </m:sub>
          <m:sup>
            <m:r>
              <w:rPr>
                <w:rFonts w:ascii="Cambria Math" w:hAnsi="Cambria Math" w:cs="Arial"/>
              </w:rPr>
              <m:t>L</m:t>
            </m:r>
          </m:sup>
        </m:sSubSup>
      </m:oMath>
      <w:r w:rsidRPr="001B6224">
        <w:rPr>
          <w:rFonts w:ascii="Arial" w:eastAsiaTheme="minorEastAsia" w:hAnsi="Arial" w:cs="Arial"/>
        </w:rPr>
        <w:t>.</w:t>
      </w:r>
    </w:p>
    <w:p w14:paraId="3EBD9E37" w14:textId="57C2A381" w:rsidR="008B4807" w:rsidRPr="001B6224" w:rsidRDefault="008B4807" w:rsidP="001B6224">
      <w:pPr>
        <w:spacing w:line="276" w:lineRule="auto"/>
        <w:rPr>
          <w:rFonts w:ascii="Arial" w:hAnsi="Arial" w:cs="Arial"/>
        </w:rPr>
      </w:pPr>
      <w:r w:rsidRPr="001B6224">
        <w:rPr>
          <w:rFonts w:ascii="Arial" w:hAnsi="Arial" w:cs="Arial"/>
        </w:rPr>
        <w:t xml:space="preserve">With different labor and capital intensities across technologies, crop producers are incentivized to adopt more profitable production technology given the labor and capital prices at the market equilibrium. For example, when labor wage increases, labor-intensive technologies are less profitable compared to capital-intensive technologies, and profit-maximizing crop producers are incentivized to adopt more capital-intensive technologies. </w:t>
      </w:r>
    </w:p>
    <w:p w14:paraId="0B6B8757" w14:textId="77777777" w:rsidR="008B4807" w:rsidRDefault="008B4807" w:rsidP="008B4807">
      <w:pPr>
        <w:rPr>
          <w:rFonts w:ascii="Arial" w:hAnsi="Arial" w:cs="Arial"/>
        </w:rPr>
      </w:pPr>
    </w:p>
    <w:p w14:paraId="3733C28A" w14:textId="509BB105" w:rsidR="008B4807" w:rsidRDefault="008B4807" w:rsidP="008B4807">
      <w:pPr>
        <w:pStyle w:val="Caption"/>
        <w:spacing w:after="240"/>
        <w:jc w:val="both"/>
        <w:rPr>
          <w:rFonts w:eastAsiaTheme="minorEastAsia" w:cs="Arial"/>
          <w:bCs/>
          <w:vanish/>
          <w:sz w:val="22"/>
          <w:szCs w:val="22"/>
          <w:specVanish/>
        </w:rPr>
      </w:pPr>
      <w:bookmarkStart w:id="25" w:name="_Ref162351561"/>
      <w:bookmarkStart w:id="26" w:name="_Toc162998108"/>
      <w:r>
        <w:rPr>
          <w:rFonts w:eastAsiaTheme="minorEastAsia" w:cs="Arial"/>
          <w:bCs/>
          <w:sz w:val="22"/>
          <w:szCs w:val="22"/>
        </w:rPr>
        <w:t>Table S</w:t>
      </w:r>
      <w:r>
        <w:fldChar w:fldCharType="begin"/>
      </w:r>
      <w:r>
        <w:rPr>
          <w:rFonts w:eastAsiaTheme="minorEastAsia" w:cs="Arial"/>
          <w:bCs/>
          <w:sz w:val="22"/>
          <w:szCs w:val="22"/>
        </w:rPr>
        <w:instrText xml:space="preserve"> SEQ Table \* ARABIC </w:instrText>
      </w:r>
      <w:r>
        <w:fldChar w:fldCharType="separate"/>
      </w:r>
      <w:r w:rsidR="009141B0">
        <w:rPr>
          <w:rFonts w:eastAsiaTheme="minorEastAsia" w:cs="Arial"/>
          <w:bCs/>
          <w:noProof/>
          <w:sz w:val="22"/>
          <w:szCs w:val="22"/>
        </w:rPr>
        <w:t>4</w:t>
      </w:r>
      <w:r>
        <w:fldChar w:fldCharType="end"/>
      </w:r>
      <w:bookmarkEnd w:id="25"/>
      <w:r>
        <w:rPr>
          <w:rFonts w:eastAsiaTheme="minorEastAsia" w:cs="Arial"/>
          <w:bCs/>
          <w:sz w:val="22"/>
          <w:szCs w:val="22"/>
        </w:rPr>
        <w:t xml:space="preserve"> | Labor and capital cost per unit across production technologies.</w:t>
      </w:r>
      <w:bookmarkEnd w:id="26"/>
      <w:r>
        <w:rPr>
          <w:rFonts w:eastAsiaTheme="minorEastAsia" w:cs="Arial"/>
          <w:bCs/>
          <w:sz w:val="22"/>
          <w:szCs w:val="22"/>
        </w:rPr>
        <w:t xml:space="preserve"> </w:t>
      </w:r>
    </w:p>
    <w:p w14:paraId="57BAE8DF" w14:textId="77777777" w:rsidR="008B4807" w:rsidRDefault="008B4807" w:rsidP="008B4807">
      <w:pPr>
        <w:spacing w:before="240" w:line="276" w:lineRule="auto"/>
        <w:jc w:val="both"/>
        <w:rPr>
          <w:rFonts w:ascii="Arial" w:hAnsi="Arial" w:cs="Arial"/>
          <w:i/>
        </w:rPr>
      </w:pPr>
      <w:r>
        <w:rPr>
          <w:rFonts w:ascii="Arial" w:hAnsi="Arial" w:cs="Arial"/>
        </w:rPr>
        <w:t xml:space="preserve"> Note: </w:t>
      </w:r>
      <m:oMath>
        <m:sSub>
          <m:sSubPr>
            <m:ctrlPr>
              <w:rPr>
                <w:rFonts w:ascii="Cambria Math" w:hAnsi="Cambria Math" w:cs="Arial"/>
                <w:i/>
                <w14:ligatures w14:val="standardContextual"/>
              </w:rPr>
            </m:ctrlPr>
          </m:sSubPr>
          <m:e>
            <m:r>
              <w:rPr>
                <w:rFonts w:ascii="Cambria Math" w:hAnsi="Cambria Math" w:cs="Arial"/>
              </w:rPr>
              <m:t>θ</m:t>
            </m:r>
          </m:e>
          <m:sub>
            <m:r>
              <w:rPr>
                <w:rFonts w:ascii="Cambria Math" w:hAnsi="Cambria Math" w:cs="Arial"/>
              </w:rPr>
              <m:t>1</m:t>
            </m:r>
          </m:sub>
        </m:sSub>
      </m:oMath>
      <w:r>
        <w:rPr>
          <w:rFonts w:ascii="Arial" w:eastAsiaTheme="minorEastAsia" w:hAnsi="Arial" w:cs="Arial"/>
        </w:rPr>
        <w:t xml:space="preserve"> = 0.2, </w:t>
      </w:r>
      <m:oMath>
        <m:sSub>
          <m:sSubPr>
            <m:ctrlPr>
              <w:rPr>
                <w:rFonts w:ascii="Cambria Math" w:hAnsi="Cambria Math" w:cs="Arial"/>
                <w:i/>
                <w14:ligatures w14:val="standardContextual"/>
              </w:rPr>
            </m:ctrlPr>
          </m:sSubPr>
          <m:e>
            <m:r>
              <w:rPr>
                <w:rFonts w:ascii="Cambria Math" w:hAnsi="Cambria Math" w:cs="Arial"/>
              </w:rPr>
              <m:t>θ</m:t>
            </m:r>
          </m:e>
          <m:sub>
            <m:r>
              <w:rPr>
                <w:rFonts w:ascii="Cambria Math" w:hAnsi="Cambria Math" w:cs="Arial"/>
              </w:rPr>
              <m:t>2</m:t>
            </m:r>
          </m:sub>
        </m:sSub>
      </m:oMath>
      <w:r>
        <w:rPr>
          <w:rFonts w:ascii="Arial" w:eastAsiaTheme="minorEastAsia" w:hAnsi="Arial" w:cs="Arial"/>
        </w:rPr>
        <w:t xml:space="preserve"> = 0.1. </w:t>
      </w:r>
      <m:oMath>
        <m:sSubSup>
          <m:sSubSupPr>
            <m:ctrlPr>
              <w:rPr>
                <w:rFonts w:ascii="Cambria Math" w:hAnsi="Cambria Math" w:cs="Arial"/>
                <w:i/>
                <w14:ligatures w14:val="standardContextual"/>
              </w:rPr>
            </m:ctrlPr>
          </m:sSubSupPr>
          <m:e>
            <m:r>
              <w:rPr>
                <w:rFonts w:ascii="Cambria Math" w:hAnsi="Cambria Math" w:cs="Arial"/>
              </w:rPr>
              <m:t>h</m:t>
            </m:r>
          </m:e>
          <m:sub>
            <m:r>
              <w:rPr>
                <w:rFonts w:ascii="Cambria Math" w:hAnsi="Cambria Math" w:cs="Arial"/>
              </w:rPr>
              <m:t>i,m</m:t>
            </m:r>
          </m:sub>
          <m:sup>
            <m:r>
              <w:rPr>
                <w:rFonts w:ascii="Cambria Math" w:hAnsi="Cambria Math" w:cs="Arial"/>
              </w:rPr>
              <m:t>L</m:t>
            </m:r>
          </m:sup>
        </m:sSubSup>
      </m:oMath>
      <w:r>
        <w:rPr>
          <w:rFonts w:ascii="Arial" w:eastAsiaTheme="minorEastAsia" w:hAnsi="Arial" w:cs="Arial"/>
        </w:rPr>
        <w:t xml:space="preserve"> and </w:t>
      </w:r>
      <m:oMath>
        <m:sSubSup>
          <m:sSubSupPr>
            <m:ctrlPr>
              <w:rPr>
                <w:rFonts w:ascii="Cambria Math" w:hAnsi="Cambria Math" w:cs="Arial"/>
                <w:i/>
                <w14:ligatures w14:val="standardContextual"/>
              </w:rPr>
            </m:ctrlPr>
          </m:sSubSupPr>
          <m:e>
            <m:r>
              <w:rPr>
                <w:rFonts w:ascii="Cambria Math" w:hAnsi="Cambria Math" w:cs="Arial"/>
              </w:rPr>
              <m:t>h</m:t>
            </m:r>
          </m:e>
          <m:sub>
            <m:r>
              <w:rPr>
                <w:rFonts w:ascii="Cambria Math" w:hAnsi="Cambria Math" w:cs="Arial"/>
              </w:rPr>
              <m:t>i,m</m:t>
            </m:r>
          </m:sub>
          <m:sup>
            <m:r>
              <w:rPr>
                <w:rFonts w:ascii="Cambria Math" w:hAnsi="Cambria Math" w:cs="Arial"/>
              </w:rPr>
              <m:t>K</m:t>
            </m:r>
          </m:sup>
        </m:sSubSup>
      </m:oMath>
      <w:r>
        <w:rPr>
          <w:rFonts w:ascii="Arial" w:eastAsiaTheme="minorEastAsia" w:hAnsi="Arial" w:cs="Arial"/>
        </w:rPr>
        <w:t xml:space="preserve"> are the unit cost of labor and capital with irrigation practice </w:t>
      </w:r>
      <w:r>
        <w:rPr>
          <w:rFonts w:ascii="Arial" w:eastAsiaTheme="minorEastAsia" w:hAnsi="Arial" w:cs="Arial"/>
          <w:i/>
          <w:iCs/>
        </w:rPr>
        <w:t>i</w:t>
      </w:r>
      <w:r>
        <w:rPr>
          <w:rFonts w:ascii="Arial" w:eastAsiaTheme="minorEastAsia" w:hAnsi="Arial" w:cs="Arial"/>
        </w:rPr>
        <w:t xml:space="preserve"> and management </w:t>
      </w:r>
      <w:r>
        <w:rPr>
          <w:rFonts w:ascii="Arial" w:eastAsiaTheme="minorEastAsia" w:hAnsi="Arial" w:cs="Arial"/>
          <w:i/>
          <w:iCs/>
        </w:rPr>
        <w:t>m</w:t>
      </w:r>
      <w:r>
        <w:rPr>
          <w:rFonts w:ascii="Arial" w:eastAsiaTheme="minorEastAsia" w:hAnsi="Arial" w:cs="Arial"/>
        </w:rPr>
        <w:t xml:space="preserve"> technology, for a given crop, water basin, and region combination in the GCAM base year; </w:t>
      </w:r>
      <m:oMath>
        <m:sSub>
          <m:sSubPr>
            <m:ctrlPr>
              <w:rPr>
                <w:rFonts w:ascii="Cambria Math" w:hAnsi="Cambria Math" w:cs="Arial"/>
                <w:i/>
                <w14:ligatures w14:val="standardContextual"/>
              </w:rPr>
            </m:ctrlPr>
          </m:sSubPr>
          <m:e>
            <m:r>
              <w:rPr>
                <w:rFonts w:ascii="Cambria Math" w:hAnsi="Cambria Math" w:cs="Arial"/>
              </w:rPr>
              <m:t>Q</m:t>
            </m:r>
          </m:e>
          <m:sub>
            <m:r>
              <w:rPr>
                <w:rFonts w:ascii="Cambria Math" w:hAnsi="Cambria Math" w:cs="Arial"/>
              </w:rPr>
              <m:t>i,m</m:t>
            </m:r>
          </m:sub>
        </m:sSub>
      </m:oMath>
      <w:r>
        <w:rPr>
          <w:rFonts w:ascii="Arial" w:eastAsiaTheme="minorEastAsia" w:hAnsi="Arial" w:cs="Arial"/>
        </w:rPr>
        <w:t xml:space="preserve"> is production output levels of a given crop and water basin combination with irrigation practice </w:t>
      </w:r>
      <w:r>
        <w:rPr>
          <w:rFonts w:ascii="Arial" w:eastAsiaTheme="minorEastAsia" w:hAnsi="Arial" w:cs="Arial"/>
          <w:i/>
          <w:iCs/>
        </w:rPr>
        <w:t>i</w:t>
      </w:r>
      <w:r>
        <w:rPr>
          <w:rFonts w:ascii="Arial" w:eastAsiaTheme="minorEastAsia" w:hAnsi="Arial" w:cs="Arial"/>
        </w:rPr>
        <w:t xml:space="preserve"> and management </w:t>
      </w:r>
      <w:r>
        <w:rPr>
          <w:rFonts w:ascii="Arial" w:eastAsiaTheme="minorEastAsia" w:hAnsi="Arial" w:cs="Arial"/>
          <w:i/>
          <w:iCs/>
        </w:rPr>
        <w:t>m</w:t>
      </w:r>
      <w:r>
        <w:rPr>
          <w:rFonts w:ascii="Arial" w:eastAsiaTheme="minorEastAsia" w:hAnsi="Arial" w:cs="Arial"/>
        </w:rPr>
        <w:t xml:space="preserve"> in the base year.</w:t>
      </w:r>
      <w:r>
        <w:rPr>
          <w:rFonts w:ascii="Arial" w:hAnsi="Arial" w:cs="Arial"/>
          <w:i/>
        </w:rPr>
        <w:t xml:space="preserve"> </w:t>
      </w:r>
    </w:p>
    <w:tbl>
      <w:tblPr>
        <w:tblStyle w:val="TableGrid0"/>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6"/>
        <w:gridCol w:w="4386"/>
        <w:gridCol w:w="4448"/>
      </w:tblGrid>
      <w:tr w:rsidR="008B4807" w14:paraId="64F2455E" w14:textId="77777777" w:rsidTr="008B4807">
        <w:trPr>
          <w:trHeight w:val="432"/>
          <w:jc w:val="center"/>
        </w:trPr>
        <w:tc>
          <w:tcPr>
            <w:tcW w:w="1998" w:type="dxa"/>
            <w:tcBorders>
              <w:top w:val="single" w:sz="4" w:space="0" w:color="auto"/>
              <w:left w:val="nil"/>
              <w:bottom w:val="single" w:sz="4" w:space="0" w:color="auto"/>
              <w:right w:val="nil"/>
            </w:tcBorders>
            <w:vAlign w:val="center"/>
          </w:tcPr>
          <w:p w14:paraId="38848A74" w14:textId="77777777" w:rsidR="008B4807" w:rsidRDefault="008B4807">
            <w:pPr>
              <w:rPr>
                <w:rFonts w:ascii="Arial" w:hAnsi="Arial" w:cs="Arial"/>
              </w:rPr>
            </w:pPr>
          </w:p>
        </w:tc>
        <w:tc>
          <w:tcPr>
            <w:tcW w:w="4477" w:type="dxa"/>
            <w:tcBorders>
              <w:top w:val="single" w:sz="4" w:space="0" w:color="auto"/>
              <w:left w:val="nil"/>
              <w:bottom w:val="single" w:sz="4" w:space="0" w:color="auto"/>
              <w:right w:val="nil"/>
            </w:tcBorders>
            <w:vAlign w:val="center"/>
            <w:hideMark/>
          </w:tcPr>
          <w:p w14:paraId="4FC05D01" w14:textId="77777777" w:rsidR="008B4807" w:rsidRDefault="008B4807">
            <w:pPr>
              <w:jc w:val="center"/>
              <w:rPr>
                <w:rFonts w:ascii="Arial" w:hAnsi="Arial" w:cs="Arial"/>
              </w:rPr>
            </w:pPr>
            <w:r>
              <w:rPr>
                <w:rFonts w:ascii="Arial" w:hAnsi="Arial" w:cs="Arial"/>
              </w:rPr>
              <w:t>Irrigated (</w:t>
            </w:r>
            <m:oMath>
              <m:r>
                <w:rPr>
                  <w:rFonts w:ascii="Cambria Math" w:hAnsi="Cambria Math" w:cs="Arial"/>
                  <w:sz w:val="20"/>
                  <w:szCs w:val="20"/>
                </w:rPr>
                <m:t>i=irrigated</m:t>
              </m:r>
            </m:oMath>
            <w:r>
              <w:rPr>
                <w:rFonts w:ascii="Arial" w:hAnsi="Arial" w:cs="Arial"/>
              </w:rPr>
              <w:t>)</w:t>
            </w:r>
          </w:p>
        </w:tc>
        <w:tc>
          <w:tcPr>
            <w:tcW w:w="4541" w:type="dxa"/>
            <w:tcBorders>
              <w:top w:val="single" w:sz="4" w:space="0" w:color="auto"/>
              <w:left w:val="nil"/>
              <w:bottom w:val="single" w:sz="4" w:space="0" w:color="auto"/>
              <w:right w:val="nil"/>
            </w:tcBorders>
            <w:vAlign w:val="center"/>
            <w:hideMark/>
          </w:tcPr>
          <w:p w14:paraId="21BCD98A" w14:textId="77777777" w:rsidR="008B4807" w:rsidRDefault="008B4807">
            <w:pPr>
              <w:jc w:val="center"/>
              <w:rPr>
                <w:rFonts w:ascii="Arial" w:hAnsi="Arial" w:cs="Arial"/>
              </w:rPr>
            </w:pPr>
            <w:r>
              <w:rPr>
                <w:rFonts w:ascii="Arial" w:hAnsi="Arial" w:cs="Arial"/>
              </w:rPr>
              <w:t>Rainfed (</w:t>
            </w:r>
            <m:oMath>
              <m:r>
                <w:rPr>
                  <w:rFonts w:ascii="Cambria Math" w:hAnsi="Cambria Math" w:cs="Arial"/>
                  <w:sz w:val="20"/>
                  <w:szCs w:val="20"/>
                </w:rPr>
                <m:t>i=rainfed</m:t>
              </m:r>
            </m:oMath>
            <w:r>
              <w:rPr>
                <w:rFonts w:ascii="Arial" w:hAnsi="Arial" w:cs="Arial"/>
              </w:rPr>
              <w:t>)</w:t>
            </w:r>
          </w:p>
        </w:tc>
      </w:tr>
      <w:tr w:rsidR="008B4807" w14:paraId="6DB8DE0D" w14:textId="77777777" w:rsidTr="008B4807">
        <w:trPr>
          <w:trHeight w:val="1296"/>
          <w:jc w:val="center"/>
        </w:trPr>
        <w:tc>
          <w:tcPr>
            <w:tcW w:w="1998" w:type="dxa"/>
            <w:tcBorders>
              <w:top w:val="single" w:sz="4" w:space="0" w:color="auto"/>
              <w:left w:val="nil"/>
              <w:bottom w:val="dashed" w:sz="4" w:space="0" w:color="auto"/>
              <w:right w:val="nil"/>
            </w:tcBorders>
            <w:vAlign w:val="center"/>
            <w:hideMark/>
          </w:tcPr>
          <w:p w14:paraId="3D5C16DE" w14:textId="77777777" w:rsidR="008B4807" w:rsidRDefault="008B4807">
            <w:pPr>
              <w:rPr>
                <w:rFonts w:ascii="Arial" w:hAnsi="Arial" w:cs="Arial"/>
              </w:rPr>
            </w:pPr>
            <w:r>
              <w:rPr>
                <w:rFonts w:ascii="Arial" w:hAnsi="Arial" w:cs="Arial"/>
              </w:rPr>
              <w:t xml:space="preserve">High-input and capital-intensive </w:t>
            </w:r>
          </w:p>
          <w:p w14:paraId="10E615D2" w14:textId="77777777" w:rsidR="008B4807" w:rsidRDefault="008B4807">
            <w:pPr>
              <w:rPr>
                <w:rFonts w:ascii="Arial" w:hAnsi="Arial" w:cs="Arial"/>
              </w:rPr>
            </w:pPr>
            <w:r>
              <w:rPr>
                <w:rFonts w:ascii="Arial" w:hAnsi="Arial" w:cs="Arial"/>
              </w:rPr>
              <w:t>(</w:t>
            </w:r>
            <m:oMath>
              <m:r>
                <w:rPr>
                  <w:rFonts w:ascii="Cambria Math" w:hAnsi="Cambria Math" w:cs="Arial"/>
                  <w:sz w:val="20"/>
                  <w:szCs w:val="20"/>
                </w:rPr>
                <m:t>m=high</m:t>
              </m:r>
            </m:oMath>
            <w:r>
              <w:rPr>
                <w:rFonts w:ascii="Arial" w:hAnsi="Arial" w:cs="Arial"/>
              </w:rPr>
              <w:t>)</w:t>
            </w:r>
          </w:p>
        </w:tc>
        <w:tc>
          <w:tcPr>
            <w:tcW w:w="4477" w:type="dxa"/>
            <w:tcBorders>
              <w:top w:val="single" w:sz="4" w:space="0" w:color="auto"/>
              <w:left w:val="nil"/>
              <w:bottom w:val="dashed" w:sz="4" w:space="0" w:color="auto"/>
              <w:right w:val="nil"/>
            </w:tcBorders>
            <w:vAlign w:val="center"/>
            <w:hideMark/>
          </w:tcPr>
          <w:p w14:paraId="65DFE497" w14:textId="77777777" w:rsidR="008B4807" w:rsidRDefault="00000000">
            <w:pPr>
              <w:spacing w:line="360" w:lineRule="auto"/>
              <w:rPr>
                <w:rFonts w:ascii="Arial" w:eastAsiaTheme="minorEastAsia" w:hAnsi="Arial" w:cs="Arial"/>
                <w:sz w:val="20"/>
                <w:szCs w:val="20"/>
              </w:rPr>
            </w:pPr>
            <m:oMathPara>
              <m:oMath>
                <m:sSubSup>
                  <m:sSubSupPr>
                    <m:ctrlPr>
                      <w:rPr>
                        <w:rFonts w:ascii="Cambria Math" w:hAnsi="Cambria Math" w:cs="Arial"/>
                        <w:i/>
                        <w14:ligatures w14:val="standardContextual"/>
                      </w:rPr>
                    </m:ctrlPr>
                  </m:sSubSupPr>
                  <m:e>
                    <m:r>
                      <w:rPr>
                        <w:rFonts w:ascii="Cambria Math" w:hAnsi="Cambria Math" w:cs="Arial"/>
                        <w:sz w:val="20"/>
                        <w:szCs w:val="20"/>
                      </w:rPr>
                      <m:t>h</m:t>
                    </m:r>
                  </m:e>
                  <m:sub>
                    <m:r>
                      <w:rPr>
                        <w:rFonts w:ascii="Cambria Math" w:hAnsi="Cambria Math" w:cs="Arial"/>
                        <w:sz w:val="20"/>
                        <w:szCs w:val="20"/>
                      </w:rPr>
                      <m:t>i,m</m:t>
                    </m:r>
                  </m:sub>
                  <m:sup>
                    <m:r>
                      <w:rPr>
                        <w:rFonts w:ascii="Cambria Math" w:hAnsi="Cambria Math" w:cs="Arial"/>
                        <w:sz w:val="20"/>
                        <w:szCs w:val="20"/>
                      </w:rPr>
                      <m:t>L</m:t>
                    </m:r>
                  </m:sup>
                </m:sSubSup>
                <m:r>
                  <w:rPr>
                    <w:rFonts w:ascii="Cambria Math" w:hAnsi="Cambria Math" w:cs="Arial"/>
                    <w:sz w:val="20"/>
                    <w:szCs w:val="20"/>
                  </w:rPr>
                  <m:t>=</m:t>
                </m:r>
                <m:sSup>
                  <m:sSupPr>
                    <m:ctrlPr>
                      <w:rPr>
                        <w:rFonts w:ascii="Cambria Math" w:hAnsi="Cambria Math" w:cs="Arial"/>
                        <w:i/>
                        <w14:ligatures w14:val="standardContextual"/>
                      </w:rPr>
                    </m:ctrlPr>
                  </m:sSupPr>
                  <m:e>
                    <m:r>
                      <w:rPr>
                        <w:rFonts w:ascii="Cambria Math" w:hAnsi="Cambria Math" w:cs="Arial"/>
                        <w:sz w:val="20"/>
                        <w:szCs w:val="20"/>
                      </w:rPr>
                      <m:t>h</m:t>
                    </m:r>
                  </m:e>
                  <m:sup>
                    <m:r>
                      <w:rPr>
                        <w:rFonts w:ascii="Cambria Math" w:hAnsi="Cambria Math" w:cs="Arial"/>
                        <w:sz w:val="20"/>
                        <w:szCs w:val="20"/>
                      </w:rPr>
                      <m:t>L</m:t>
                    </m:r>
                  </m:sup>
                </m:sSup>
                <m:r>
                  <w:rPr>
                    <w:rFonts w:ascii="Cambria Math" w:hAnsi="Cambria Math" w:cs="Arial"/>
                    <w:sz w:val="20"/>
                    <w:szCs w:val="20"/>
                  </w:rPr>
                  <m:t>-</m:t>
                </m:r>
                <m:sSub>
                  <m:sSubPr>
                    <m:ctrlPr>
                      <w:rPr>
                        <w:rFonts w:ascii="Cambria Math" w:hAnsi="Cambria Math" w:cs="Arial"/>
                        <w:i/>
                        <w14:ligatures w14:val="standardContextual"/>
                      </w:rPr>
                    </m:ctrlPr>
                  </m:sSubPr>
                  <m:e>
                    <m:r>
                      <w:rPr>
                        <w:rFonts w:ascii="Cambria Math" w:hAnsi="Cambria Math" w:cs="Arial"/>
                        <w:sz w:val="20"/>
                        <w:szCs w:val="20"/>
                      </w:rPr>
                      <m:t>θ</m:t>
                    </m:r>
                  </m:e>
                  <m:sub>
                    <m:r>
                      <w:rPr>
                        <w:rFonts w:ascii="Cambria Math" w:hAnsi="Cambria Math" w:cs="Arial"/>
                        <w:sz w:val="20"/>
                        <w:szCs w:val="20"/>
                      </w:rPr>
                      <m:t>1</m:t>
                    </m:r>
                  </m:sub>
                </m:sSub>
                <m:sSup>
                  <m:sSupPr>
                    <m:ctrlPr>
                      <w:rPr>
                        <w:rFonts w:ascii="Cambria Math" w:hAnsi="Cambria Math" w:cs="Arial"/>
                        <w:i/>
                        <w14:ligatures w14:val="standardContextual"/>
                      </w:rPr>
                    </m:ctrlPr>
                  </m:sSupPr>
                  <m:e>
                    <m:r>
                      <w:rPr>
                        <w:rFonts w:ascii="Cambria Math" w:hAnsi="Cambria Math" w:cs="Arial"/>
                        <w:sz w:val="20"/>
                        <w:szCs w:val="20"/>
                      </w:rPr>
                      <m:t>h</m:t>
                    </m:r>
                  </m:e>
                  <m:sup>
                    <m:r>
                      <w:rPr>
                        <w:rFonts w:ascii="Cambria Math" w:hAnsi="Cambria Math" w:cs="Arial"/>
                        <w:sz w:val="20"/>
                        <w:szCs w:val="20"/>
                      </w:rPr>
                      <m:t>K</m:t>
                    </m:r>
                  </m:sup>
                </m:sSup>
              </m:oMath>
            </m:oMathPara>
          </w:p>
          <w:p w14:paraId="595163C0" w14:textId="77777777" w:rsidR="008B4807" w:rsidRDefault="00000000">
            <w:pPr>
              <w:spacing w:line="360" w:lineRule="auto"/>
              <w:rPr>
                <w:rFonts w:ascii="Arial" w:hAnsi="Arial" w:cs="Arial"/>
                <w:sz w:val="20"/>
                <w:szCs w:val="20"/>
              </w:rPr>
            </w:pPr>
            <m:oMathPara>
              <m:oMath>
                <m:sSubSup>
                  <m:sSubSupPr>
                    <m:ctrlPr>
                      <w:rPr>
                        <w:rFonts w:ascii="Cambria Math" w:hAnsi="Cambria Math" w:cs="Arial"/>
                        <w:i/>
                        <w14:ligatures w14:val="standardContextual"/>
                      </w:rPr>
                    </m:ctrlPr>
                  </m:sSubSupPr>
                  <m:e>
                    <m:r>
                      <w:rPr>
                        <w:rFonts w:ascii="Cambria Math" w:hAnsi="Cambria Math" w:cs="Arial"/>
                        <w:sz w:val="20"/>
                        <w:szCs w:val="20"/>
                      </w:rPr>
                      <m:t>h</m:t>
                    </m:r>
                  </m:e>
                  <m:sub>
                    <m:r>
                      <w:rPr>
                        <w:rFonts w:ascii="Cambria Math" w:hAnsi="Cambria Math" w:cs="Arial"/>
                        <w:sz w:val="20"/>
                        <w:szCs w:val="20"/>
                      </w:rPr>
                      <m:t>i,m</m:t>
                    </m:r>
                  </m:sub>
                  <m:sup>
                    <m:r>
                      <w:rPr>
                        <w:rFonts w:ascii="Cambria Math" w:hAnsi="Cambria Math" w:cs="Arial"/>
                        <w:sz w:val="20"/>
                        <w:szCs w:val="20"/>
                      </w:rPr>
                      <m:t>K</m:t>
                    </m:r>
                  </m:sup>
                </m:sSubSup>
                <m:r>
                  <w:rPr>
                    <w:rFonts w:ascii="Cambria Math" w:hAnsi="Cambria Math" w:cs="Arial"/>
                    <w:sz w:val="20"/>
                    <w:szCs w:val="20"/>
                  </w:rPr>
                  <m:t>=</m:t>
                </m:r>
                <m:sSup>
                  <m:sSupPr>
                    <m:ctrlPr>
                      <w:rPr>
                        <w:rFonts w:ascii="Cambria Math" w:hAnsi="Cambria Math" w:cs="Arial"/>
                        <w:i/>
                        <w14:ligatures w14:val="standardContextual"/>
                      </w:rPr>
                    </m:ctrlPr>
                  </m:sSupPr>
                  <m:e>
                    <m:r>
                      <w:rPr>
                        <w:rFonts w:ascii="Cambria Math" w:hAnsi="Cambria Math" w:cs="Arial"/>
                        <w:sz w:val="20"/>
                        <w:szCs w:val="20"/>
                      </w:rPr>
                      <m:t>h</m:t>
                    </m:r>
                  </m:e>
                  <m:sup>
                    <m:r>
                      <w:rPr>
                        <w:rFonts w:ascii="Cambria Math" w:hAnsi="Cambria Math" w:cs="Arial"/>
                        <w:sz w:val="20"/>
                        <w:szCs w:val="20"/>
                      </w:rPr>
                      <m:t>K</m:t>
                    </m:r>
                  </m:sup>
                </m:sSup>
                <m:r>
                  <w:rPr>
                    <w:rFonts w:ascii="Cambria Math" w:hAnsi="Cambria Math" w:cs="Arial"/>
                    <w:sz w:val="20"/>
                    <w:szCs w:val="20"/>
                  </w:rPr>
                  <m:t>+</m:t>
                </m:r>
                <m:sSub>
                  <m:sSubPr>
                    <m:ctrlPr>
                      <w:rPr>
                        <w:rFonts w:ascii="Cambria Math" w:hAnsi="Cambria Math" w:cs="Arial"/>
                        <w:i/>
                        <w14:ligatures w14:val="standardContextual"/>
                      </w:rPr>
                    </m:ctrlPr>
                  </m:sSubPr>
                  <m:e>
                    <m:r>
                      <w:rPr>
                        <w:rFonts w:ascii="Cambria Math" w:hAnsi="Cambria Math" w:cs="Arial"/>
                        <w:sz w:val="20"/>
                        <w:szCs w:val="20"/>
                      </w:rPr>
                      <m:t>θ</m:t>
                    </m:r>
                  </m:e>
                  <m:sub>
                    <m:r>
                      <w:rPr>
                        <w:rFonts w:ascii="Cambria Math" w:hAnsi="Cambria Math" w:cs="Arial"/>
                        <w:sz w:val="20"/>
                        <w:szCs w:val="20"/>
                      </w:rPr>
                      <m:t>1</m:t>
                    </m:r>
                  </m:sub>
                </m:sSub>
                <m:sSup>
                  <m:sSupPr>
                    <m:ctrlPr>
                      <w:rPr>
                        <w:rFonts w:ascii="Cambria Math" w:hAnsi="Cambria Math" w:cs="Arial"/>
                        <w:i/>
                        <w14:ligatures w14:val="standardContextual"/>
                      </w:rPr>
                    </m:ctrlPr>
                  </m:sSupPr>
                  <m:e>
                    <m:r>
                      <w:rPr>
                        <w:rFonts w:ascii="Cambria Math" w:hAnsi="Cambria Math" w:cs="Arial"/>
                        <w:sz w:val="20"/>
                        <w:szCs w:val="20"/>
                      </w:rPr>
                      <m:t>h</m:t>
                    </m:r>
                  </m:e>
                  <m:sup>
                    <m:r>
                      <w:rPr>
                        <w:rFonts w:ascii="Cambria Math" w:hAnsi="Cambria Math" w:cs="Arial"/>
                        <w:sz w:val="20"/>
                        <w:szCs w:val="20"/>
                      </w:rPr>
                      <m:t>K</m:t>
                    </m:r>
                  </m:sup>
                </m:sSup>
              </m:oMath>
            </m:oMathPara>
          </w:p>
        </w:tc>
        <w:tc>
          <w:tcPr>
            <w:tcW w:w="4541" w:type="dxa"/>
            <w:tcBorders>
              <w:top w:val="single" w:sz="4" w:space="0" w:color="auto"/>
              <w:left w:val="nil"/>
              <w:bottom w:val="dashed" w:sz="4" w:space="0" w:color="auto"/>
              <w:right w:val="nil"/>
            </w:tcBorders>
            <w:vAlign w:val="center"/>
            <w:hideMark/>
          </w:tcPr>
          <w:p w14:paraId="226C8FFF" w14:textId="77777777" w:rsidR="008B4807" w:rsidRDefault="00000000">
            <w:pPr>
              <w:spacing w:line="360" w:lineRule="auto"/>
              <w:rPr>
                <w:rFonts w:ascii="Arial" w:hAnsi="Arial" w:cs="Arial"/>
                <w:sz w:val="20"/>
                <w:szCs w:val="20"/>
              </w:rPr>
            </w:pPr>
            <m:oMathPara>
              <m:oMath>
                <m:sSubSup>
                  <m:sSubSupPr>
                    <m:ctrlPr>
                      <w:rPr>
                        <w:rFonts w:ascii="Cambria Math" w:hAnsi="Cambria Math" w:cs="Arial"/>
                        <w:i/>
                        <w14:ligatures w14:val="standardContextual"/>
                      </w:rPr>
                    </m:ctrlPr>
                  </m:sSubSupPr>
                  <m:e>
                    <m:r>
                      <w:rPr>
                        <w:rFonts w:ascii="Cambria Math" w:hAnsi="Cambria Math" w:cs="Arial"/>
                        <w:sz w:val="20"/>
                        <w:szCs w:val="20"/>
                      </w:rPr>
                      <m:t>h</m:t>
                    </m:r>
                  </m:e>
                  <m:sub>
                    <m:r>
                      <w:rPr>
                        <w:rFonts w:ascii="Cambria Math" w:hAnsi="Cambria Math" w:cs="Arial"/>
                        <w:sz w:val="20"/>
                        <w:szCs w:val="20"/>
                      </w:rPr>
                      <m:t>i,m</m:t>
                    </m:r>
                  </m:sub>
                  <m:sup>
                    <m:r>
                      <w:rPr>
                        <w:rFonts w:ascii="Cambria Math" w:hAnsi="Cambria Math" w:cs="Arial"/>
                        <w:sz w:val="20"/>
                        <w:szCs w:val="20"/>
                      </w:rPr>
                      <m:t>L</m:t>
                    </m:r>
                  </m:sup>
                </m:sSubSup>
                <m:r>
                  <w:rPr>
                    <w:rFonts w:ascii="Cambria Math" w:hAnsi="Cambria Math" w:cs="Arial"/>
                    <w:sz w:val="20"/>
                    <w:szCs w:val="20"/>
                  </w:rPr>
                  <m:t>=</m:t>
                </m:r>
                <m:sSup>
                  <m:sSupPr>
                    <m:ctrlPr>
                      <w:rPr>
                        <w:rFonts w:ascii="Cambria Math" w:hAnsi="Cambria Math" w:cs="Arial"/>
                        <w:i/>
                        <w14:ligatures w14:val="standardContextual"/>
                      </w:rPr>
                    </m:ctrlPr>
                  </m:sSupPr>
                  <m:e>
                    <m:r>
                      <w:rPr>
                        <w:rFonts w:ascii="Cambria Math" w:hAnsi="Cambria Math" w:cs="Arial"/>
                        <w:sz w:val="20"/>
                        <w:szCs w:val="20"/>
                      </w:rPr>
                      <m:t>h</m:t>
                    </m:r>
                  </m:e>
                  <m:sup>
                    <m:r>
                      <w:rPr>
                        <w:rFonts w:ascii="Cambria Math" w:hAnsi="Cambria Math" w:cs="Arial"/>
                        <w:sz w:val="20"/>
                        <w:szCs w:val="20"/>
                      </w:rPr>
                      <m:t>L</m:t>
                    </m:r>
                  </m:sup>
                </m:sSup>
                <m:r>
                  <w:rPr>
                    <w:rFonts w:ascii="Cambria Math" w:hAnsi="Cambria Math" w:cs="Arial"/>
                    <w:sz w:val="20"/>
                    <w:szCs w:val="20"/>
                  </w:rPr>
                  <m:t>-</m:t>
                </m:r>
                <m:sSub>
                  <m:sSubPr>
                    <m:ctrlPr>
                      <w:rPr>
                        <w:rFonts w:ascii="Cambria Math" w:hAnsi="Cambria Math" w:cs="Arial"/>
                        <w:i/>
                        <w14:ligatures w14:val="standardContextual"/>
                      </w:rPr>
                    </m:ctrlPr>
                  </m:sSubPr>
                  <m:e>
                    <m:r>
                      <w:rPr>
                        <w:rFonts w:ascii="Cambria Math" w:hAnsi="Cambria Math" w:cs="Arial"/>
                        <w:sz w:val="20"/>
                        <w:szCs w:val="20"/>
                      </w:rPr>
                      <m:t>θ</m:t>
                    </m:r>
                  </m:e>
                  <m:sub>
                    <m:r>
                      <w:rPr>
                        <w:rFonts w:ascii="Cambria Math" w:hAnsi="Cambria Math" w:cs="Arial"/>
                        <w:sz w:val="20"/>
                        <w:szCs w:val="20"/>
                      </w:rPr>
                      <m:t>2</m:t>
                    </m:r>
                  </m:sub>
                </m:sSub>
                <m:sSup>
                  <m:sSupPr>
                    <m:ctrlPr>
                      <w:rPr>
                        <w:rFonts w:ascii="Cambria Math" w:hAnsi="Cambria Math" w:cs="Arial"/>
                        <w:i/>
                        <w14:ligatures w14:val="standardContextual"/>
                      </w:rPr>
                    </m:ctrlPr>
                  </m:sSupPr>
                  <m:e>
                    <m:r>
                      <w:rPr>
                        <w:rFonts w:ascii="Cambria Math" w:hAnsi="Cambria Math" w:cs="Arial"/>
                        <w:sz w:val="20"/>
                        <w:szCs w:val="20"/>
                      </w:rPr>
                      <m:t>h</m:t>
                    </m:r>
                  </m:e>
                  <m:sup>
                    <m:r>
                      <w:rPr>
                        <w:rFonts w:ascii="Cambria Math" w:hAnsi="Cambria Math" w:cs="Arial"/>
                        <w:sz w:val="20"/>
                        <w:szCs w:val="20"/>
                      </w:rPr>
                      <m:t>K</m:t>
                    </m:r>
                  </m:sup>
                </m:sSup>
              </m:oMath>
            </m:oMathPara>
          </w:p>
          <w:p w14:paraId="39DCFBE9" w14:textId="77777777" w:rsidR="008B4807" w:rsidRDefault="00000000">
            <w:pPr>
              <w:spacing w:line="360" w:lineRule="auto"/>
              <w:rPr>
                <w:rFonts w:ascii="Arial" w:hAnsi="Arial" w:cs="Arial"/>
                <w:sz w:val="20"/>
                <w:szCs w:val="20"/>
              </w:rPr>
            </w:pPr>
            <m:oMathPara>
              <m:oMath>
                <m:sSubSup>
                  <m:sSubSupPr>
                    <m:ctrlPr>
                      <w:rPr>
                        <w:rFonts w:ascii="Cambria Math" w:hAnsi="Cambria Math" w:cs="Arial"/>
                        <w:i/>
                        <w14:ligatures w14:val="standardContextual"/>
                      </w:rPr>
                    </m:ctrlPr>
                  </m:sSubSupPr>
                  <m:e>
                    <m:r>
                      <w:rPr>
                        <w:rFonts w:ascii="Cambria Math" w:hAnsi="Cambria Math" w:cs="Arial"/>
                        <w:sz w:val="20"/>
                        <w:szCs w:val="20"/>
                      </w:rPr>
                      <m:t>h</m:t>
                    </m:r>
                  </m:e>
                  <m:sub>
                    <m:r>
                      <w:rPr>
                        <w:rFonts w:ascii="Cambria Math" w:hAnsi="Cambria Math" w:cs="Arial"/>
                        <w:sz w:val="20"/>
                        <w:szCs w:val="20"/>
                      </w:rPr>
                      <m:t>i,m</m:t>
                    </m:r>
                  </m:sub>
                  <m:sup>
                    <m:r>
                      <w:rPr>
                        <w:rFonts w:ascii="Cambria Math" w:hAnsi="Cambria Math" w:cs="Arial"/>
                        <w:sz w:val="20"/>
                        <w:szCs w:val="20"/>
                      </w:rPr>
                      <m:t>K</m:t>
                    </m:r>
                  </m:sup>
                </m:sSubSup>
                <m:r>
                  <w:rPr>
                    <w:rFonts w:ascii="Cambria Math" w:hAnsi="Cambria Math" w:cs="Arial"/>
                    <w:sz w:val="20"/>
                    <w:szCs w:val="20"/>
                  </w:rPr>
                  <m:t>=</m:t>
                </m:r>
                <m:sSup>
                  <m:sSupPr>
                    <m:ctrlPr>
                      <w:rPr>
                        <w:rFonts w:ascii="Cambria Math" w:hAnsi="Cambria Math" w:cs="Arial"/>
                        <w:i/>
                        <w14:ligatures w14:val="standardContextual"/>
                      </w:rPr>
                    </m:ctrlPr>
                  </m:sSupPr>
                  <m:e>
                    <m:r>
                      <w:rPr>
                        <w:rFonts w:ascii="Cambria Math" w:hAnsi="Cambria Math" w:cs="Arial"/>
                        <w:sz w:val="20"/>
                        <w:szCs w:val="20"/>
                      </w:rPr>
                      <m:t>h</m:t>
                    </m:r>
                  </m:e>
                  <m:sup>
                    <m:r>
                      <w:rPr>
                        <w:rFonts w:ascii="Cambria Math" w:hAnsi="Cambria Math" w:cs="Arial"/>
                        <w:sz w:val="20"/>
                        <w:szCs w:val="20"/>
                      </w:rPr>
                      <m:t>K</m:t>
                    </m:r>
                  </m:sup>
                </m:sSup>
                <m:r>
                  <w:rPr>
                    <w:rFonts w:ascii="Cambria Math" w:hAnsi="Cambria Math" w:cs="Arial"/>
                    <w:sz w:val="20"/>
                    <w:szCs w:val="20"/>
                  </w:rPr>
                  <m:t>+</m:t>
                </m:r>
                <m:sSub>
                  <m:sSubPr>
                    <m:ctrlPr>
                      <w:rPr>
                        <w:rFonts w:ascii="Cambria Math" w:hAnsi="Cambria Math" w:cs="Arial"/>
                        <w:i/>
                        <w14:ligatures w14:val="standardContextual"/>
                      </w:rPr>
                    </m:ctrlPr>
                  </m:sSubPr>
                  <m:e>
                    <m:r>
                      <w:rPr>
                        <w:rFonts w:ascii="Cambria Math" w:hAnsi="Cambria Math" w:cs="Arial"/>
                        <w:sz w:val="20"/>
                        <w:szCs w:val="20"/>
                      </w:rPr>
                      <m:t>θ</m:t>
                    </m:r>
                  </m:e>
                  <m:sub>
                    <m:r>
                      <w:rPr>
                        <w:rFonts w:ascii="Cambria Math" w:hAnsi="Cambria Math" w:cs="Arial"/>
                        <w:sz w:val="20"/>
                        <w:szCs w:val="20"/>
                      </w:rPr>
                      <m:t>2</m:t>
                    </m:r>
                  </m:sub>
                </m:sSub>
                <m:sSup>
                  <m:sSupPr>
                    <m:ctrlPr>
                      <w:rPr>
                        <w:rFonts w:ascii="Cambria Math" w:hAnsi="Cambria Math" w:cs="Arial"/>
                        <w:i/>
                        <w14:ligatures w14:val="standardContextual"/>
                      </w:rPr>
                    </m:ctrlPr>
                  </m:sSupPr>
                  <m:e>
                    <m:r>
                      <w:rPr>
                        <w:rFonts w:ascii="Cambria Math" w:hAnsi="Cambria Math" w:cs="Arial"/>
                        <w:sz w:val="20"/>
                        <w:szCs w:val="20"/>
                      </w:rPr>
                      <m:t>h</m:t>
                    </m:r>
                  </m:e>
                  <m:sup>
                    <m:r>
                      <w:rPr>
                        <w:rFonts w:ascii="Cambria Math" w:hAnsi="Cambria Math" w:cs="Arial"/>
                        <w:sz w:val="20"/>
                        <w:szCs w:val="20"/>
                      </w:rPr>
                      <m:t>K</m:t>
                    </m:r>
                  </m:sup>
                </m:sSup>
              </m:oMath>
            </m:oMathPara>
          </w:p>
        </w:tc>
      </w:tr>
      <w:tr w:rsidR="008B4807" w14:paraId="6F1FCB61" w14:textId="77777777" w:rsidTr="008B4807">
        <w:trPr>
          <w:trHeight w:val="1296"/>
          <w:jc w:val="center"/>
        </w:trPr>
        <w:tc>
          <w:tcPr>
            <w:tcW w:w="1998" w:type="dxa"/>
            <w:tcBorders>
              <w:top w:val="dashed" w:sz="4" w:space="0" w:color="auto"/>
              <w:left w:val="nil"/>
              <w:bottom w:val="single" w:sz="4" w:space="0" w:color="auto"/>
              <w:right w:val="nil"/>
            </w:tcBorders>
            <w:vAlign w:val="center"/>
            <w:hideMark/>
          </w:tcPr>
          <w:p w14:paraId="682B92B4" w14:textId="77777777" w:rsidR="008B4807" w:rsidRDefault="008B4807">
            <w:pPr>
              <w:rPr>
                <w:rFonts w:ascii="Arial" w:hAnsi="Arial" w:cs="Arial"/>
              </w:rPr>
            </w:pPr>
            <w:r>
              <w:rPr>
                <w:rFonts w:ascii="Arial" w:hAnsi="Arial" w:cs="Arial"/>
              </w:rPr>
              <w:t>Low-input and</w:t>
            </w:r>
          </w:p>
          <w:p w14:paraId="6AA7F880" w14:textId="77777777" w:rsidR="008B4807" w:rsidRDefault="008B4807">
            <w:pPr>
              <w:rPr>
                <w:rFonts w:ascii="Arial" w:hAnsi="Arial" w:cs="Arial"/>
              </w:rPr>
            </w:pPr>
            <w:r>
              <w:rPr>
                <w:rFonts w:ascii="Arial" w:hAnsi="Arial" w:cs="Arial"/>
              </w:rPr>
              <w:t>labor-intensive</w:t>
            </w:r>
          </w:p>
          <w:p w14:paraId="48F54308" w14:textId="77777777" w:rsidR="008B4807" w:rsidRDefault="008B4807">
            <w:pPr>
              <w:rPr>
                <w:rFonts w:ascii="Arial" w:hAnsi="Arial" w:cs="Arial"/>
              </w:rPr>
            </w:pPr>
            <w:r>
              <w:rPr>
                <w:rFonts w:ascii="Arial" w:hAnsi="Arial" w:cs="Arial"/>
              </w:rPr>
              <w:t>(</w:t>
            </w:r>
            <m:oMath>
              <m:r>
                <w:rPr>
                  <w:rFonts w:ascii="Cambria Math" w:hAnsi="Cambria Math" w:cs="Arial"/>
                  <w:sz w:val="20"/>
                  <w:szCs w:val="20"/>
                </w:rPr>
                <m:t>m=low</m:t>
              </m:r>
            </m:oMath>
            <w:r>
              <w:rPr>
                <w:rFonts w:ascii="Arial" w:hAnsi="Arial" w:cs="Arial"/>
              </w:rPr>
              <w:t>)</w:t>
            </w:r>
          </w:p>
        </w:tc>
        <w:tc>
          <w:tcPr>
            <w:tcW w:w="4477" w:type="dxa"/>
            <w:tcBorders>
              <w:top w:val="dashed" w:sz="4" w:space="0" w:color="auto"/>
              <w:left w:val="nil"/>
              <w:bottom w:val="single" w:sz="4" w:space="0" w:color="auto"/>
              <w:right w:val="nil"/>
            </w:tcBorders>
            <w:vAlign w:val="center"/>
            <w:hideMark/>
          </w:tcPr>
          <w:p w14:paraId="04195F67" w14:textId="77777777" w:rsidR="008B4807" w:rsidRDefault="00000000">
            <w:pPr>
              <w:spacing w:line="360" w:lineRule="auto"/>
              <w:rPr>
                <w:rFonts w:ascii="Arial" w:eastAsiaTheme="minorEastAsia" w:hAnsi="Arial" w:cs="Arial"/>
                <w:sz w:val="20"/>
                <w:szCs w:val="20"/>
              </w:rPr>
            </w:pPr>
            <m:oMathPara>
              <m:oMath>
                <m:sSubSup>
                  <m:sSubSupPr>
                    <m:ctrlPr>
                      <w:rPr>
                        <w:rFonts w:ascii="Cambria Math" w:hAnsi="Cambria Math" w:cs="Arial"/>
                        <w:i/>
                        <w14:ligatures w14:val="standardContextual"/>
                      </w:rPr>
                    </m:ctrlPr>
                  </m:sSubSupPr>
                  <m:e>
                    <m:r>
                      <w:rPr>
                        <w:rFonts w:ascii="Cambria Math" w:hAnsi="Cambria Math" w:cs="Arial"/>
                        <w:sz w:val="20"/>
                        <w:szCs w:val="20"/>
                      </w:rPr>
                      <m:t>h</m:t>
                    </m:r>
                  </m:e>
                  <m:sub>
                    <m:r>
                      <w:rPr>
                        <w:rFonts w:ascii="Cambria Math" w:hAnsi="Cambria Math" w:cs="Arial"/>
                        <w:sz w:val="20"/>
                        <w:szCs w:val="20"/>
                      </w:rPr>
                      <m:t>i,m</m:t>
                    </m:r>
                  </m:sub>
                  <m:sup>
                    <m:r>
                      <w:rPr>
                        <w:rFonts w:ascii="Cambria Math" w:hAnsi="Cambria Math" w:cs="Arial"/>
                        <w:sz w:val="20"/>
                        <w:szCs w:val="20"/>
                      </w:rPr>
                      <m:t>L</m:t>
                    </m:r>
                  </m:sup>
                </m:sSubSup>
                <m:r>
                  <w:rPr>
                    <w:rFonts w:ascii="Cambria Math" w:hAnsi="Cambria Math" w:cs="Arial"/>
                    <w:sz w:val="20"/>
                    <w:szCs w:val="20"/>
                  </w:rPr>
                  <m:t>=</m:t>
                </m:r>
                <m:sSup>
                  <m:sSupPr>
                    <m:ctrlPr>
                      <w:rPr>
                        <w:rFonts w:ascii="Cambria Math" w:hAnsi="Cambria Math" w:cs="Arial"/>
                        <w:i/>
                        <w14:ligatures w14:val="standardContextual"/>
                      </w:rPr>
                    </m:ctrlPr>
                  </m:sSupPr>
                  <m:e>
                    <m:r>
                      <w:rPr>
                        <w:rFonts w:ascii="Cambria Math" w:hAnsi="Cambria Math" w:cs="Arial"/>
                        <w:sz w:val="20"/>
                        <w:szCs w:val="20"/>
                      </w:rPr>
                      <m:t>h</m:t>
                    </m:r>
                  </m:e>
                  <m:sup>
                    <m:r>
                      <w:rPr>
                        <w:rFonts w:ascii="Cambria Math" w:hAnsi="Cambria Math" w:cs="Arial"/>
                        <w:sz w:val="20"/>
                        <w:szCs w:val="20"/>
                      </w:rPr>
                      <m:t>L</m:t>
                    </m:r>
                  </m:sup>
                </m:sSup>
                <m:r>
                  <w:rPr>
                    <w:rFonts w:ascii="Cambria Math" w:hAnsi="Cambria Math" w:cs="Arial"/>
                    <w:sz w:val="20"/>
                    <w:szCs w:val="20"/>
                  </w:rPr>
                  <m:t>+</m:t>
                </m:r>
                <m:f>
                  <m:fPr>
                    <m:ctrlPr>
                      <w:rPr>
                        <w:rFonts w:ascii="Cambria Math" w:hAnsi="Cambria Math" w:cs="Arial"/>
                        <w:i/>
                        <w14:ligatures w14:val="standardContextual"/>
                      </w:rPr>
                    </m:ctrlPr>
                  </m:fPr>
                  <m:num>
                    <m:nary>
                      <m:naryPr>
                        <m:chr m:val="∑"/>
                        <m:limLoc m:val="subSup"/>
                        <m:supHide m:val="1"/>
                        <m:ctrlPr>
                          <w:rPr>
                            <w:rFonts w:ascii="Cambria Math" w:hAnsi="Cambria Math" w:cs="Arial"/>
                            <w:i/>
                            <w14:ligatures w14:val="standardContextual"/>
                          </w:rPr>
                        </m:ctrlPr>
                      </m:naryPr>
                      <m:sub>
                        <m:r>
                          <w:rPr>
                            <w:rFonts w:ascii="Cambria Math" w:hAnsi="Cambria Math" w:cs="Arial"/>
                            <w:sz w:val="20"/>
                            <w:szCs w:val="20"/>
                          </w:rPr>
                          <m:t>i</m:t>
                        </m:r>
                      </m:sub>
                      <m:sup/>
                      <m:e>
                        <m:sSub>
                          <m:sSubPr>
                            <m:ctrlPr>
                              <w:rPr>
                                <w:rFonts w:ascii="Cambria Math" w:hAnsi="Cambria Math" w:cs="Arial"/>
                                <w:i/>
                                <w14:ligatures w14:val="standardContextual"/>
                              </w:rPr>
                            </m:ctrlPr>
                          </m:sSubPr>
                          <m:e>
                            <m:r>
                              <w:rPr>
                                <w:rFonts w:ascii="Cambria Math" w:hAnsi="Cambria Math" w:cs="Arial"/>
                                <w:sz w:val="20"/>
                                <w:szCs w:val="20"/>
                              </w:rPr>
                              <m:t>Q</m:t>
                            </m:r>
                          </m:e>
                          <m:sub>
                            <m:r>
                              <w:rPr>
                                <w:rFonts w:ascii="Cambria Math" w:hAnsi="Cambria Math" w:cs="Arial"/>
                                <w:sz w:val="20"/>
                                <w:szCs w:val="20"/>
                              </w:rPr>
                              <m:t>i,m=high</m:t>
                            </m:r>
                          </m:sub>
                        </m:sSub>
                      </m:e>
                    </m:nary>
                  </m:num>
                  <m:den>
                    <m:nary>
                      <m:naryPr>
                        <m:chr m:val="∑"/>
                        <m:limLoc m:val="subSup"/>
                        <m:supHide m:val="1"/>
                        <m:ctrlPr>
                          <w:rPr>
                            <w:rFonts w:ascii="Cambria Math" w:hAnsi="Cambria Math" w:cs="Arial"/>
                            <w:i/>
                            <w14:ligatures w14:val="standardContextual"/>
                          </w:rPr>
                        </m:ctrlPr>
                      </m:naryPr>
                      <m:sub>
                        <m:r>
                          <w:rPr>
                            <w:rFonts w:ascii="Cambria Math" w:hAnsi="Cambria Math" w:cs="Arial"/>
                            <w:sz w:val="20"/>
                            <w:szCs w:val="20"/>
                          </w:rPr>
                          <m:t>i</m:t>
                        </m:r>
                      </m:sub>
                      <m:sup/>
                      <m:e>
                        <m:sSub>
                          <m:sSubPr>
                            <m:ctrlPr>
                              <w:rPr>
                                <w:rFonts w:ascii="Cambria Math" w:hAnsi="Cambria Math" w:cs="Arial"/>
                                <w:i/>
                                <w14:ligatures w14:val="standardContextual"/>
                              </w:rPr>
                            </m:ctrlPr>
                          </m:sSubPr>
                          <m:e>
                            <m:r>
                              <w:rPr>
                                <w:rFonts w:ascii="Cambria Math" w:hAnsi="Cambria Math" w:cs="Arial"/>
                                <w:sz w:val="20"/>
                                <w:szCs w:val="20"/>
                              </w:rPr>
                              <m:t>Q</m:t>
                            </m:r>
                          </m:e>
                          <m:sub>
                            <m:r>
                              <w:rPr>
                                <w:rFonts w:ascii="Cambria Math" w:hAnsi="Cambria Math" w:cs="Arial"/>
                                <w:sz w:val="20"/>
                                <w:szCs w:val="20"/>
                              </w:rPr>
                              <m:t>i,m=low</m:t>
                            </m:r>
                          </m:sub>
                        </m:sSub>
                      </m:e>
                    </m:nary>
                  </m:den>
                </m:f>
                <m:sSub>
                  <m:sSubPr>
                    <m:ctrlPr>
                      <w:rPr>
                        <w:rFonts w:ascii="Cambria Math" w:hAnsi="Cambria Math" w:cs="Arial"/>
                        <w:i/>
                        <w14:ligatures w14:val="standardContextual"/>
                      </w:rPr>
                    </m:ctrlPr>
                  </m:sSubPr>
                  <m:e>
                    <m:r>
                      <w:rPr>
                        <w:rFonts w:ascii="Cambria Math" w:hAnsi="Cambria Math" w:cs="Arial"/>
                        <w:sz w:val="20"/>
                        <w:szCs w:val="20"/>
                      </w:rPr>
                      <m:t>θ</m:t>
                    </m:r>
                  </m:e>
                  <m:sub>
                    <m:r>
                      <w:rPr>
                        <w:rFonts w:ascii="Cambria Math" w:hAnsi="Cambria Math" w:cs="Arial"/>
                        <w:sz w:val="20"/>
                        <w:szCs w:val="20"/>
                      </w:rPr>
                      <m:t>1</m:t>
                    </m:r>
                  </m:sub>
                </m:sSub>
                <m:sSup>
                  <m:sSupPr>
                    <m:ctrlPr>
                      <w:rPr>
                        <w:rFonts w:ascii="Cambria Math" w:hAnsi="Cambria Math" w:cs="Arial"/>
                        <w:i/>
                        <w14:ligatures w14:val="standardContextual"/>
                      </w:rPr>
                    </m:ctrlPr>
                  </m:sSupPr>
                  <m:e>
                    <m:r>
                      <w:rPr>
                        <w:rFonts w:ascii="Cambria Math" w:hAnsi="Cambria Math" w:cs="Arial"/>
                        <w:sz w:val="20"/>
                        <w:szCs w:val="20"/>
                      </w:rPr>
                      <m:t>h</m:t>
                    </m:r>
                  </m:e>
                  <m:sup>
                    <m:r>
                      <w:rPr>
                        <w:rFonts w:ascii="Cambria Math" w:hAnsi="Cambria Math" w:cs="Arial"/>
                        <w:sz w:val="20"/>
                        <w:szCs w:val="20"/>
                      </w:rPr>
                      <m:t>K</m:t>
                    </m:r>
                  </m:sup>
                </m:sSup>
              </m:oMath>
            </m:oMathPara>
          </w:p>
          <w:p w14:paraId="5C6DAF8F" w14:textId="77777777" w:rsidR="008B4807" w:rsidRDefault="00000000">
            <w:pPr>
              <w:spacing w:line="360" w:lineRule="auto"/>
              <w:rPr>
                <w:rFonts w:ascii="Arial" w:hAnsi="Arial" w:cs="Arial"/>
                <w:sz w:val="20"/>
                <w:szCs w:val="20"/>
              </w:rPr>
            </w:pPr>
            <m:oMathPara>
              <m:oMath>
                <m:sSubSup>
                  <m:sSubSupPr>
                    <m:ctrlPr>
                      <w:rPr>
                        <w:rFonts w:ascii="Cambria Math" w:hAnsi="Cambria Math" w:cs="Arial"/>
                        <w:i/>
                        <w14:ligatures w14:val="standardContextual"/>
                      </w:rPr>
                    </m:ctrlPr>
                  </m:sSubSupPr>
                  <m:e>
                    <m:r>
                      <w:rPr>
                        <w:rFonts w:ascii="Cambria Math" w:hAnsi="Cambria Math" w:cs="Arial"/>
                        <w:sz w:val="20"/>
                        <w:szCs w:val="20"/>
                      </w:rPr>
                      <m:t>h</m:t>
                    </m:r>
                  </m:e>
                  <m:sub>
                    <m:r>
                      <w:rPr>
                        <w:rFonts w:ascii="Cambria Math" w:hAnsi="Cambria Math" w:cs="Arial"/>
                        <w:sz w:val="20"/>
                        <w:szCs w:val="20"/>
                      </w:rPr>
                      <m:t>i,m</m:t>
                    </m:r>
                  </m:sub>
                  <m:sup>
                    <m:r>
                      <w:rPr>
                        <w:rFonts w:ascii="Cambria Math" w:hAnsi="Cambria Math" w:cs="Arial"/>
                        <w:sz w:val="20"/>
                        <w:szCs w:val="20"/>
                      </w:rPr>
                      <m:t>K</m:t>
                    </m:r>
                  </m:sup>
                </m:sSubSup>
                <m:r>
                  <w:rPr>
                    <w:rFonts w:ascii="Cambria Math" w:hAnsi="Cambria Math" w:cs="Arial"/>
                    <w:sz w:val="20"/>
                    <w:szCs w:val="20"/>
                  </w:rPr>
                  <m:t>=</m:t>
                </m:r>
                <m:sSup>
                  <m:sSupPr>
                    <m:ctrlPr>
                      <w:rPr>
                        <w:rFonts w:ascii="Cambria Math" w:hAnsi="Cambria Math" w:cs="Arial"/>
                        <w:i/>
                        <w14:ligatures w14:val="standardContextual"/>
                      </w:rPr>
                    </m:ctrlPr>
                  </m:sSupPr>
                  <m:e>
                    <m:r>
                      <w:rPr>
                        <w:rFonts w:ascii="Cambria Math" w:hAnsi="Cambria Math" w:cs="Arial"/>
                        <w:sz w:val="20"/>
                        <w:szCs w:val="20"/>
                      </w:rPr>
                      <m:t>h</m:t>
                    </m:r>
                  </m:e>
                  <m:sup>
                    <m:r>
                      <w:rPr>
                        <w:rFonts w:ascii="Cambria Math" w:hAnsi="Cambria Math" w:cs="Arial"/>
                        <w:sz w:val="20"/>
                        <w:szCs w:val="20"/>
                      </w:rPr>
                      <m:t>K</m:t>
                    </m:r>
                  </m:sup>
                </m:sSup>
                <m:r>
                  <w:rPr>
                    <w:rFonts w:ascii="Cambria Math" w:hAnsi="Cambria Math" w:cs="Arial"/>
                    <w:sz w:val="20"/>
                    <w:szCs w:val="20"/>
                  </w:rPr>
                  <m:t>-</m:t>
                </m:r>
                <m:f>
                  <m:fPr>
                    <m:ctrlPr>
                      <w:rPr>
                        <w:rFonts w:ascii="Cambria Math" w:hAnsi="Cambria Math" w:cs="Arial"/>
                        <w:i/>
                        <w14:ligatures w14:val="standardContextual"/>
                      </w:rPr>
                    </m:ctrlPr>
                  </m:fPr>
                  <m:num>
                    <m:nary>
                      <m:naryPr>
                        <m:chr m:val="∑"/>
                        <m:limLoc m:val="subSup"/>
                        <m:supHide m:val="1"/>
                        <m:ctrlPr>
                          <w:rPr>
                            <w:rFonts w:ascii="Cambria Math" w:hAnsi="Cambria Math" w:cs="Arial"/>
                            <w:i/>
                            <w14:ligatures w14:val="standardContextual"/>
                          </w:rPr>
                        </m:ctrlPr>
                      </m:naryPr>
                      <m:sub>
                        <m:r>
                          <w:rPr>
                            <w:rFonts w:ascii="Cambria Math" w:hAnsi="Cambria Math" w:cs="Arial"/>
                            <w:sz w:val="20"/>
                            <w:szCs w:val="20"/>
                          </w:rPr>
                          <m:t>i</m:t>
                        </m:r>
                      </m:sub>
                      <m:sup/>
                      <m:e>
                        <m:sSub>
                          <m:sSubPr>
                            <m:ctrlPr>
                              <w:rPr>
                                <w:rFonts w:ascii="Cambria Math" w:hAnsi="Cambria Math" w:cs="Arial"/>
                                <w:i/>
                                <w14:ligatures w14:val="standardContextual"/>
                              </w:rPr>
                            </m:ctrlPr>
                          </m:sSubPr>
                          <m:e>
                            <m:r>
                              <w:rPr>
                                <w:rFonts w:ascii="Cambria Math" w:hAnsi="Cambria Math" w:cs="Arial"/>
                                <w:sz w:val="20"/>
                                <w:szCs w:val="20"/>
                              </w:rPr>
                              <m:t>Q</m:t>
                            </m:r>
                          </m:e>
                          <m:sub>
                            <m:r>
                              <w:rPr>
                                <w:rFonts w:ascii="Cambria Math" w:hAnsi="Cambria Math" w:cs="Arial"/>
                                <w:sz w:val="20"/>
                                <w:szCs w:val="20"/>
                              </w:rPr>
                              <m:t>i,m=hi</m:t>
                            </m:r>
                          </m:sub>
                        </m:sSub>
                      </m:e>
                    </m:nary>
                  </m:num>
                  <m:den>
                    <m:nary>
                      <m:naryPr>
                        <m:chr m:val="∑"/>
                        <m:limLoc m:val="subSup"/>
                        <m:supHide m:val="1"/>
                        <m:ctrlPr>
                          <w:rPr>
                            <w:rFonts w:ascii="Cambria Math" w:hAnsi="Cambria Math" w:cs="Arial"/>
                            <w:i/>
                            <w14:ligatures w14:val="standardContextual"/>
                          </w:rPr>
                        </m:ctrlPr>
                      </m:naryPr>
                      <m:sub>
                        <m:r>
                          <w:rPr>
                            <w:rFonts w:ascii="Cambria Math" w:hAnsi="Cambria Math" w:cs="Arial"/>
                            <w:sz w:val="20"/>
                            <w:szCs w:val="20"/>
                          </w:rPr>
                          <m:t>i</m:t>
                        </m:r>
                      </m:sub>
                      <m:sup/>
                      <m:e>
                        <m:sSub>
                          <m:sSubPr>
                            <m:ctrlPr>
                              <w:rPr>
                                <w:rFonts w:ascii="Cambria Math" w:hAnsi="Cambria Math" w:cs="Arial"/>
                                <w:i/>
                                <w14:ligatures w14:val="standardContextual"/>
                              </w:rPr>
                            </m:ctrlPr>
                          </m:sSubPr>
                          <m:e>
                            <m:r>
                              <w:rPr>
                                <w:rFonts w:ascii="Cambria Math" w:hAnsi="Cambria Math" w:cs="Arial"/>
                                <w:sz w:val="20"/>
                                <w:szCs w:val="20"/>
                              </w:rPr>
                              <m:t>Q</m:t>
                            </m:r>
                          </m:e>
                          <m:sub>
                            <m:r>
                              <w:rPr>
                                <w:rFonts w:ascii="Cambria Math" w:hAnsi="Cambria Math" w:cs="Arial"/>
                                <w:sz w:val="20"/>
                                <w:szCs w:val="20"/>
                              </w:rPr>
                              <m:t>i,m=low</m:t>
                            </m:r>
                          </m:sub>
                        </m:sSub>
                      </m:e>
                    </m:nary>
                  </m:den>
                </m:f>
                <m:sSub>
                  <m:sSubPr>
                    <m:ctrlPr>
                      <w:rPr>
                        <w:rFonts w:ascii="Cambria Math" w:hAnsi="Cambria Math" w:cs="Arial"/>
                        <w:i/>
                        <w14:ligatures w14:val="standardContextual"/>
                      </w:rPr>
                    </m:ctrlPr>
                  </m:sSubPr>
                  <m:e>
                    <m:r>
                      <w:rPr>
                        <w:rFonts w:ascii="Cambria Math" w:hAnsi="Cambria Math" w:cs="Arial"/>
                        <w:sz w:val="20"/>
                        <w:szCs w:val="20"/>
                      </w:rPr>
                      <m:t>θ</m:t>
                    </m:r>
                  </m:e>
                  <m:sub>
                    <m:r>
                      <w:rPr>
                        <w:rFonts w:ascii="Cambria Math" w:hAnsi="Cambria Math" w:cs="Arial"/>
                        <w:sz w:val="20"/>
                        <w:szCs w:val="20"/>
                      </w:rPr>
                      <m:t>1</m:t>
                    </m:r>
                  </m:sub>
                </m:sSub>
                <m:sSup>
                  <m:sSupPr>
                    <m:ctrlPr>
                      <w:rPr>
                        <w:rFonts w:ascii="Cambria Math" w:hAnsi="Cambria Math" w:cs="Arial"/>
                        <w:i/>
                        <w14:ligatures w14:val="standardContextual"/>
                      </w:rPr>
                    </m:ctrlPr>
                  </m:sSupPr>
                  <m:e>
                    <m:r>
                      <w:rPr>
                        <w:rFonts w:ascii="Cambria Math" w:hAnsi="Cambria Math" w:cs="Arial"/>
                        <w:sz w:val="20"/>
                        <w:szCs w:val="20"/>
                      </w:rPr>
                      <m:t>h</m:t>
                    </m:r>
                  </m:e>
                  <m:sup>
                    <m:r>
                      <w:rPr>
                        <w:rFonts w:ascii="Cambria Math" w:hAnsi="Cambria Math" w:cs="Arial"/>
                        <w:sz w:val="20"/>
                        <w:szCs w:val="20"/>
                      </w:rPr>
                      <m:t>K</m:t>
                    </m:r>
                  </m:sup>
                </m:sSup>
              </m:oMath>
            </m:oMathPara>
          </w:p>
        </w:tc>
        <w:tc>
          <w:tcPr>
            <w:tcW w:w="4541" w:type="dxa"/>
            <w:tcBorders>
              <w:top w:val="dashed" w:sz="4" w:space="0" w:color="auto"/>
              <w:left w:val="nil"/>
              <w:bottom w:val="single" w:sz="4" w:space="0" w:color="auto"/>
              <w:right w:val="nil"/>
            </w:tcBorders>
            <w:vAlign w:val="center"/>
            <w:hideMark/>
          </w:tcPr>
          <w:p w14:paraId="76F4E32D" w14:textId="77777777" w:rsidR="008B4807" w:rsidRDefault="00000000">
            <w:pPr>
              <w:spacing w:line="360" w:lineRule="auto"/>
              <w:rPr>
                <w:rFonts w:ascii="Arial" w:eastAsiaTheme="minorEastAsia" w:hAnsi="Arial" w:cs="Arial"/>
                <w:sz w:val="20"/>
                <w:szCs w:val="20"/>
              </w:rPr>
            </w:pPr>
            <m:oMathPara>
              <m:oMath>
                <m:sSubSup>
                  <m:sSubSupPr>
                    <m:ctrlPr>
                      <w:rPr>
                        <w:rFonts w:ascii="Cambria Math" w:hAnsi="Cambria Math" w:cs="Arial"/>
                        <w:i/>
                        <w14:ligatures w14:val="standardContextual"/>
                      </w:rPr>
                    </m:ctrlPr>
                  </m:sSubSupPr>
                  <m:e>
                    <m:r>
                      <w:rPr>
                        <w:rFonts w:ascii="Cambria Math" w:hAnsi="Cambria Math" w:cs="Arial"/>
                        <w:sz w:val="20"/>
                        <w:szCs w:val="20"/>
                      </w:rPr>
                      <m:t>h</m:t>
                    </m:r>
                  </m:e>
                  <m:sub>
                    <m:r>
                      <w:rPr>
                        <w:rFonts w:ascii="Cambria Math" w:hAnsi="Cambria Math" w:cs="Arial"/>
                        <w:sz w:val="20"/>
                        <w:szCs w:val="20"/>
                      </w:rPr>
                      <m:t>i,m</m:t>
                    </m:r>
                  </m:sub>
                  <m:sup>
                    <m:r>
                      <w:rPr>
                        <w:rFonts w:ascii="Cambria Math" w:hAnsi="Cambria Math" w:cs="Arial"/>
                        <w:sz w:val="20"/>
                        <w:szCs w:val="20"/>
                      </w:rPr>
                      <m:t>L</m:t>
                    </m:r>
                  </m:sup>
                </m:sSubSup>
                <m:r>
                  <w:rPr>
                    <w:rFonts w:ascii="Cambria Math" w:hAnsi="Cambria Math" w:cs="Arial"/>
                    <w:sz w:val="20"/>
                    <w:szCs w:val="20"/>
                  </w:rPr>
                  <m:t>=</m:t>
                </m:r>
                <m:sSup>
                  <m:sSupPr>
                    <m:ctrlPr>
                      <w:rPr>
                        <w:rFonts w:ascii="Cambria Math" w:hAnsi="Cambria Math" w:cs="Arial"/>
                        <w:i/>
                        <w14:ligatures w14:val="standardContextual"/>
                      </w:rPr>
                    </m:ctrlPr>
                  </m:sSupPr>
                  <m:e>
                    <m:r>
                      <w:rPr>
                        <w:rFonts w:ascii="Cambria Math" w:hAnsi="Cambria Math" w:cs="Arial"/>
                        <w:sz w:val="20"/>
                        <w:szCs w:val="20"/>
                      </w:rPr>
                      <m:t>h</m:t>
                    </m:r>
                  </m:e>
                  <m:sup>
                    <m:r>
                      <w:rPr>
                        <w:rFonts w:ascii="Cambria Math" w:hAnsi="Cambria Math" w:cs="Arial"/>
                        <w:sz w:val="20"/>
                        <w:szCs w:val="20"/>
                      </w:rPr>
                      <m:t>L</m:t>
                    </m:r>
                  </m:sup>
                </m:sSup>
                <m:r>
                  <w:rPr>
                    <w:rFonts w:ascii="Cambria Math" w:hAnsi="Cambria Math" w:cs="Arial"/>
                    <w:sz w:val="20"/>
                    <w:szCs w:val="20"/>
                  </w:rPr>
                  <m:t>+</m:t>
                </m:r>
                <m:f>
                  <m:fPr>
                    <m:ctrlPr>
                      <w:rPr>
                        <w:rFonts w:ascii="Cambria Math" w:hAnsi="Cambria Math" w:cs="Arial"/>
                        <w:i/>
                        <w14:ligatures w14:val="standardContextual"/>
                      </w:rPr>
                    </m:ctrlPr>
                  </m:fPr>
                  <m:num>
                    <m:nary>
                      <m:naryPr>
                        <m:chr m:val="∑"/>
                        <m:limLoc m:val="subSup"/>
                        <m:supHide m:val="1"/>
                        <m:ctrlPr>
                          <w:rPr>
                            <w:rFonts w:ascii="Cambria Math" w:hAnsi="Cambria Math" w:cs="Arial"/>
                            <w:i/>
                            <w14:ligatures w14:val="standardContextual"/>
                          </w:rPr>
                        </m:ctrlPr>
                      </m:naryPr>
                      <m:sub>
                        <m:r>
                          <w:rPr>
                            <w:rFonts w:ascii="Cambria Math" w:hAnsi="Cambria Math" w:cs="Arial"/>
                            <w:sz w:val="20"/>
                            <w:szCs w:val="20"/>
                          </w:rPr>
                          <m:t>i</m:t>
                        </m:r>
                      </m:sub>
                      <m:sup/>
                      <m:e>
                        <m:sSub>
                          <m:sSubPr>
                            <m:ctrlPr>
                              <w:rPr>
                                <w:rFonts w:ascii="Cambria Math" w:hAnsi="Cambria Math" w:cs="Arial"/>
                                <w:i/>
                                <w14:ligatures w14:val="standardContextual"/>
                              </w:rPr>
                            </m:ctrlPr>
                          </m:sSubPr>
                          <m:e>
                            <m:r>
                              <w:rPr>
                                <w:rFonts w:ascii="Cambria Math" w:hAnsi="Cambria Math" w:cs="Arial"/>
                                <w:sz w:val="20"/>
                                <w:szCs w:val="20"/>
                              </w:rPr>
                              <m:t>Q</m:t>
                            </m:r>
                          </m:e>
                          <m:sub>
                            <m:r>
                              <w:rPr>
                                <w:rFonts w:ascii="Cambria Math" w:hAnsi="Cambria Math" w:cs="Arial"/>
                                <w:sz w:val="20"/>
                                <w:szCs w:val="20"/>
                              </w:rPr>
                              <m:t>i,m=high</m:t>
                            </m:r>
                          </m:sub>
                        </m:sSub>
                      </m:e>
                    </m:nary>
                  </m:num>
                  <m:den>
                    <m:nary>
                      <m:naryPr>
                        <m:chr m:val="∑"/>
                        <m:limLoc m:val="subSup"/>
                        <m:supHide m:val="1"/>
                        <m:ctrlPr>
                          <w:rPr>
                            <w:rFonts w:ascii="Cambria Math" w:hAnsi="Cambria Math" w:cs="Arial"/>
                            <w:i/>
                            <w14:ligatures w14:val="standardContextual"/>
                          </w:rPr>
                        </m:ctrlPr>
                      </m:naryPr>
                      <m:sub>
                        <m:r>
                          <w:rPr>
                            <w:rFonts w:ascii="Cambria Math" w:hAnsi="Cambria Math" w:cs="Arial"/>
                            <w:sz w:val="20"/>
                            <w:szCs w:val="20"/>
                          </w:rPr>
                          <m:t>i</m:t>
                        </m:r>
                      </m:sub>
                      <m:sup/>
                      <m:e>
                        <m:sSub>
                          <m:sSubPr>
                            <m:ctrlPr>
                              <w:rPr>
                                <w:rFonts w:ascii="Cambria Math" w:hAnsi="Cambria Math" w:cs="Arial"/>
                                <w:i/>
                                <w14:ligatures w14:val="standardContextual"/>
                              </w:rPr>
                            </m:ctrlPr>
                          </m:sSubPr>
                          <m:e>
                            <m:r>
                              <w:rPr>
                                <w:rFonts w:ascii="Cambria Math" w:hAnsi="Cambria Math" w:cs="Arial"/>
                                <w:sz w:val="20"/>
                                <w:szCs w:val="20"/>
                              </w:rPr>
                              <m:t>Q</m:t>
                            </m:r>
                          </m:e>
                          <m:sub>
                            <m:r>
                              <w:rPr>
                                <w:rFonts w:ascii="Cambria Math" w:hAnsi="Cambria Math" w:cs="Arial"/>
                                <w:sz w:val="20"/>
                                <w:szCs w:val="20"/>
                              </w:rPr>
                              <m:t>i,m=low</m:t>
                            </m:r>
                          </m:sub>
                        </m:sSub>
                      </m:e>
                    </m:nary>
                  </m:den>
                </m:f>
                <m:sSub>
                  <m:sSubPr>
                    <m:ctrlPr>
                      <w:rPr>
                        <w:rFonts w:ascii="Cambria Math" w:hAnsi="Cambria Math" w:cs="Arial"/>
                        <w:i/>
                        <w14:ligatures w14:val="standardContextual"/>
                      </w:rPr>
                    </m:ctrlPr>
                  </m:sSubPr>
                  <m:e>
                    <m:r>
                      <w:rPr>
                        <w:rFonts w:ascii="Cambria Math" w:hAnsi="Cambria Math" w:cs="Arial"/>
                        <w:sz w:val="20"/>
                        <w:szCs w:val="20"/>
                      </w:rPr>
                      <m:t>θ</m:t>
                    </m:r>
                  </m:e>
                  <m:sub>
                    <m:r>
                      <w:rPr>
                        <w:rFonts w:ascii="Cambria Math" w:hAnsi="Cambria Math" w:cs="Arial"/>
                        <w:sz w:val="20"/>
                        <w:szCs w:val="20"/>
                      </w:rPr>
                      <m:t>2</m:t>
                    </m:r>
                  </m:sub>
                </m:sSub>
                <m:sSup>
                  <m:sSupPr>
                    <m:ctrlPr>
                      <w:rPr>
                        <w:rFonts w:ascii="Cambria Math" w:hAnsi="Cambria Math" w:cs="Arial"/>
                        <w:i/>
                        <w14:ligatures w14:val="standardContextual"/>
                      </w:rPr>
                    </m:ctrlPr>
                  </m:sSupPr>
                  <m:e>
                    <m:r>
                      <w:rPr>
                        <w:rFonts w:ascii="Cambria Math" w:hAnsi="Cambria Math" w:cs="Arial"/>
                        <w:sz w:val="20"/>
                        <w:szCs w:val="20"/>
                      </w:rPr>
                      <m:t>h</m:t>
                    </m:r>
                  </m:e>
                  <m:sup>
                    <m:r>
                      <w:rPr>
                        <w:rFonts w:ascii="Cambria Math" w:hAnsi="Cambria Math" w:cs="Arial"/>
                        <w:sz w:val="20"/>
                        <w:szCs w:val="20"/>
                      </w:rPr>
                      <m:t>K</m:t>
                    </m:r>
                  </m:sup>
                </m:sSup>
              </m:oMath>
            </m:oMathPara>
          </w:p>
          <w:p w14:paraId="2BBC3A92" w14:textId="77777777" w:rsidR="008B4807" w:rsidRDefault="00000000">
            <w:pPr>
              <w:spacing w:line="360" w:lineRule="auto"/>
              <w:rPr>
                <w:rFonts w:ascii="Arial" w:hAnsi="Arial" w:cs="Arial"/>
                <w:sz w:val="20"/>
                <w:szCs w:val="20"/>
              </w:rPr>
            </w:pPr>
            <m:oMathPara>
              <m:oMath>
                <m:sSubSup>
                  <m:sSubSupPr>
                    <m:ctrlPr>
                      <w:rPr>
                        <w:rFonts w:ascii="Cambria Math" w:hAnsi="Cambria Math" w:cs="Arial"/>
                        <w:i/>
                        <w14:ligatures w14:val="standardContextual"/>
                      </w:rPr>
                    </m:ctrlPr>
                  </m:sSubSupPr>
                  <m:e>
                    <m:r>
                      <w:rPr>
                        <w:rFonts w:ascii="Cambria Math" w:hAnsi="Cambria Math" w:cs="Arial"/>
                        <w:sz w:val="20"/>
                        <w:szCs w:val="20"/>
                      </w:rPr>
                      <m:t>h</m:t>
                    </m:r>
                  </m:e>
                  <m:sub>
                    <m:r>
                      <w:rPr>
                        <w:rFonts w:ascii="Cambria Math" w:hAnsi="Cambria Math" w:cs="Arial"/>
                        <w:sz w:val="20"/>
                        <w:szCs w:val="20"/>
                      </w:rPr>
                      <m:t>i,m</m:t>
                    </m:r>
                  </m:sub>
                  <m:sup>
                    <m:r>
                      <w:rPr>
                        <w:rFonts w:ascii="Cambria Math" w:hAnsi="Cambria Math" w:cs="Arial"/>
                        <w:sz w:val="20"/>
                        <w:szCs w:val="20"/>
                      </w:rPr>
                      <m:t>K</m:t>
                    </m:r>
                  </m:sup>
                </m:sSubSup>
                <m:r>
                  <w:rPr>
                    <w:rFonts w:ascii="Cambria Math" w:hAnsi="Cambria Math" w:cs="Arial"/>
                    <w:sz w:val="20"/>
                    <w:szCs w:val="20"/>
                  </w:rPr>
                  <m:t>=</m:t>
                </m:r>
                <m:sSup>
                  <m:sSupPr>
                    <m:ctrlPr>
                      <w:rPr>
                        <w:rFonts w:ascii="Cambria Math" w:hAnsi="Cambria Math" w:cs="Arial"/>
                        <w:i/>
                        <w14:ligatures w14:val="standardContextual"/>
                      </w:rPr>
                    </m:ctrlPr>
                  </m:sSupPr>
                  <m:e>
                    <m:r>
                      <w:rPr>
                        <w:rFonts w:ascii="Cambria Math" w:hAnsi="Cambria Math" w:cs="Arial"/>
                        <w:sz w:val="20"/>
                        <w:szCs w:val="20"/>
                      </w:rPr>
                      <m:t>h</m:t>
                    </m:r>
                  </m:e>
                  <m:sup>
                    <m:r>
                      <w:rPr>
                        <w:rFonts w:ascii="Cambria Math" w:hAnsi="Cambria Math" w:cs="Arial"/>
                        <w:sz w:val="20"/>
                        <w:szCs w:val="20"/>
                      </w:rPr>
                      <m:t>K</m:t>
                    </m:r>
                  </m:sup>
                </m:sSup>
                <m:r>
                  <w:rPr>
                    <w:rFonts w:ascii="Cambria Math" w:hAnsi="Cambria Math" w:cs="Arial"/>
                    <w:sz w:val="20"/>
                    <w:szCs w:val="20"/>
                  </w:rPr>
                  <m:t>-</m:t>
                </m:r>
                <m:f>
                  <m:fPr>
                    <m:ctrlPr>
                      <w:rPr>
                        <w:rFonts w:ascii="Cambria Math" w:hAnsi="Cambria Math" w:cs="Arial"/>
                        <w:i/>
                        <w14:ligatures w14:val="standardContextual"/>
                      </w:rPr>
                    </m:ctrlPr>
                  </m:fPr>
                  <m:num>
                    <m:nary>
                      <m:naryPr>
                        <m:chr m:val="∑"/>
                        <m:limLoc m:val="subSup"/>
                        <m:supHide m:val="1"/>
                        <m:ctrlPr>
                          <w:rPr>
                            <w:rFonts w:ascii="Cambria Math" w:hAnsi="Cambria Math" w:cs="Arial"/>
                            <w:i/>
                            <w14:ligatures w14:val="standardContextual"/>
                          </w:rPr>
                        </m:ctrlPr>
                      </m:naryPr>
                      <m:sub>
                        <m:r>
                          <w:rPr>
                            <w:rFonts w:ascii="Cambria Math" w:hAnsi="Cambria Math" w:cs="Arial"/>
                            <w:sz w:val="20"/>
                            <w:szCs w:val="20"/>
                          </w:rPr>
                          <m:t>i</m:t>
                        </m:r>
                      </m:sub>
                      <m:sup/>
                      <m:e>
                        <m:sSub>
                          <m:sSubPr>
                            <m:ctrlPr>
                              <w:rPr>
                                <w:rFonts w:ascii="Cambria Math" w:hAnsi="Cambria Math" w:cs="Arial"/>
                                <w:i/>
                                <w14:ligatures w14:val="standardContextual"/>
                              </w:rPr>
                            </m:ctrlPr>
                          </m:sSubPr>
                          <m:e>
                            <m:r>
                              <w:rPr>
                                <w:rFonts w:ascii="Cambria Math" w:hAnsi="Cambria Math" w:cs="Arial"/>
                                <w:sz w:val="20"/>
                                <w:szCs w:val="20"/>
                              </w:rPr>
                              <m:t>Q</m:t>
                            </m:r>
                          </m:e>
                          <m:sub>
                            <m:r>
                              <w:rPr>
                                <w:rFonts w:ascii="Cambria Math" w:hAnsi="Cambria Math" w:cs="Arial"/>
                                <w:sz w:val="20"/>
                                <w:szCs w:val="20"/>
                              </w:rPr>
                              <m:t>i,m=hi</m:t>
                            </m:r>
                          </m:sub>
                        </m:sSub>
                      </m:e>
                    </m:nary>
                  </m:num>
                  <m:den>
                    <m:nary>
                      <m:naryPr>
                        <m:chr m:val="∑"/>
                        <m:limLoc m:val="subSup"/>
                        <m:supHide m:val="1"/>
                        <m:ctrlPr>
                          <w:rPr>
                            <w:rFonts w:ascii="Cambria Math" w:hAnsi="Cambria Math" w:cs="Arial"/>
                            <w:i/>
                            <w14:ligatures w14:val="standardContextual"/>
                          </w:rPr>
                        </m:ctrlPr>
                      </m:naryPr>
                      <m:sub>
                        <m:r>
                          <w:rPr>
                            <w:rFonts w:ascii="Cambria Math" w:hAnsi="Cambria Math" w:cs="Arial"/>
                            <w:sz w:val="20"/>
                            <w:szCs w:val="20"/>
                          </w:rPr>
                          <m:t>i</m:t>
                        </m:r>
                      </m:sub>
                      <m:sup/>
                      <m:e>
                        <m:sSub>
                          <m:sSubPr>
                            <m:ctrlPr>
                              <w:rPr>
                                <w:rFonts w:ascii="Cambria Math" w:hAnsi="Cambria Math" w:cs="Arial"/>
                                <w:i/>
                                <w14:ligatures w14:val="standardContextual"/>
                              </w:rPr>
                            </m:ctrlPr>
                          </m:sSubPr>
                          <m:e>
                            <m:r>
                              <w:rPr>
                                <w:rFonts w:ascii="Cambria Math" w:hAnsi="Cambria Math" w:cs="Arial"/>
                                <w:sz w:val="20"/>
                                <w:szCs w:val="20"/>
                              </w:rPr>
                              <m:t>Q</m:t>
                            </m:r>
                          </m:e>
                          <m:sub>
                            <m:r>
                              <w:rPr>
                                <w:rFonts w:ascii="Cambria Math" w:hAnsi="Cambria Math" w:cs="Arial"/>
                                <w:sz w:val="20"/>
                                <w:szCs w:val="20"/>
                              </w:rPr>
                              <m:t>i,m=low</m:t>
                            </m:r>
                          </m:sub>
                        </m:sSub>
                      </m:e>
                    </m:nary>
                  </m:den>
                </m:f>
                <m:sSub>
                  <m:sSubPr>
                    <m:ctrlPr>
                      <w:rPr>
                        <w:rFonts w:ascii="Cambria Math" w:hAnsi="Cambria Math" w:cs="Arial"/>
                        <w:i/>
                        <w14:ligatures w14:val="standardContextual"/>
                      </w:rPr>
                    </m:ctrlPr>
                  </m:sSubPr>
                  <m:e>
                    <m:r>
                      <w:rPr>
                        <w:rFonts w:ascii="Cambria Math" w:hAnsi="Cambria Math" w:cs="Arial"/>
                        <w:sz w:val="20"/>
                        <w:szCs w:val="20"/>
                      </w:rPr>
                      <m:t>θ</m:t>
                    </m:r>
                  </m:e>
                  <m:sub>
                    <m:r>
                      <w:rPr>
                        <w:rFonts w:ascii="Cambria Math" w:hAnsi="Cambria Math" w:cs="Arial"/>
                        <w:sz w:val="20"/>
                        <w:szCs w:val="20"/>
                      </w:rPr>
                      <m:t>2</m:t>
                    </m:r>
                  </m:sub>
                </m:sSub>
                <m:sSup>
                  <m:sSupPr>
                    <m:ctrlPr>
                      <w:rPr>
                        <w:rFonts w:ascii="Cambria Math" w:hAnsi="Cambria Math" w:cs="Arial"/>
                        <w:i/>
                        <w14:ligatures w14:val="standardContextual"/>
                      </w:rPr>
                    </m:ctrlPr>
                  </m:sSupPr>
                  <m:e>
                    <m:r>
                      <w:rPr>
                        <w:rFonts w:ascii="Cambria Math" w:hAnsi="Cambria Math" w:cs="Arial"/>
                        <w:sz w:val="20"/>
                        <w:szCs w:val="20"/>
                      </w:rPr>
                      <m:t>h</m:t>
                    </m:r>
                  </m:e>
                  <m:sup>
                    <m:r>
                      <w:rPr>
                        <w:rFonts w:ascii="Cambria Math" w:hAnsi="Cambria Math" w:cs="Arial"/>
                        <w:sz w:val="20"/>
                        <w:szCs w:val="20"/>
                      </w:rPr>
                      <m:t>K</m:t>
                    </m:r>
                  </m:sup>
                </m:sSup>
              </m:oMath>
            </m:oMathPara>
          </w:p>
        </w:tc>
      </w:tr>
    </w:tbl>
    <w:p w14:paraId="31CA27FF" w14:textId="77777777" w:rsidR="008B4807" w:rsidRDefault="008B4807" w:rsidP="008B4807">
      <w:pPr>
        <w:rPr>
          <w:rFonts w:ascii="Arial" w:hAnsi="Arial" w:cs="Arial"/>
          <w14:ligatures w14:val="standardContextual"/>
        </w:rPr>
      </w:pPr>
      <w:r>
        <w:rPr>
          <w:rFonts w:ascii="Arial" w:hAnsi="Arial" w:cs="Arial"/>
        </w:rPr>
        <w:t xml:space="preserve"> </w:t>
      </w:r>
    </w:p>
    <w:p w14:paraId="102C8B17" w14:textId="77777777" w:rsidR="00B020EE" w:rsidRDefault="00B020EE" w:rsidP="00C43E1E">
      <w:pPr>
        <w:spacing w:line="276" w:lineRule="auto"/>
        <w:rPr>
          <w:rFonts w:ascii="Arial" w:hAnsi="Arial" w:cs="Arial"/>
        </w:rPr>
      </w:pPr>
    </w:p>
    <w:p w14:paraId="56287841" w14:textId="77777777" w:rsidR="00244E5D" w:rsidRDefault="00244E5D">
      <w:pPr>
        <w:rPr>
          <w:rFonts w:ascii="Arial" w:eastAsia="Cambria" w:hAnsi="Arial" w:cs="Arial"/>
          <w:b/>
          <w:color w:val="000000"/>
        </w:rPr>
      </w:pPr>
      <w:r>
        <w:br w:type="page"/>
      </w:r>
    </w:p>
    <w:p w14:paraId="766560B4" w14:textId="23FA58AC" w:rsidR="00244E5D" w:rsidRPr="00ED68E3" w:rsidRDefault="00244E5D" w:rsidP="00244E5D">
      <w:pPr>
        <w:pStyle w:val="Heading2"/>
        <w:spacing w:line="276" w:lineRule="auto"/>
      </w:pPr>
      <w:bookmarkStart w:id="27" w:name="_Toc162997999"/>
      <w:r w:rsidRPr="00ED68E3">
        <w:lastRenderedPageBreak/>
        <w:t>S1.</w:t>
      </w:r>
      <w:r>
        <w:t>4</w:t>
      </w:r>
      <w:r w:rsidRPr="00ED68E3">
        <w:t>. Labor market evolution and effective labor supply</w:t>
      </w:r>
      <w:bookmarkEnd w:id="27"/>
    </w:p>
    <w:p w14:paraId="2A3BC3B7" w14:textId="29A407F9" w:rsidR="00244E5D" w:rsidRPr="00ED68E3" w:rsidRDefault="00244E5D" w:rsidP="00244E5D">
      <w:pPr>
        <w:spacing w:after="121" w:line="276" w:lineRule="auto"/>
        <w:rPr>
          <w:rFonts w:ascii="Arial" w:hAnsi="Arial" w:cs="Arial"/>
        </w:rPr>
      </w:pPr>
      <w:r w:rsidRPr="00ED68E3">
        <w:rPr>
          <w:rFonts w:ascii="Arial" w:hAnsi="Arial" w:cs="Arial"/>
        </w:rPr>
        <w:t xml:space="preserve">Physical labor is an important input for agricultural production, while it is the effective labor that enters the production function. Effective labor, defined as productivity-adjusted physical labor, represents labor service provided by physical labor. When the productivity of physical labor increases, holding </w:t>
      </w:r>
      <w:r>
        <w:rPr>
          <w:rFonts w:ascii="Arial" w:hAnsi="Arial" w:cs="Arial"/>
        </w:rPr>
        <w:t xml:space="preserve">the </w:t>
      </w:r>
      <w:r w:rsidRPr="00ED68E3">
        <w:rPr>
          <w:rFonts w:ascii="Arial" w:hAnsi="Arial" w:cs="Arial"/>
        </w:rPr>
        <w:t xml:space="preserve">physical labor supply the same, the effective </w:t>
      </w:r>
      <w:r w:rsidRPr="003039AE">
        <w:rPr>
          <w:rFonts w:ascii="Arial" w:hAnsi="Arial" w:cs="Arial"/>
        </w:rPr>
        <w:t>labor supply increases and the labor market clears with a higher level of effective labor at a lower effective labor price (</w:t>
      </w:r>
      <w:r w:rsidRPr="003039AE">
        <w:rPr>
          <w:rFonts w:ascii="Arial" w:hAnsi="Arial" w:cs="Arial"/>
          <w:b/>
          <w:bCs/>
        </w:rPr>
        <w:fldChar w:fldCharType="begin"/>
      </w:r>
      <w:r w:rsidRPr="003039AE">
        <w:rPr>
          <w:rFonts w:ascii="Arial" w:hAnsi="Arial" w:cs="Arial"/>
          <w:b/>
          <w:bCs/>
        </w:rPr>
        <w:instrText xml:space="preserve"> REF _Ref162470807 \h  \* MERGEFORMAT </w:instrText>
      </w:r>
      <w:r w:rsidRPr="003039AE">
        <w:rPr>
          <w:rFonts w:ascii="Arial" w:hAnsi="Arial" w:cs="Arial"/>
          <w:b/>
          <w:bCs/>
        </w:rPr>
      </w:r>
      <w:r w:rsidRPr="003039AE">
        <w:rPr>
          <w:rFonts w:ascii="Arial" w:hAnsi="Arial" w:cs="Arial"/>
          <w:b/>
          <w:bCs/>
        </w:rPr>
        <w:fldChar w:fldCharType="separate"/>
      </w:r>
      <w:r w:rsidR="009141B0" w:rsidRPr="003039AE">
        <w:rPr>
          <w:rFonts w:ascii="Arial" w:hAnsi="Arial" w:cs="Arial"/>
          <w:b/>
          <w:bCs/>
        </w:rPr>
        <w:t xml:space="preserve"> Fig. S</w:t>
      </w:r>
      <w:r w:rsidR="009141B0" w:rsidRPr="003039AE">
        <w:rPr>
          <w:rFonts w:ascii="Arial" w:hAnsi="Arial" w:cs="Arial"/>
          <w:b/>
          <w:bCs/>
          <w:noProof/>
        </w:rPr>
        <w:t>3</w:t>
      </w:r>
      <w:r w:rsidRPr="003039AE">
        <w:rPr>
          <w:rFonts w:ascii="Arial" w:hAnsi="Arial" w:cs="Arial"/>
          <w:b/>
          <w:bCs/>
        </w:rPr>
        <w:fldChar w:fldCharType="end"/>
      </w:r>
      <w:r w:rsidRPr="003039AE">
        <w:rPr>
          <w:rFonts w:ascii="Arial" w:hAnsi="Arial" w:cs="Arial"/>
          <w:b/>
          <w:bCs/>
        </w:rPr>
        <w:t>A</w:t>
      </w:r>
      <w:r w:rsidRPr="003039AE">
        <w:rPr>
          <w:rFonts w:ascii="Arial" w:hAnsi="Arial" w:cs="Arial"/>
        </w:rPr>
        <w:t>). In this case, more labor service enters the production at a lower effective labor price (price for labor service). Therefore, when labor productivity increases, we expect the production level to increase with a lower labor cost per unit of output. When labor transits from agriculture to the rest of the economy, the physical agricultural labor supply decreases, which leads to a decrease in the effective labor supply when the total labor force and labor productivity stay the same. In this case, the effective labor market equilibrium responds in the opposite direction compared to the productivity increase case (</w:t>
      </w:r>
      <w:r w:rsidRPr="003039AE">
        <w:rPr>
          <w:rFonts w:ascii="Arial" w:hAnsi="Arial" w:cs="Arial"/>
          <w:b/>
          <w:bCs/>
        </w:rPr>
        <w:fldChar w:fldCharType="begin"/>
      </w:r>
      <w:r w:rsidRPr="003039AE">
        <w:rPr>
          <w:rFonts w:ascii="Arial" w:hAnsi="Arial" w:cs="Arial"/>
          <w:b/>
          <w:bCs/>
        </w:rPr>
        <w:instrText xml:space="preserve"> REF _Ref162470807 \h  \* MERGEFORMAT </w:instrText>
      </w:r>
      <w:r w:rsidRPr="003039AE">
        <w:rPr>
          <w:rFonts w:ascii="Arial" w:hAnsi="Arial" w:cs="Arial"/>
          <w:b/>
          <w:bCs/>
        </w:rPr>
      </w:r>
      <w:r w:rsidRPr="003039AE">
        <w:rPr>
          <w:rFonts w:ascii="Arial" w:hAnsi="Arial" w:cs="Arial"/>
          <w:b/>
          <w:bCs/>
        </w:rPr>
        <w:fldChar w:fldCharType="separate"/>
      </w:r>
      <w:r w:rsidR="009141B0" w:rsidRPr="003039AE">
        <w:rPr>
          <w:rFonts w:ascii="Arial" w:hAnsi="Arial" w:cs="Arial"/>
          <w:b/>
          <w:bCs/>
        </w:rPr>
        <w:t xml:space="preserve"> Fig. S</w:t>
      </w:r>
      <w:r w:rsidR="009141B0" w:rsidRPr="003039AE">
        <w:rPr>
          <w:rFonts w:ascii="Arial" w:hAnsi="Arial" w:cs="Arial"/>
          <w:b/>
          <w:bCs/>
          <w:noProof/>
        </w:rPr>
        <w:t>3</w:t>
      </w:r>
      <w:r w:rsidRPr="003039AE">
        <w:rPr>
          <w:rFonts w:ascii="Arial" w:hAnsi="Arial" w:cs="Arial"/>
          <w:b/>
          <w:bCs/>
        </w:rPr>
        <w:fldChar w:fldCharType="end"/>
      </w:r>
      <w:r w:rsidRPr="003039AE">
        <w:rPr>
          <w:rFonts w:ascii="Arial" w:hAnsi="Arial" w:cs="Arial"/>
          <w:b/>
          <w:bCs/>
        </w:rPr>
        <w:t>B</w:t>
      </w:r>
      <w:r w:rsidRPr="003039AE">
        <w:rPr>
          <w:rFonts w:ascii="Arial" w:hAnsi="Arial" w:cs="Arial"/>
        </w:rPr>
        <w:t xml:space="preserve">), and we expect a lower production level with a higher labor cost per unit of output. </w:t>
      </w:r>
      <w:r w:rsidRPr="003039AE">
        <w:rPr>
          <w:rFonts w:ascii="Arial" w:hAnsi="Arial" w:cs="Arial"/>
          <w:b/>
          <w:bCs/>
        </w:rPr>
        <w:fldChar w:fldCharType="begin"/>
      </w:r>
      <w:r w:rsidRPr="003039AE">
        <w:rPr>
          <w:rFonts w:ascii="Arial" w:hAnsi="Arial" w:cs="Arial"/>
          <w:b/>
          <w:bCs/>
        </w:rPr>
        <w:instrText xml:space="preserve"> REF _Ref162470807 \h  \* MERGEFORMAT </w:instrText>
      </w:r>
      <w:r w:rsidRPr="003039AE">
        <w:rPr>
          <w:rFonts w:ascii="Arial" w:hAnsi="Arial" w:cs="Arial"/>
          <w:b/>
          <w:bCs/>
        </w:rPr>
      </w:r>
      <w:r w:rsidRPr="003039AE">
        <w:rPr>
          <w:rFonts w:ascii="Arial" w:hAnsi="Arial" w:cs="Arial"/>
          <w:b/>
          <w:bCs/>
        </w:rPr>
        <w:fldChar w:fldCharType="separate"/>
      </w:r>
      <w:r w:rsidR="009141B0" w:rsidRPr="003039AE">
        <w:rPr>
          <w:rFonts w:ascii="Arial" w:hAnsi="Arial" w:cs="Arial"/>
          <w:b/>
          <w:bCs/>
        </w:rPr>
        <w:t xml:space="preserve"> Fig. S</w:t>
      </w:r>
      <w:r w:rsidR="009141B0" w:rsidRPr="003039AE">
        <w:rPr>
          <w:rFonts w:ascii="Arial" w:hAnsi="Arial" w:cs="Arial"/>
          <w:b/>
          <w:bCs/>
          <w:noProof/>
        </w:rPr>
        <w:t>3</w:t>
      </w:r>
      <w:r w:rsidRPr="003039AE">
        <w:rPr>
          <w:rFonts w:ascii="Arial" w:hAnsi="Arial" w:cs="Arial"/>
          <w:b/>
          <w:bCs/>
        </w:rPr>
        <w:fldChar w:fldCharType="end"/>
      </w:r>
      <w:r w:rsidRPr="003039AE">
        <w:rPr>
          <w:rFonts w:ascii="Arial" w:hAnsi="Arial" w:cs="Arial"/>
          <w:b/>
          <w:bCs/>
        </w:rPr>
        <w:t>C</w:t>
      </w:r>
      <w:r w:rsidRPr="003039AE">
        <w:rPr>
          <w:rFonts w:ascii="Arial" w:hAnsi="Arial" w:cs="Arial"/>
        </w:rPr>
        <w:t xml:space="preserve"> presents</w:t>
      </w:r>
      <w:r w:rsidRPr="00BD727F">
        <w:rPr>
          <w:rFonts w:ascii="Arial" w:hAnsi="Arial" w:cs="Arial"/>
        </w:rPr>
        <w:t xml:space="preserve"> a case where labor supply elasticity increases, effective labor supply shifts to the right, and leads to a higher</w:t>
      </w:r>
      <w:r>
        <w:rPr>
          <w:rFonts w:ascii="Arial" w:hAnsi="Arial" w:cs="Arial"/>
        </w:rPr>
        <w:t xml:space="preserve"> production level with a lower labor cost per unit of output.</w:t>
      </w:r>
    </w:p>
    <w:p w14:paraId="51D013BA" w14:textId="77777777" w:rsidR="00244E5D" w:rsidRDefault="00244E5D" w:rsidP="00244E5D">
      <w:pPr>
        <w:spacing w:line="276" w:lineRule="auto"/>
        <w:rPr>
          <w:rFonts w:ascii="Arial" w:hAnsi="Arial" w:cs="Arial"/>
        </w:rPr>
      </w:pPr>
      <w:r w:rsidRPr="00ED68E3">
        <w:rPr>
          <w:rFonts w:ascii="Arial" w:hAnsi="Arial" w:cs="Arial"/>
        </w:rPr>
        <w:t xml:space="preserve">As the long-term labor market evolution depicts a trajectory with growing labor productivity and labor transiting from agriculture to the rest of the economy, the total impact of long-term labor market evolution on the agricultural effective labor market is the aggregated impacts from these two opposite factors. As a result, the direction of effective labor supply change is arbitrary as the labor market evolves and depends on the rates of labor productivity growth and the speed of labor market transition. </w:t>
      </w:r>
      <w:r>
        <w:rPr>
          <w:rFonts w:ascii="Arial" w:hAnsi="Arial" w:cs="Arial"/>
        </w:rPr>
        <w:t xml:space="preserve">Holding other factors constant, </w:t>
      </w:r>
      <w:r w:rsidRPr="00ED68E3">
        <w:rPr>
          <w:rFonts w:ascii="Arial" w:hAnsi="Arial" w:cs="Arial"/>
        </w:rPr>
        <w:t>global agricultural production is expected to shift towards regions with faster labor productivity growth</w:t>
      </w:r>
      <w:r>
        <w:rPr>
          <w:rFonts w:ascii="Arial" w:hAnsi="Arial" w:cs="Arial"/>
        </w:rPr>
        <w:t xml:space="preserve"> (strong “labor-push”)</w:t>
      </w:r>
      <w:r w:rsidRPr="00ED68E3">
        <w:rPr>
          <w:rFonts w:ascii="Arial" w:hAnsi="Arial" w:cs="Arial"/>
        </w:rPr>
        <w:t xml:space="preserve"> and a slower agricultural labor transition </w:t>
      </w:r>
      <w:r w:rsidRPr="00C43E1E">
        <w:rPr>
          <w:rFonts w:ascii="Arial" w:hAnsi="Arial" w:cs="Arial"/>
        </w:rPr>
        <w:t>to other sectors</w:t>
      </w:r>
      <w:r>
        <w:rPr>
          <w:rFonts w:ascii="Arial" w:hAnsi="Arial" w:cs="Arial"/>
        </w:rPr>
        <w:t xml:space="preserve"> (weak “labor-pull”)</w:t>
      </w:r>
      <w:r w:rsidRPr="00C43E1E">
        <w:rPr>
          <w:rFonts w:ascii="Arial" w:hAnsi="Arial" w:cs="Arial"/>
        </w:rPr>
        <w:t>.</w:t>
      </w:r>
    </w:p>
    <w:p w14:paraId="3691B504" w14:textId="77777777" w:rsidR="00244E5D" w:rsidRDefault="00244E5D" w:rsidP="00244E5D">
      <w:pPr>
        <w:jc w:val="both"/>
        <w:rPr>
          <w:rFonts w:ascii="Arial" w:hAnsi="Arial" w:cs="Arial"/>
          <w:szCs w:val="20"/>
        </w:rPr>
      </w:pPr>
      <w:r w:rsidRPr="008F15D6">
        <w:rPr>
          <w:noProof/>
        </w:rPr>
        <w:drawing>
          <wp:inline distT="0" distB="0" distL="0" distR="0" wp14:anchorId="59DC8D69" wp14:editId="7D29DDE4">
            <wp:extent cx="6858000" cy="189103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858000" cy="1891030"/>
                    </a:xfrm>
                    <a:prstGeom prst="rect">
                      <a:avLst/>
                    </a:prstGeom>
                    <a:noFill/>
                    <a:ln>
                      <a:noFill/>
                    </a:ln>
                  </pic:spPr>
                </pic:pic>
              </a:graphicData>
            </a:graphic>
          </wp:inline>
        </w:drawing>
      </w:r>
    </w:p>
    <w:p w14:paraId="0EDA2A41" w14:textId="2817A00D" w:rsidR="00244E5D" w:rsidRPr="007C5734" w:rsidRDefault="00185D69" w:rsidP="00244E5D">
      <w:pPr>
        <w:pStyle w:val="Caption"/>
        <w:spacing w:line="276" w:lineRule="auto"/>
        <w:jc w:val="both"/>
        <w:rPr>
          <w:rFonts w:cs="Arial"/>
          <w:vanish/>
          <w:sz w:val="22"/>
          <w:szCs w:val="22"/>
          <w:specVanish/>
        </w:rPr>
      </w:pPr>
      <w:bookmarkStart w:id="28" w:name="_Ref162470807"/>
      <w:r>
        <w:rPr>
          <w:sz w:val="22"/>
          <w:szCs w:val="22"/>
        </w:rPr>
        <w:t xml:space="preserve"> </w:t>
      </w:r>
      <w:bookmarkStart w:id="29" w:name="_Toc162998114"/>
      <w:r w:rsidR="00244E5D" w:rsidRPr="007C5734">
        <w:rPr>
          <w:sz w:val="22"/>
          <w:szCs w:val="22"/>
        </w:rPr>
        <w:t>Fig. S</w:t>
      </w:r>
      <w:r w:rsidR="00244E5D" w:rsidRPr="007C5734">
        <w:rPr>
          <w:sz w:val="22"/>
          <w:szCs w:val="22"/>
        </w:rPr>
        <w:fldChar w:fldCharType="begin"/>
      </w:r>
      <w:r w:rsidR="00244E5D" w:rsidRPr="007C5734">
        <w:rPr>
          <w:sz w:val="22"/>
          <w:szCs w:val="22"/>
        </w:rPr>
        <w:instrText xml:space="preserve"> SEQ Fig._S \* ARABIC </w:instrText>
      </w:r>
      <w:r w:rsidR="00244E5D" w:rsidRPr="007C5734">
        <w:rPr>
          <w:sz w:val="22"/>
          <w:szCs w:val="22"/>
        </w:rPr>
        <w:fldChar w:fldCharType="separate"/>
      </w:r>
      <w:r w:rsidR="009141B0">
        <w:rPr>
          <w:noProof/>
          <w:sz w:val="22"/>
          <w:szCs w:val="22"/>
        </w:rPr>
        <w:t>3</w:t>
      </w:r>
      <w:r w:rsidR="00244E5D" w:rsidRPr="007C5734">
        <w:rPr>
          <w:noProof/>
          <w:sz w:val="22"/>
          <w:szCs w:val="22"/>
        </w:rPr>
        <w:fldChar w:fldCharType="end"/>
      </w:r>
      <w:bookmarkEnd w:id="28"/>
      <w:r w:rsidR="00244E5D" w:rsidRPr="007C5734">
        <w:rPr>
          <w:sz w:val="22"/>
          <w:szCs w:val="22"/>
        </w:rPr>
        <w:t xml:space="preserve"> </w:t>
      </w:r>
      <w:r w:rsidR="00244E5D" w:rsidRPr="007C5734">
        <w:rPr>
          <w:rFonts w:cs="Arial"/>
          <w:noProof/>
          <w:sz w:val="22"/>
          <w:szCs w:val="22"/>
        </w:rPr>
        <w:t>|</w:t>
      </w:r>
      <w:r w:rsidR="00244E5D" w:rsidRPr="007C5734">
        <w:rPr>
          <w:rFonts w:cs="Arial"/>
          <w:sz w:val="22"/>
          <w:szCs w:val="22"/>
        </w:rPr>
        <w:t xml:space="preserve"> Impact of labor market evolution on effective labor supply and effective labor market equilibrium through three parameters.</w:t>
      </w:r>
      <w:bookmarkEnd w:id="29"/>
    </w:p>
    <w:p w14:paraId="6293C43F" w14:textId="77777777" w:rsidR="00244E5D" w:rsidRPr="007C5734" w:rsidRDefault="00244E5D" w:rsidP="00244E5D">
      <w:pPr>
        <w:spacing w:line="276" w:lineRule="auto"/>
        <w:jc w:val="both"/>
        <w:rPr>
          <w:rFonts w:ascii="Arial" w:eastAsiaTheme="minorEastAsia" w:hAnsi="Arial" w:cs="Arial"/>
        </w:rPr>
      </w:pPr>
      <w:r w:rsidRPr="007C5734">
        <w:rPr>
          <w:rFonts w:ascii="Arial" w:hAnsi="Arial" w:cs="Arial"/>
        </w:rPr>
        <w:t xml:space="preserve"> </w:t>
      </w:r>
      <m:oMath>
        <m:sSup>
          <m:sSupPr>
            <m:ctrlPr>
              <w:rPr>
                <w:rFonts w:ascii="Cambria Math" w:hAnsi="Cambria Math" w:cs="Arial"/>
                <w:i/>
              </w:rPr>
            </m:ctrlPr>
          </m:sSupPr>
          <m:e>
            <m:r>
              <w:rPr>
                <w:rFonts w:ascii="Cambria Math" w:hAnsi="Cambria Math" w:cs="Arial"/>
              </w:rPr>
              <m:t>D</m:t>
            </m:r>
          </m:e>
          <m:sup>
            <m:r>
              <w:rPr>
                <w:rFonts w:ascii="Cambria Math" w:hAnsi="Cambria Math" w:cs="Arial"/>
              </w:rPr>
              <m:t>E</m:t>
            </m:r>
          </m:sup>
        </m:sSup>
      </m:oMath>
      <w:r w:rsidRPr="007C5734">
        <w:rPr>
          <w:rFonts w:ascii="Arial" w:eastAsiaTheme="minorEastAsia" w:hAnsi="Arial" w:cs="Arial"/>
        </w:rPr>
        <w:t xml:space="preserve"> </w:t>
      </w:r>
      <w:r w:rsidRPr="007C5734">
        <w:rPr>
          <w:rFonts w:ascii="Arial" w:hAnsi="Arial" w:cs="Arial"/>
        </w:rPr>
        <w:t xml:space="preserve">denotes effective demand curve, </w:t>
      </w:r>
      <m:oMath>
        <m:sSup>
          <m:sSupPr>
            <m:ctrlPr>
              <w:rPr>
                <w:rFonts w:ascii="Cambria Math" w:hAnsi="Cambria Math" w:cs="Arial"/>
                <w:i/>
              </w:rPr>
            </m:ctrlPr>
          </m:sSupPr>
          <m:e>
            <m:r>
              <w:rPr>
                <w:rFonts w:ascii="Cambria Math" w:hAnsi="Cambria Math" w:cs="Arial"/>
              </w:rPr>
              <m:t>S</m:t>
            </m:r>
          </m:e>
          <m:sup>
            <m:r>
              <w:rPr>
                <w:rFonts w:ascii="Cambria Math" w:hAnsi="Cambria Math" w:cs="Arial"/>
              </w:rPr>
              <m:t>E</m:t>
            </m:r>
          </m:sup>
        </m:sSup>
      </m:oMath>
      <w:r w:rsidRPr="007C5734">
        <w:rPr>
          <w:rFonts w:ascii="Arial" w:eastAsiaTheme="minorEastAsia" w:hAnsi="Arial" w:cs="Arial"/>
        </w:rPr>
        <w:t xml:space="preserve"> </w:t>
      </w:r>
      <w:r w:rsidRPr="007C5734">
        <w:rPr>
          <w:rFonts w:ascii="Arial" w:hAnsi="Arial" w:cs="Arial"/>
        </w:rPr>
        <w:t xml:space="preserve">denotes effective labor supply curve. Effective labor market clears with a level of effective labor supplied </w:t>
      </w:r>
      <m:oMath>
        <m:sSup>
          <m:sSupPr>
            <m:ctrlPr>
              <w:rPr>
                <w:rFonts w:ascii="Cambria Math" w:hAnsi="Cambria Math" w:cs="Arial"/>
                <w:i/>
              </w:rPr>
            </m:ctrlPr>
          </m:sSupPr>
          <m:e>
            <m:r>
              <w:rPr>
                <w:rFonts w:ascii="Cambria Math" w:hAnsi="Cambria Math" w:cs="Arial"/>
              </w:rPr>
              <m:t>L</m:t>
            </m:r>
          </m:e>
          <m:sup>
            <m:r>
              <w:rPr>
                <w:rFonts w:ascii="Cambria Math" w:hAnsi="Cambria Math" w:cs="Arial"/>
              </w:rPr>
              <m:t>E*</m:t>
            </m:r>
          </m:sup>
        </m:sSup>
      </m:oMath>
      <w:r w:rsidRPr="007C5734">
        <w:rPr>
          <w:rFonts w:ascii="Arial" w:eastAsiaTheme="minorEastAsia" w:hAnsi="Arial" w:cs="Arial"/>
        </w:rPr>
        <w:t xml:space="preserve"> at the price of effective labor </w:t>
      </w:r>
      <m:oMath>
        <m:sSup>
          <m:sSupPr>
            <m:ctrlPr>
              <w:rPr>
                <w:rFonts w:ascii="Cambria Math" w:hAnsi="Cambria Math" w:cs="Arial"/>
                <w:i/>
              </w:rPr>
            </m:ctrlPr>
          </m:sSupPr>
          <m:e>
            <m:r>
              <w:rPr>
                <w:rFonts w:ascii="Cambria Math" w:hAnsi="Cambria Math" w:cs="Arial"/>
              </w:rPr>
              <m:t>ω</m:t>
            </m:r>
          </m:e>
          <m:sup>
            <m:r>
              <w:rPr>
                <w:rFonts w:ascii="Cambria Math" w:hAnsi="Cambria Math" w:cs="Arial"/>
              </w:rPr>
              <m:t>E*</m:t>
            </m:r>
          </m:sup>
        </m:sSup>
      </m:oMath>
      <w:r w:rsidRPr="007C5734">
        <w:rPr>
          <w:rFonts w:ascii="Arial" w:eastAsiaTheme="minorEastAsia" w:hAnsi="Arial" w:cs="Arial"/>
        </w:rPr>
        <w:t>. Subscripts denote alternative scenario of effective labor supply.</w:t>
      </w:r>
    </w:p>
    <w:p w14:paraId="71F59BC2" w14:textId="77777777" w:rsidR="00244E5D" w:rsidRDefault="00244E5D" w:rsidP="00C43E1E">
      <w:pPr>
        <w:spacing w:line="276" w:lineRule="auto"/>
        <w:rPr>
          <w:rFonts w:ascii="Arial" w:hAnsi="Arial" w:cs="Arial"/>
        </w:rPr>
      </w:pPr>
    </w:p>
    <w:p w14:paraId="07B647D5" w14:textId="77777777" w:rsidR="00244E5D" w:rsidRPr="00C43E1E" w:rsidRDefault="00244E5D" w:rsidP="00C43E1E">
      <w:pPr>
        <w:spacing w:line="276" w:lineRule="auto"/>
        <w:rPr>
          <w:rFonts w:ascii="Arial" w:hAnsi="Arial" w:cs="Arial"/>
        </w:rPr>
      </w:pPr>
    </w:p>
    <w:p w14:paraId="21D53B2A" w14:textId="77777777" w:rsidR="00244E5D" w:rsidRDefault="00244E5D">
      <w:pPr>
        <w:rPr>
          <w:rFonts w:ascii="Arial" w:eastAsia="Cambria" w:hAnsi="Arial" w:cs="Arial"/>
          <w:b/>
          <w:color w:val="000000"/>
        </w:rPr>
      </w:pPr>
      <w:r>
        <w:br w:type="page"/>
      </w:r>
    </w:p>
    <w:p w14:paraId="38A07787" w14:textId="54DF9EA0" w:rsidR="00325D48" w:rsidRPr="00C43E1E" w:rsidRDefault="00325D48" w:rsidP="00932BD5">
      <w:pPr>
        <w:pStyle w:val="Heading2"/>
        <w:spacing w:line="276" w:lineRule="auto"/>
      </w:pPr>
      <w:bookmarkStart w:id="30" w:name="_Toc162998000"/>
      <w:r w:rsidRPr="00C43E1E">
        <w:lastRenderedPageBreak/>
        <w:t>S1.</w:t>
      </w:r>
      <w:r w:rsidR="00244E5D">
        <w:t>5</w:t>
      </w:r>
      <w:r w:rsidRPr="00C43E1E">
        <w:t xml:space="preserve">. </w:t>
      </w:r>
      <w:r w:rsidR="00A84CF1">
        <w:t>Compiling regional and sectoral a</w:t>
      </w:r>
      <w:r w:rsidRPr="00C43E1E">
        <w:t>gricultural labor</w:t>
      </w:r>
      <w:r w:rsidR="00A84CF1">
        <w:t xml:space="preserve"> input</w:t>
      </w:r>
      <w:r w:rsidRPr="00C43E1E">
        <w:t xml:space="preserve"> data</w:t>
      </w:r>
      <w:bookmarkEnd w:id="30"/>
      <w:r w:rsidRPr="00C43E1E">
        <w:t xml:space="preserve"> </w:t>
      </w:r>
    </w:p>
    <w:p w14:paraId="7F164B28" w14:textId="351D04CF" w:rsidR="00325D48" w:rsidRPr="00C43E1E" w:rsidRDefault="00325D48" w:rsidP="00932BD5">
      <w:pPr>
        <w:spacing w:line="276" w:lineRule="auto"/>
        <w:rPr>
          <w:rFonts w:ascii="Arial" w:hAnsi="Arial" w:cs="Arial"/>
        </w:rPr>
      </w:pPr>
      <w:r w:rsidRPr="00C43E1E">
        <w:rPr>
          <w:rFonts w:ascii="Arial" w:hAnsi="Arial" w:cs="Arial"/>
        </w:rPr>
        <w:t xml:space="preserve">We use multiple data sources to compile annual labor and capital stock data by regions and sectors </w:t>
      </w:r>
      <w:r w:rsidRPr="00C43E1E">
        <w:rPr>
          <w:rFonts w:ascii="Arial" w:hAnsi="Arial" w:cs="Arial"/>
          <w:color w:val="000000" w:themeColor="text1"/>
        </w:rPr>
        <w:t xml:space="preserve">(see data processing details </w:t>
      </w:r>
      <w:r w:rsidRPr="00932BD5">
        <w:rPr>
          <w:rFonts w:ascii="Arial" w:hAnsi="Arial" w:cs="Arial"/>
          <w:color w:val="000000" w:themeColor="text1"/>
        </w:rPr>
        <w:t>in</w:t>
      </w:r>
      <w:r w:rsidR="00932BD5" w:rsidRPr="00932BD5">
        <w:rPr>
          <w:rFonts w:ascii="Arial" w:hAnsi="Arial" w:cs="Arial"/>
          <w:color w:val="000000" w:themeColor="text1"/>
        </w:rPr>
        <w:t xml:space="preserve"> </w:t>
      </w:r>
      <w:r w:rsidR="00932BD5" w:rsidRPr="00932BD5">
        <w:rPr>
          <w:rFonts w:ascii="Arial" w:hAnsi="Arial" w:cs="Arial"/>
          <w:b/>
          <w:bCs/>
          <w:color w:val="000000" w:themeColor="text1"/>
        </w:rPr>
        <w:fldChar w:fldCharType="begin"/>
      </w:r>
      <w:r w:rsidR="00932BD5" w:rsidRPr="00932BD5">
        <w:rPr>
          <w:rFonts w:ascii="Arial" w:hAnsi="Arial" w:cs="Arial"/>
          <w:b/>
          <w:bCs/>
          <w:color w:val="000000" w:themeColor="text1"/>
        </w:rPr>
        <w:instrText xml:space="preserve"> REF _Ref161660967 \h  \* MERGEFORMAT </w:instrText>
      </w:r>
      <w:r w:rsidR="00932BD5" w:rsidRPr="00932BD5">
        <w:rPr>
          <w:rFonts w:ascii="Arial" w:hAnsi="Arial" w:cs="Arial"/>
          <w:b/>
          <w:bCs/>
          <w:color w:val="000000" w:themeColor="text1"/>
        </w:rPr>
      </w:r>
      <w:r w:rsidR="00932BD5" w:rsidRPr="00932BD5">
        <w:rPr>
          <w:rFonts w:ascii="Arial" w:hAnsi="Arial" w:cs="Arial"/>
          <w:b/>
          <w:bCs/>
          <w:color w:val="000000" w:themeColor="text1"/>
        </w:rPr>
        <w:fldChar w:fldCharType="separate"/>
      </w:r>
      <w:r w:rsidR="009141B0" w:rsidRPr="009141B0">
        <w:rPr>
          <w:rFonts w:ascii="Arial" w:hAnsi="Arial" w:cs="Arial"/>
          <w:b/>
          <w:bCs/>
        </w:rPr>
        <w:t>Fig. S4</w:t>
      </w:r>
      <w:r w:rsidR="00932BD5" w:rsidRPr="00932BD5">
        <w:rPr>
          <w:rFonts w:ascii="Arial" w:hAnsi="Arial" w:cs="Arial"/>
          <w:b/>
          <w:bCs/>
          <w:color w:val="000000" w:themeColor="text1"/>
        </w:rPr>
        <w:fldChar w:fldCharType="end"/>
      </w:r>
      <w:r w:rsidRPr="00932BD5">
        <w:rPr>
          <w:rFonts w:ascii="Arial" w:hAnsi="Arial" w:cs="Arial"/>
          <w:color w:val="000000" w:themeColor="text1"/>
        </w:rPr>
        <w:t>),</w:t>
      </w:r>
      <w:r w:rsidRPr="00C43E1E">
        <w:rPr>
          <w:rFonts w:ascii="Arial" w:hAnsi="Arial" w:cs="Arial"/>
        </w:rPr>
        <w:t xml:space="preserve"> which is then applied </w:t>
      </w:r>
      <w:r w:rsidR="00C055B5">
        <w:rPr>
          <w:rFonts w:ascii="Arial" w:hAnsi="Arial" w:cs="Arial"/>
        </w:rPr>
        <w:t>to GCAM</w:t>
      </w:r>
      <w:r w:rsidRPr="00C43E1E">
        <w:rPr>
          <w:rFonts w:ascii="Arial" w:hAnsi="Arial" w:cs="Arial"/>
        </w:rPr>
        <w:t xml:space="preserve"> to represent labor market evolution. </w:t>
      </w:r>
      <w:r w:rsidR="00932BD5">
        <w:rPr>
          <w:rFonts w:ascii="Arial" w:hAnsi="Arial" w:cs="Arial"/>
        </w:rPr>
        <w:t xml:space="preserve">The </w:t>
      </w:r>
      <w:r w:rsidRPr="00C43E1E">
        <w:rPr>
          <w:rFonts w:ascii="Arial" w:hAnsi="Arial" w:cs="Arial"/>
        </w:rPr>
        <w:t>U.S. department of Agriculture (USDA)</w:t>
      </w:r>
      <w:r w:rsidRPr="00C43E1E">
        <w:rPr>
          <w:rFonts w:ascii="Arial" w:hAnsi="Arial" w:cs="Arial"/>
        </w:rPr>
        <w:fldChar w:fldCharType="begin"/>
      </w:r>
      <w:r w:rsidR="00E805A4">
        <w:rPr>
          <w:rFonts w:ascii="Arial" w:hAnsi="Arial" w:cs="Arial"/>
        </w:rPr>
        <w:instrText xml:space="preserve"> ADDIN ZOTERO_ITEM CSL_CITATION {"citationID":"aAyKRPp6","properties":{"formattedCitation":"\\super 36\\nosupersub{}","plainCitation":"36","noteIndex":0},"citationItems":[{"id":"SV7kDkUs/8j1DbZj9","uris":["http://zotero.org/users/9896081/items/NICZXZX2"],"itemData":{"id":2585,"type":"dataset","title":"TFP indices and components for countries, regions, countries grouped by income level, and the world, 1961–2020","URL":"https://www.ers.usda.gov/data-products/international-agricultural-productivity/","author":[{"family":"USDA","given":""}],"issued":{"date-parts":[["2022"]]}},"label":"page","suppress-author":true}],"schema":"https://github.com/citation-style-language/schema/raw/master/csl-citation.json"} </w:instrText>
      </w:r>
      <w:r w:rsidRPr="00C43E1E">
        <w:rPr>
          <w:rFonts w:ascii="Arial" w:hAnsi="Arial" w:cs="Arial"/>
        </w:rPr>
        <w:fldChar w:fldCharType="separate"/>
      </w:r>
      <w:r w:rsidR="00794F95" w:rsidRPr="00794F95">
        <w:rPr>
          <w:rFonts w:ascii="Arial" w:hAnsi="Arial" w:cs="Arial"/>
          <w:szCs w:val="24"/>
          <w:vertAlign w:val="superscript"/>
        </w:rPr>
        <w:t>36</w:t>
      </w:r>
      <w:r w:rsidRPr="00C43E1E">
        <w:rPr>
          <w:rFonts w:ascii="Arial" w:hAnsi="Arial" w:cs="Arial"/>
        </w:rPr>
        <w:fldChar w:fldCharType="end"/>
      </w:r>
      <w:r w:rsidR="00932BD5">
        <w:rPr>
          <w:rFonts w:ascii="Arial" w:hAnsi="Arial" w:cs="Arial"/>
        </w:rPr>
        <w:t xml:space="preserve"> compiles</w:t>
      </w:r>
      <w:r w:rsidRPr="00C43E1E">
        <w:rPr>
          <w:rFonts w:ascii="Arial" w:hAnsi="Arial" w:cs="Arial"/>
        </w:rPr>
        <w:t xml:space="preserve"> country-level labor in agricultural activities</w:t>
      </w:r>
      <w:r w:rsidR="00932BD5">
        <w:rPr>
          <w:rFonts w:ascii="Arial" w:hAnsi="Arial" w:cs="Arial"/>
        </w:rPr>
        <w:t xml:space="preserve"> (</w:t>
      </w:r>
      <w:r w:rsidRPr="00C43E1E">
        <w:rPr>
          <w:rFonts w:ascii="Arial" w:hAnsi="Arial" w:cs="Arial"/>
        </w:rPr>
        <w:t>aggregating crops, livestock, fishery, and forestry</w:t>
      </w:r>
      <w:r w:rsidR="00932BD5">
        <w:rPr>
          <w:rFonts w:ascii="Arial" w:hAnsi="Arial" w:cs="Arial"/>
        </w:rPr>
        <w:t xml:space="preserve">), </w:t>
      </w:r>
      <w:r w:rsidR="00932BD5" w:rsidRPr="00C43E1E">
        <w:rPr>
          <w:rFonts w:ascii="Arial" w:hAnsi="Arial" w:cs="Arial"/>
        </w:rPr>
        <w:t>based on International Labor Organization (ILO)</w:t>
      </w:r>
      <w:r w:rsidR="00932BD5" w:rsidRPr="00C43E1E">
        <w:rPr>
          <w:rFonts w:ascii="Arial" w:hAnsi="Arial" w:cs="Arial"/>
        </w:rPr>
        <w:fldChar w:fldCharType="begin"/>
      </w:r>
      <w:r w:rsidR="00E805A4">
        <w:rPr>
          <w:rFonts w:ascii="Arial" w:hAnsi="Arial" w:cs="Arial"/>
        </w:rPr>
        <w:instrText xml:space="preserve"> ADDIN ZOTERO_ITEM CSL_CITATION {"citationID":"Ws7UiZut","properties":{"formattedCitation":"\\super 37\\nosupersub{}","plainCitation":"37","noteIndex":0},"citationItems":[{"id":"SV7kDkUs/R4D0Oo1v","uris":["http://zotero.org/users/9896081/items/S6W4MG2B"],"itemData":{"id":2327,"type":"dataset","title":"ILOSTAT","URL":"https://ilostat.ilo.org/","author":[{"family":"ILO","given":""}],"issued":{"date-parts":[["2022"]]}}}],"schema":"https://github.com/citation-style-language/schema/raw/master/csl-citation.json"} </w:instrText>
      </w:r>
      <w:r w:rsidR="00932BD5" w:rsidRPr="00C43E1E">
        <w:rPr>
          <w:rFonts w:ascii="Arial" w:hAnsi="Arial" w:cs="Arial"/>
        </w:rPr>
        <w:fldChar w:fldCharType="separate"/>
      </w:r>
      <w:r w:rsidR="00794F95" w:rsidRPr="00794F95">
        <w:rPr>
          <w:rFonts w:ascii="Arial" w:hAnsi="Arial" w:cs="Arial"/>
          <w:szCs w:val="24"/>
          <w:vertAlign w:val="superscript"/>
        </w:rPr>
        <w:t>37</w:t>
      </w:r>
      <w:r w:rsidR="00932BD5" w:rsidRPr="00C43E1E">
        <w:rPr>
          <w:rFonts w:ascii="Arial" w:hAnsi="Arial" w:cs="Arial"/>
        </w:rPr>
        <w:fldChar w:fldCharType="end"/>
      </w:r>
      <w:r w:rsidR="00932BD5" w:rsidRPr="00C43E1E">
        <w:rPr>
          <w:rFonts w:ascii="Arial" w:hAnsi="Arial" w:cs="Arial"/>
        </w:rPr>
        <w:t xml:space="preserve"> and </w:t>
      </w:r>
      <w:r w:rsidR="00932BD5">
        <w:rPr>
          <w:rFonts w:ascii="Arial" w:hAnsi="Arial" w:cs="Arial"/>
        </w:rPr>
        <w:t xml:space="preserve">other </w:t>
      </w:r>
      <w:r w:rsidR="00932BD5" w:rsidRPr="00C43E1E">
        <w:rPr>
          <w:rFonts w:ascii="Arial" w:hAnsi="Arial" w:cs="Arial"/>
        </w:rPr>
        <w:t>country-specific data sources</w:t>
      </w:r>
      <w:r w:rsidRPr="00C43E1E">
        <w:rPr>
          <w:rFonts w:ascii="Arial" w:hAnsi="Arial" w:cs="Arial"/>
        </w:rPr>
        <w:t xml:space="preserve">. </w:t>
      </w:r>
      <w:r w:rsidR="00932BD5">
        <w:rPr>
          <w:rFonts w:ascii="Arial" w:hAnsi="Arial" w:cs="Arial"/>
        </w:rPr>
        <w:t xml:space="preserve">The </w:t>
      </w:r>
      <w:r w:rsidRPr="00C43E1E">
        <w:rPr>
          <w:rFonts w:ascii="Arial" w:hAnsi="Arial" w:cs="Arial"/>
        </w:rPr>
        <w:t xml:space="preserve">ILO has scattered survey data on country-level labor by agricultural economic activities, classified as agriculture (crop and livestock), fishery, and forestry, individually. </w:t>
      </w:r>
    </w:p>
    <w:p w14:paraId="154E4AED" w14:textId="72353EE4" w:rsidR="00325D48" w:rsidRPr="00932BD5" w:rsidRDefault="00325D48" w:rsidP="00932BD5">
      <w:pPr>
        <w:spacing w:line="276" w:lineRule="auto"/>
        <w:rPr>
          <w:rFonts w:ascii="Arial" w:hAnsi="Arial" w:cs="Arial"/>
        </w:rPr>
      </w:pPr>
      <w:r w:rsidRPr="00932BD5">
        <w:rPr>
          <w:rFonts w:ascii="Arial" w:hAnsi="Arial" w:cs="Arial"/>
        </w:rPr>
        <w:t>We first map ILO countries to GCAM regions and calculate the GCAM regional average ILO labor share by agricultural activities (</w:t>
      </w:r>
      <w:r w:rsidR="001F3622" w:rsidRPr="00932BD5">
        <w:rPr>
          <w:rFonts w:ascii="Arial" w:hAnsi="Arial" w:cs="Arial"/>
        </w:rPr>
        <w:t xml:space="preserve">primary </w:t>
      </w:r>
      <w:r w:rsidRPr="00932BD5">
        <w:rPr>
          <w:rFonts w:ascii="Arial" w:hAnsi="Arial" w:cs="Arial"/>
        </w:rPr>
        <w:t xml:space="preserve">agriculture, forestry, and fishery), where shares of </w:t>
      </w:r>
      <w:r w:rsidR="002E2A29" w:rsidRPr="00932BD5">
        <w:rPr>
          <w:rFonts w:ascii="Arial" w:hAnsi="Arial" w:cs="Arial"/>
        </w:rPr>
        <w:t xml:space="preserve">primary </w:t>
      </w:r>
      <w:r w:rsidRPr="00932BD5">
        <w:rPr>
          <w:rFonts w:ascii="Arial" w:hAnsi="Arial" w:cs="Arial"/>
        </w:rPr>
        <w:t>agriculture, fishery, and forestry sum to 1 for each GCAM region. To obtain more country-level information from ILO while utilize more recent data</w:t>
      </w:r>
      <w:r w:rsidR="002E2A29" w:rsidRPr="00932BD5">
        <w:rPr>
          <w:rFonts w:ascii="Arial" w:hAnsi="Arial" w:cs="Arial"/>
        </w:rPr>
        <w:t xml:space="preserve"> for the GCAM base-year data calculation</w:t>
      </w:r>
      <w:r w:rsidRPr="00932BD5">
        <w:rPr>
          <w:rFonts w:ascii="Arial" w:hAnsi="Arial" w:cs="Arial"/>
        </w:rPr>
        <w:t>, we include ILO country-level labor data starting from 2010 in the calculation. For GCAM regions that have no ILO country-level input starting from 2010, we use Global Trade Analysis Project (GTAP)</w:t>
      </w:r>
      <w:r w:rsidRPr="00932BD5">
        <w:rPr>
          <w:rFonts w:ascii="Arial" w:hAnsi="Arial" w:cs="Arial"/>
        </w:rPr>
        <w:fldChar w:fldCharType="begin"/>
      </w:r>
      <w:r w:rsidR="00E805A4">
        <w:rPr>
          <w:rFonts w:ascii="Arial" w:hAnsi="Arial" w:cs="Arial"/>
        </w:rPr>
        <w:instrText xml:space="preserve"> ADDIN ZOTERO_ITEM CSL_CITATION {"citationID":"KEc8O9N0","properties":{"formattedCitation":"\\super 38\\nosupersub{}","plainCitation":"38","noteIndex":0},"citationItems":[{"id":"SV7kDkUs/zJxFKAkU","uris":["http://zotero.org/users/9896081/items/PEJYJZB8"],"itemData":{"id":971,"type":"article-journal","abstract":"This paper highlights the numerous improvements to the Global Trade, Assistance, and Production (GTAP) Data Base, version 10 (also referred to as GTAP 10). The Data Base describes the world economy for 4 reference years (2004, 2007, 2011, and 2014) and distinguishes 65 sectors, up from 57 in the previous release, in each of the 141 countries/regions. The 121 countries in the Data Base account for 98% of world GDP and 92% of world population. For each country/region, the Data Base reports production, intermediate and final uses, international trade and transport margins, and taxes/subsidies. This Data Base underlies most, if not all, applied global general equilibrium models. We use the time series GTAP 10 Data Base to examine the evolution of carbon dioxide emissions embodied in bilateral merchandise and services trade over the 2004-2014 period.","container-title":"Journal of Global Economic Analysis","DOI":"10.21642/JGEA.040101AF","ISSN":"2377-2999","issue":"1","language":"en","license":"Copyright (c) 2019 Angel Aguiar, Maksym Chepeliev, Erwin Corong, Robert McDougall, Dominique van der Mensbrugghe","note":"number: 1","page":"1-27","source":"www.jgea.org","title":"The GTAP Data Base: Version 10","title-short":"The GTAP Data Base","volume":"4","author":[{"family":"Aguiar","given":"Angel"},{"family":"Chepeliev","given":"Maksym"},{"family":"Corong","given":"Erwin L."},{"family":"McDougall","given":"Robert"},{"family":"Mensbrugghe","given":"Dominique","dropping-particle":"van der"}],"issued":{"date-parts":[["2019",6,26]]}}}],"schema":"https://github.com/citation-style-language/schema/raw/master/csl-citation.json"} </w:instrText>
      </w:r>
      <w:r w:rsidRPr="00932BD5">
        <w:rPr>
          <w:rFonts w:ascii="Arial" w:hAnsi="Arial" w:cs="Arial"/>
        </w:rPr>
        <w:fldChar w:fldCharType="separate"/>
      </w:r>
      <w:r w:rsidR="00794F95" w:rsidRPr="00794F95">
        <w:rPr>
          <w:rFonts w:ascii="Arial" w:hAnsi="Arial" w:cs="Arial"/>
          <w:szCs w:val="24"/>
          <w:vertAlign w:val="superscript"/>
        </w:rPr>
        <w:t>38</w:t>
      </w:r>
      <w:r w:rsidRPr="00932BD5">
        <w:rPr>
          <w:rFonts w:ascii="Arial" w:hAnsi="Arial" w:cs="Arial"/>
        </w:rPr>
        <w:fldChar w:fldCharType="end"/>
      </w:r>
      <w:r w:rsidRPr="00932BD5">
        <w:rPr>
          <w:rFonts w:ascii="Arial" w:hAnsi="Arial" w:cs="Arial"/>
        </w:rPr>
        <w:t xml:space="preserve"> commodity-level labor expenditure data to approximate employment share across primary agriculture, fishery, and forestry. Employment shares by activities are then multiplied by USDA total agricultural labor and aggregated to GCAM regional labor by </w:t>
      </w:r>
      <w:r w:rsidR="00CE6CBD" w:rsidRPr="00932BD5">
        <w:rPr>
          <w:rFonts w:ascii="Arial" w:hAnsi="Arial" w:cs="Arial"/>
        </w:rPr>
        <w:t xml:space="preserve">primary </w:t>
      </w:r>
      <w:r w:rsidRPr="00932BD5">
        <w:rPr>
          <w:rFonts w:ascii="Arial" w:hAnsi="Arial" w:cs="Arial"/>
        </w:rPr>
        <w:t xml:space="preserve">agriculture, forestry, and fishery. GTAP capital expenditure data are used to approximate capital stock share across </w:t>
      </w:r>
      <w:r w:rsidR="00CE6CBD" w:rsidRPr="00932BD5">
        <w:rPr>
          <w:rFonts w:ascii="Arial" w:hAnsi="Arial" w:cs="Arial"/>
        </w:rPr>
        <w:t xml:space="preserve">primary </w:t>
      </w:r>
      <w:r w:rsidRPr="00932BD5">
        <w:rPr>
          <w:rFonts w:ascii="Arial" w:hAnsi="Arial" w:cs="Arial"/>
        </w:rPr>
        <w:t xml:space="preserve">agriculture, forestry and fishery, and then combined with USDA agricultural capital data to calculate the GCAM regional capital stock across primary agriculture, forestry and fishery. By using factor expenditure share to approximate factor input share across sectors, we assume factor prices are the same across all agricultural sectors within a region. We exclude the fishery labor and capital stock in this study as GCAM currently does not model fishery production explicitly. </w:t>
      </w:r>
    </w:p>
    <w:p w14:paraId="779D1047" w14:textId="6FCB62BD" w:rsidR="00325D48" w:rsidRPr="00932BD5" w:rsidRDefault="00325D48" w:rsidP="00932BD5">
      <w:pPr>
        <w:spacing w:line="276" w:lineRule="auto"/>
        <w:rPr>
          <w:rFonts w:ascii="Arial" w:hAnsi="Arial" w:cs="Arial"/>
        </w:rPr>
      </w:pPr>
      <w:r w:rsidRPr="00932BD5">
        <w:rPr>
          <w:rFonts w:ascii="Arial" w:hAnsi="Arial" w:cs="Arial"/>
        </w:rPr>
        <w:t xml:space="preserve">Next, we further downscale labor in primary agriculture (crop and livestock) to GCAM sectors. Labor cost share from GTAP </w:t>
      </w:r>
      <w:r w:rsidR="00BE338C" w:rsidRPr="00932BD5">
        <w:rPr>
          <w:rFonts w:ascii="Arial" w:hAnsi="Arial" w:cs="Arial"/>
        </w:rPr>
        <w:t>(</w:t>
      </w:r>
      <w:r w:rsidR="0050572C" w:rsidRPr="00932BD5">
        <w:rPr>
          <w:rFonts w:ascii="Arial" w:hAnsi="Arial" w:cs="Arial"/>
        </w:rPr>
        <w:t>commodities</w:t>
      </w:r>
      <w:r w:rsidR="00BE338C" w:rsidRPr="00932BD5">
        <w:rPr>
          <w:rFonts w:ascii="Arial" w:hAnsi="Arial" w:cs="Arial"/>
        </w:rPr>
        <w:t xml:space="preserve"> mapping see</w:t>
      </w:r>
      <w:r w:rsidR="00D87141" w:rsidRPr="00932BD5">
        <w:rPr>
          <w:rFonts w:ascii="Arial" w:hAnsi="Arial" w:cs="Arial"/>
        </w:rPr>
        <w:t xml:space="preserve"> </w:t>
      </w:r>
      <w:r w:rsidR="00D87141" w:rsidRPr="00932BD5">
        <w:rPr>
          <w:rFonts w:ascii="Arial" w:hAnsi="Arial" w:cs="Arial"/>
          <w:b/>
          <w:bCs/>
        </w:rPr>
        <w:fldChar w:fldCharType="begin"/>
      </w:r>
      <w:r w:rsidR="00D87141" w:rsidRPr="00932BD5">
        <w:rPr>
          <w:rFonts w:ascii="Arial" w:hAnsi="Arial" w:cs="Arial"/>
          <w:b/>
          <w:bCs/>
        </w:rPr>
        <w:instrText xml:space="preserve"> REF _Ref161660630 \h  \* MERGEFORMAT </w:instrText>
      </w:r>
      <w:r w:rsidR="00D87141" w:rsidRPr="00932BD5">
        <w:rPr>
          <w:rFonts w:ascii="Arial" w:hAnsi="Arial" w:cs="Arial"/>
          <w:b/>
          <w:bCs/>
        </w:rPr>
      </w:r>
      <w:r w:rsidR="00D87141" w:rsidRPr="00932BD5">
        <w:rPr>
          <w:rFonts w:ascii="Arial" w:hAnsi="Arial" w:cs="Arial"/>
          <w:b/>
          <w:bCs/>
        </w:rPr>
        <w:fldChar w:fldCharType="separate"/>
      </w:r>
      <w:r w:rsidR="009141B0" w:rsidRPr="009141B0">
        <w:rPr>
          <w:rFonts w:ascii="Arial" w:hAnsi="Arial" w:cs="Arial"/>
          <w:b/>
          <w:bCs/>
        </w:rPr>
        <w:t>Table S5</w:t>
      </w:r>
      <w:r w:rsidR="00D87141" w:rsidRPr="00932BD5">
        <w:rPr>
          <w:rFonts w:ascii="Arial" w:hAnsi="Arial" w:cs="Arial"/>
          <w:b/>
          <w:bCs/>
        </w:rPr>
        <w:fldChar w:fldCharType="end"/>
      </w:r>
      <w:r w:rsidR="00BE338C" w:rsidRPr="00932BD5">
        <w:rPr>
          <w:rFonts w:ascii="Arial" w:hAnsi="Arial" w:cs="Arial"/>
        </w:rPr>
        <w:t xml:space="preserve">) </w:t>
      </w:r>
      <w:r w:rsidRPr="00932BD5">
        <w:rPr>
          <w:rFonts w:ascii="Arial" w:hAnsi="Arial" w:cs="Arial"/>
        </w:rPr>
        <w:t xml:space="preserve">and </w:t>
      </w:r>
      <w:r w:rsidR="00BC608F" w:rsidRPr="00932BD5">
        <w:rPr>
          <w:rFonts w:ascii="Arial" w:hAnsi="Arial" w:cs="Arial"/>
        </w:rPr>
        <w:t>agriculture commodity</w:t>
      </w:r>
      <w:r w:rsidRPr="00932BD5">
        <w:rPr>
          <w:rFonts w:ascii="Arial" w:hAnsi="Arial" w:cs="Arial"/>
        </w:rPr>
        <w:t xml:space="preserve"> price</w:t>
      </w:r>
      <w:r w:rsidR="00C00AAA" w:rsidRPr="00932BD5">
        <w:rPr>
          <w:rFonts w:ascii="Arial" w:hAnsi="Arial" w:cs="Arial"/>
        </w:rPr>
        <w:t>s</w:t>
      </w:r>
      <w:r w:rsidRPr="00932BD5">
        <w:rPr>
          <w:rFonts w:ascii="Arial" w:hAnsi="Arial" w:cs="Arial"/>
        </w:rPr>
        <w:t xml:space="preserve"> from FAOSTAT</w:t>
      </w:r>
      <w:r w:rsidRPr="00932BD5">
        <w:rPr>
          <w:rFonts w:ascii="Arial" w:hAnsi="Arial" w:cs="Arial"/>
        </w:rPr>
        <w:fldChar w:fldCharType="begin"/>
      </w:r>
      <w:r w:rsidR="00E805A4">
        <w:rPr>
          <w:rFonts w:ascii="Arial" w:hAnsi="Arial" w:cs="Arial"/>
        </w:rPr>
        <w:instrText xml:space="preserve"> ADDIN ZOTERO_ITEM CSL_CITATION {"citationID":"ndkyLNbM","properties":{"formattedCitation":"\\super 39\\nosupersub{}","plainCitation":"39","noteIndex":0},"citationItems":[{"id":"SV7kDkUs/xgvb6DlK","uris":["http://zotero.org/users/9896081/items/98W2CLWI"],"itemData":{"id":3298,"type":"article-journal","language":"en","source":"Zotero","title":"THE NEW FAO GLOBAL DATABASE ON AGRICULTURE INVESTMENT AND CAPITAL STOCK","author":[{"family":"Donckt","given":"Vander"}]}}],"schema":"https://github.com/citation-style-language/schema/raw/master/csl-citation.json"} </w:instrText>
      </w:r>
      <w:r w:rsidRPr="00932BD5">
        <w:rPr>
          <w:rFonts w:ascii="Arial" w:hAnsi="Arial" w:cs="Arial"/>
        </w:rPr>
        <w:fldChar w:fldCharType="separate"/>
      </w:r>
      <w:r w:rsidR="00794F95" w:rsidRPr="00794F95">
        <w:rPr>
          <w:rFonts w:ascii="Arial" w:hAnsi="Arial" w:cs="Arial"/>
          <w:szCs w:val="24"/>
          <w:vertAlign w:val="superscript"/>
        </w:rPr>
        <w:t>39</w:t>
      </w:r>
      <w:r w:rsidRPr="00932BD5">
        <w:rPr>
          <w:rFonts w:ascii="Arial" w:hAnsi="Arial" w:cs="Arial"/>
        </w:rPr>
        <w:fldChar w:fldCharType="end"/>
      </w:r>
      <w:r w:rsidRPr="00932BD5">
        <w:rPr>
          <w:rFonts w:ascii="Arial" w:hAnsi="Arial" w:cs="Arial"/>
        </w:rPr>
        <w:t xml:space="preserve"> are used to calculate the labor cost per unit</w:t>
      </w:r>
      <w:r w:rsidR="00C00AAA" w:rsidRPr="00932BD5">
        <w:rPr>
          <w:rFonts w:ascii="Arial" w:hAnsi="Arial" w:cs="Arial"/>
        </w:rPr>
        <w:t xml:space="preserve"> of agriculture </w:t>
      </w:r>
      <w:r w:rsidR="00823342" w:rsidRPr="00932BD5">
        <w:rPr>
          <w:rFonts w:ascii="Arial" w:hAnsi="Arial" w:cs="Arial"/>
        </w:rPr>
        <w:t xml:space="preserve">commodity </w:t>
      </w:r>
      <w:r w:rsidR="00C00AAA" w:rsidRPr="00932BD5">
        <w:rPr>
          <w:rFonts w:ascii="Arial" w:hAnsi="Arial" w:cs="Arial"/>
        </w:rPr>
        <w:t>output</w:t>
      </w:r>
      <w:r w:rsidRPr="00932BD5">
        <w:rPr>
          <w:rFonts w:ascii="Arial" w:hAnsi="Arial" w:cs="Arial"/>
        </w:rPr>
        <w:t>. Then we multiply labor cost per unit with FAO production level to obtain regional labor expenditure in crop and livestock sectors in the base year. We assume labor prices are the same across all agricultural sectors within a region</w:t>
      </w:r>
      <w:r w:rsidRPr="00932BD5">
        <w:rPr>
          <w:rFonts w:ascii="Arial" w:hAnsi="Arial" w:cs="Arial"/>
          <w:color w:val="000000" w:themeColor="text1"/>
        </w:rPr>
        <w:t>.</w:t>
      </w:r>
      <w:r w:rsidRPr="00932BD5">
        <w:rPr>
          <w:rFonts w:ascii="Arial" w:hAnsi="Arial" w:cs="Arial"/>
        </w:rPr>
        <w:t xml:space="preserve"> </w:t>
      </w:r>
      <w:r w:rsidR="00932BD5" w:rsidRPr="00932BD5">
        <w:rPr>
          <w:rFonts w:ascii="Arial" w:hAnsi="Arial" w:cs="Arial"/>
          <w:b/>
          <w:bCs/>
        </w:rPr>
        <w:fldChar w:fldCharType="begin"/>
      </w:r>
      <w:r w:rsidR="00932BD5" w:rsidRPr="00932BD5">
        <w:rPr>
          <w:rFonts w:ascii="Arial" w:hAnsi="Arial" w:cs="Arial"/>
          <w:b/>
          <w:bCs/>
        </w:rPr>
        <w:instrText xml:space="preserve"> REF _Ref162472748 \h  \* MERGEFORMAT </w:instrText>
      </w:r>
      <w:r w:rsidR="00932BD5" w:rsidRPr="00932BD5">
        <w:rPr>
          <w:rFonts w:ascii="Arial" w:hAnsi="Arial" w:cs="Arial"/>
          <w:b/>
          <w:bCs/>
        </w:rPr>
      </w:r>
      <w:r w:rsidR="00932BD5" w:rsidRPr="00932BD5">
        <w:rPr>
          <w:rFonts w:ascii="Arial" w:hAnsi="Arial" w:cs="Arial"/>
          <w:b/>
          <w:bCs/>
        </w:rPr>
        <w:fldChar w:fldCharType="separate"/>
      </w:r>
      <w:r w:rsidR="009141B0" w:rsidRPr="009141B0">
        <w:rPr>
          <w:rFonts w:ascii="Arial" w:hAnsi="Arial" w:cs="Arial"/>
          <w:b/>
          <w:bCs/>
        </w:rPr>
        <w:t>Fig. S5</w:t>
      </w:r>
      <w:r w:rsidR="00932BD5" w:rsidRPr="00932BD5">
        <w:rPr>
          <w:rFonts w:ascii="Arial" w:hAnsi="Arial" w:cs="Arial"/>
          <w:b/>
          <w:bCs/>
        </w:rPr>
        <w:fldChar w:fldCharType="end"/>
      </w:r>
      <w:r w:rsidR="00932BD5" w:rsidRPr="00932BD5">
        <w:rPr>
          <w:rFonts w:ascii="Arial" w:hAnsi="Arial" w:cs="Arial"/>
        </w:rPr>
        <w:t xml:space="preserve"> </w:t>
      </w:r>
      <w:r w:rsidRPr="00932BD5">
        <w:rPr>
          <w:rFonts w:ascii="Arial" w:hAnsi="Arial" w:cs="Arial"/>
        </w:rPr>
        <w:t xml:space="preserve">summarizes the labor data downscaled for GCAM base-year </w:t>
      </w:r>
      <w:r w:rsidR="00FA3624" w:rsidRPr="00932BD5">
        <w:rPr>
          <w:rFonts w:ascii="Arial" w:hAnsi="Arial" w:cs="Arial"/>
        </w:rPr>
        <w:t>(2015)</w:t>
      </w:r>
      <w:r w:rsidR="00286D1F" w:rsidRPr="00932BD5">
        <w:rPr>
          <w:rFonts w:ascii="Arial" w:hAnsi="Arial" w:cs="Arial"/>
        </w:rPr>
        <w:t xml:space="preserve"> </w:t>
      </w:r>
      <w:r w:rsidRPr="00932BD5">
        <w:rPr>
          <w:rFonts w:ascii="Arial" w:hAnsi="Arial" w:cs="Arial"/>
        </w:rPr>
        <w:t xml:space="preserve">across IPCC R10 regions. </w:t>
      </w:r>
      <w:r w:rsidR="007D5C56" w:rsidRPr="00932BD5">
        <w:rPr>
          <w:rFonts w:ascii="Arial" w:hAnsi="Arial" w:cs="Arial"/>
        </w:rPr>
        <w:t>CHINA+</w:t>
      </w:r>
      <w:r w:rsidRPr="00932BD5">
        <w:rPr>
          <w:rFonts w:ascii="Arial" w:hAnsi="Arial" w:cs="Arial"/>
        </w:rPr>
        <w:t xml:space="preserve">, </w:t>
      </w:r>
      <w:r w:rsidR="007D5C56" w:rsidRPr="00932BD5">
        <w:rPr>
          <w:rFonts w:ascii="Arial" w:hAnsi="Arial" w:cs="Arial"/>
        </w:rPr>
        <w:t>INDIA+</w:t>
      </w:r>
      <w:r w:rsidRPr="00932BD5">
        <w:rPr>
          <w:rFonts w:ascii="Arial" w:hAnsi="Arial" w:cs="Arial"/>
        </w:rPr>
        <w:t xml:space="preserve">, and AFRICA together account for over 70% of global agricultural labor (fishery is not included). </w:t>
      </w:r>
      <w:r w:rsidR="0009020C" w:rsidRPr="00932BD5">
        <w:rPr>
          <w:rFonts w:ascii="Arial" w:hAnsi="Arial" w:cs="Arial"/>
        </w:rPr>
        <w:t xml:space="preserve">In </w:t>
      </w:r>
      <w:r w:rsidR="00D471E3" w:rsidRPr="00932BD5">
        <w:rPr>
          <w:rFonts w:ascii="Arial" w:hAnsi="Arial" w:cs="Arial"/>
        </w:rPr>
        <w:t>2015</w:t>
      </w:r>
      <w:r w:rsidR="0009020C" w:rsidRPr="00932BD5">
        <w:rPr>
          <w:rFonts w:ascii="Arial" w:hAnsi="Arial" w:cs="Arial"/>
        </w:rPr>
        <w:t>, t</w:t>
      </w:r>
      <w:r w:rsidRPr="00932BD5">
        <w:rPr>
          <w:rFonts w:ascii="Arial" w:hAnsi="Arial" w:cs="Arial"/>
        </w:rPr>
        <w:t>he majority of agricultural labor works in crop production</w:t>
      </w:r>
      <w:r w:rsidR="0009020C" w:rsidRPr="00932BD5">
        <w:rPr>
          <w:rFonts w:ascii="Arial" w:hAnsi="Arial" w:cs="Arial"/>
        </w:rPr>
        <w:t>, l</w:t>
      </w:r>
      <w:r w:rsidRPr="00932BD5">
        <w:rPr>
          <w:rFonts w:ascii="Arial" w:hAnsi="Arial" w:cs="Arial"/>
        </w:rPr>
        <w:t>ivestock and forestry sector</w:t>
      </w:r>
      <w:r w:rsidR="0009020C" w:rsidRPr="00932BD5">
        <w:rPr>
          <w:rFonts w:ascii="Arial" w:hAnsi="Arial" w:cs="Arial"/>
        </w:rPr>
        <w:t>s</w:t>
      </w:r>
      <w:r w:rsidRPr="00932BD5">
        <w:rPr>
          <w:rFonts w:ascii="Arial" w:hAnsi="Arial" w:cs="Arial"/>
        </w:rPr>
        <w:t xml:space="preserve"> absorb for 6% and 3% of the global agricultural labor. </w:t>
      </w:r>
    </w:p>
    <w:p w14:paraId="33441B89" w14:textId="77777777" w:rsidR="00FB08E5" w:rsidRDefault="00325D48" w:rsidP="00932BD5">
      <w:pPr>
        <w:spacing w:line="276" w:lineRule="auto"/>
        <w:rPr>
          <w:rFonts w:ascii="Arial" w:hAnsi="Arial" w:cs="Arial"/>
        </w:rPr>
      </w:pPr>
      <w:r w:rsidRPr="00932BD5">
        <w:rPr>
          <w:rFonts w:ascii="Arial" w:hAnsi="Arial" w:cs="Arial"/>
        </w:rPr>
        <w:t xml:space="preserve">Downscaled agricultural labor input by region and sector is then combined with agricultural output data to derive the labor </w:t>
      </w:r>
      <w:r w:rsidR="00517588" w:rsidRPr="00932BD5">
        <w:rPr>
          <w:rFonts w:ascii="Arial" w:hAnsi="Arial" w:cs="Arial"/>
        </w:rPr>
        <w:t>yield</w:t>
      </w:r>
      <w:r w:rsidRPr="00932BD5">
        <w:rPr>
          <w:rFonts w:ascii="Arial" w:hAnsi="Arial" w:cs="Arial"/>
        </w:rPr>
        <w:t xml:space="preserve">. Capital </w:t>
      </w:r>
      <w:r w:rsidR="00096A58" w:rsidRPr="00932BD5">
        <w:rPr>
          <w:rFonts w:ascii="Arial" w:hAnsi="Arial" w:cs="Arial"/>
        </w:rPr>
        <w:t>yield</w:t>
      </w:r>
      <w:r w:rsidRPr="00932BD5">
        <w:rPr>
          <w:rFonts w:ascii="Arial" w:hAnsi="Arial" w:cs="Arial"/>
        </w:rPr>
        <w:t xml:space="preserve"> in GCAM base year is derived in the same way, while capital </w:t>
      </w:r>
      <w:r w:rsidR="008F61BC" w:rsidRPr="00932BD5">
        <w:rPr>
          <w:rFonts w:ascii="Arial" w:hAnsi="Arial" w:cs="Arial"/>
        </w:rPr>
        <w:t xml:space="preserve">yield </w:t>
      </w:r>
      <w:r w:rsidRPr="00932BD5">
        <w:rPr>
          <w:rFonts w:ascii="Arial" w:hAnsi="Arial" w:cs="Arial"/>
        </w:rPr>
        <w:t xml:space="preserve">and price of capital are kept constant in future periods, which means constant capital cost per unit of output over time. Labor expenditure and the labor input data are further used to derive wage rate and to calibrate </w:t>
      </w:r>
      <w:r w:rsidR="00932BD5">
        <w:rPr>
          <w:rFonts w:ascii="Arial" w:hAnsi="Arial" w:cs="Arial"/>
        </w:rPr>
        <w:t>parameters needed</w:t>
      </w:r>
      <w:r w:rsidRPr="00932BD5">
        <w:rPr>
          <w:rFonts w:ascii="Arial" w:eastAsiaTheme="minorEastAsia" w:hAnsi="Arial" w:cs="Arial"/>
        </w:rPr>
        <w:t xml:space="preserve"> in</w:t>
      </w:r>
      <w:r w:rsidR="00932BD5">
        <w:rPr>
          <w:rFonts w:ascii="Arial" w:eastAsiaTheme="minorEastAsia" w:hAnsi="Arial" w:cs="Arial"/>
        </w:rPr>
        <w:t xml:space="preserve"> our</w:t>
      </w:r>
      <w:r w:rsidRPr="00932BD5">
        <w:rPr>
          <w:rFonts w:ascii="Arial" w:eastAsiaTheme="minorEastAsia" w:hAnsi="Arial" w:cs="Arial"/>
        </w:rPr>
        <w:t xml:space="preserve"> labor supply function</w:t>
      </w:r>
      <w:r w:rsidRPr="00932BD5">
        <w:rPr>
          <w:rFonts w:ascii="Arial" w:hAnsi="Arial" w:cs="Arial"/>
        </w:rPr>
        <w:t>.</w:t>
      </w:r>
    </w:p>
    <w:p w14:paraId="6A5A1D1D" w14:textId="3E5B7233" w:rsidR="00231ED6" w:rsidRPr="00231ED6" w:rsidRDefault="00231ED6" w:rsidP="00231ED6">
      <w:pPr>
        <w:spacing w:line="276" w:lineRule="auto"/>
        <w:jc w:val="both"/>
        <w:rPr>
          <w:rFonts w:ascii="Arial" w:hAnsi="Arial" w:cs="Arial"/>
        </w:rPr>
      </w:pPr>
      <w:r>
        <w:rPr>
          <w:rFonts w:ascii="Arial" w:hAnsi="Arial" w:cs="Arial"/>
        </w:rPr>
        <w:t xml:space="preserve">In addition, </w:t>
      </w:r>
      <w:r w:rsidR="001563BD">
        <w:rPr>
          <w:rFonts w:ascii="Arial" w:hAnsi="Arial" w:cs="Arial"/>
        </w:rPr>
        <w:t>t</w:t>
      </w:r>
      <w:r w:rsidRPr="00231ED6">
        <w:rPr>
          <w:rFonts w:ascii="Arial" w:hAnsi="Arial" w:cs="Arial"/>
        </w:rPr>
        <w:t>o build alternative labor market evolution scenarios for sensitivity tests, we implement different exogenous labor productivity growth assumptions and agricultural labor transition assumptions using rural population trends</w:t>
      </w:r>
      <w:r w:rsidR="001563BD">
        <w:rPr>
          <w:rFonts w:ascii="Arial" w:hAnsi="Arial" w:cs="Arial"/>
        </w:rPr>
        <w:t xml:space="preserve">, as presented in </w:t>
      </w:r>
      <w:r w:rsidR="001563BD" w:rsidRPr="001563BD">
        <w:rPr>
          <w:rFonts w:ascii="Arial" w:hAnsi="Arial" w:cs="Arial"/>
          <w:b/>
          <w:bCs/>
        </w:rPr>
        <w:fldChar w:fldCharType="begin"/>
      </w:r>
      <w:r w:rsidR="001563BD" w:rsidRPr="001563BD">
        <w:rPr>
          <w:rFonts w:ascii="Arial" w:hAnsi="Arial" w:cs="Arial"/>
          <w:b/>
          <w:bCs/>
        </w:rPr>
        <w:instrText xml:space="preserve"> REF _Ref162475181 \h  \* MERGEFORMAT </w:instrText>
      </w:r>
      <w:r w:rsidR="001563BD" w:rsidRPr="001563BD">
        <w:rPr>
          <w:rFonts w:ascii="Arial" w:hAnsi="Arial" w:cs="Arial"/>
          <w:b/>
          <w:bCs/>
        </w:rPr>
      </w:r>
      <w:r w:rsidR="001563BD" w:rsidRPr="001563BD">
        <w:rPr>
          <w:rFonts w:ascii="Arial" w:hAnsi="Arial" w:cs="Arial"/>
          <w:b/>
          <w:bCs/>
        </w:rPr>
        <w:fldChar w:fldCharType="separate"/>
      </w:r>
      <w:r w:rsidR="009141B0" w:rsidRPr="009141B0">
        <w:rPr>
          <w:rFonts w:ascii="Arial" w:hAnsi="Arial" w:cs="Arial"/>
          <w:b/>
          <w:bCs/>
        </w:rPr>
        <w:t>Fig. S6</w:t>
      </w:r>
      <w:r w:rsidR="001563BD" w:rsidRPr="001563BD">
        <w:rPr>
          <w:rFonts w:ascii="Arial" w:hAnsi="Arial" w:cs="Arial"/>
          <w:b/>
          <w:bCs/>
        </w:rPr>
        <w:fldChar w:fldCharType="end"/>
      </w:r>
      <w:r w:rsidR="001563BD">
        <w:rPr>
          <w:rFonts w:ascii="Arial" w:hAnsi="Arial" w:cs="Arial"/>
        </w:rPr>
        <w:t xml:space="preserve"> and </w:t>
      </w:r>
      <w:r w:rsidRPr="001563BD">
        <w:rPr>
          <w:rFonts w:ascii="Arial" w:hAnsi="Arial" w:cs="Arial"/>
          <w:b/>
          <w:bCs/>
        </w:rPr>
        <w:fldChar w:fldCharType="begin"/>
      </w:r>
      <w:r w:rsidRPr="001563BD">
        <w:rPr>
          <w:rFonts w:ascii="Arial" w:hAnsi="Arial" w:cs="Arial"/>
          <w:b/>
          <w:bCs/>
        </w:rPr>
        <w:instrText xml:space="preserve"> REF _Ref162475190 \h  \* MERGEFORMAT </w:instrText>
      </w:r>
      <w:r w:rsidRPr="001563BD">
        <w:rPr>
          <w:rFonts w:ascii="Arial" w:hAnsi="Arial" w:cs="Arial"/>
          <w:b/>
          <w:bCs/>
        </w:rPr>
      </w:r>
      <w:r w:rsidRPr="001563BD">
        <w:rPr>
          <w:rFonts w:ascii="Arial" w:hAnsi="Arial" w:cs="Arial"/>
          <w:b/>
          <w:bCs/>
        </w:rPr>
        <w:fldChar w:fldCharType="separate"/>
      </w:r>
      <w:r w:rsidR="009141B0" w:rsidRPr="009141B0">
        <w:rPr>
          <w:rFonts w:ascii="Arial" w:hAnsi="Arial" w:cs="Arial"/>
          <w:b/>
          <w:bCs/>
        </w:rPr>
        <w:t>Fig. S7</w:t>
      </w:r>
      <w:r w:rsidRPr="001563BD">
        <w:rPr>
          <w:rFonts w:ascii="Arial" w:hAnsi="Arial" w:cs="Arial"/>
          <w:b/>
          <w:bCs/>
        </w:rPr>
        <w:fldChar w:fldCharType="end"/>
      </w:r>
      <w:r w:rsidR="001563BD">
        <w:rPr>
          <w:rFonts w:ascii="Arial" w:hAnsi="Arial" w:cs="Arial"/>
        </w:rPr>
        <w:t>, respectively</w:t>
      </w:r>
      <w:r w:rsidRPr="00231ED6">
        <w:rPr>
          <w:rFonts w:ascii="Arial" w:hAnsi="Arial" w:cs="Arial"/>
        </w:rPr>
        <w:t>.</w:t>
      </w:r>
    </w:p>
    <w:p w14:paraId="08F03305" w14:textId="1E1BBE4C" w:rsidR="00932BD5" w:rsidRDefault="00932BD5" w:rsidP="00932BD5">
      <w:pPr>
        <w:spacing w:line="276" w:lineRule="auto"/>
        <w:rPr>
          <w:rFonts w:ascii="Arial" w:hAnsi="Arial" w:cs="Arial"/>
        </w:rPr>
      </w:pPr>
    </w:p>
    <w:p w14:paraId="5493E932" w14:textId="77777777" w:rsidR="00932BD5" w:rsidRDefault="00932BD5" w:rsidP="00932BD5">
      <w:pPr>
        <w:spacing w:line="276" w:lineRule="auto"/>
        <w:rPr>
          <w:rFonts w:ascii="Arial" w:hAnsi="Arial" w:cs="Arial"/>
        </w:rPr>
      </w:pPr>
    </w:p>
    <w:p w14:paraId="4965F7C3" w14:textId="77777777" w:rsidR="00932BD5" w:rsidRDefault="00932BD5" w:rsidP="00932BD5">
      <w:pPr>
        <w:spacing w:line="276" w:lineRule="auto"/>
        <w:jc w:val="center"/>
        <w:rPr>
          <w:rFonts w:ascii="Arial" w:hAnsi="Arial" w:cs="Arial"/>
        </w:rPr>
      </w:pPr>
      <w:r>
        <w:rPr>
          <w:rFonts w:ascii="Arial" w:hAnsi="Arial" w:cs="Arial"/>
          <w:noProof/>
        </w:rPr>
        <w:lastRenderedPageBreak/>
        <w:drawing>
          <wp:inline distT="0" distB="0" distL="0" distR="0" wp14:anchorId="5E3A02DC" wp14:editId="728C8DEE">
            <wp:extent cx="6400800" cy="5053362"/>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400800" cy="5053362"/>
                    </a:xfrm>
                    <a:prstGeom prst="rect">
                      <a:avLst/>
                    </a:prstGeom>
                    <a:noFill/>
                  </pic:spPr>
                </pic:pic>
              </a:graphicData>
            </a:graphic>
          </wp:inline>
        </w:drawing>
      </w:r>
    </w:p>
    <w:p w14:paraId="67DEC117" w14:textId="04A9A7CC" w:rsidR="00932BD5" w:rsidRPr="007C5734" w:rsidRDefault="00932BD5" w:rsidP="00932BD5">
      <w:pPr>
        <w:pStyle w:val="Caption"/>
        <w:jc w:val="both"/>
        <w:rPr>
          <w:vanish/>
          <w:sz w:val="22"/>
          <w:szCs w:val="22"/>
          <w:specVanish/>
        </w:rPr>
      </w:pPr>
      <w:bookmarkStart w:id="31" w:name="_Ref161660967"/>
      <w:bookmarkStart w:id="32" w:name="_Toc162998115"/>
      <w:r w:rsidRPr="007C5734">
        <w:rPr>
          <w:sz w:val="22"/>
          <w:szCs w:val="22"/>
        </w:rPr>
        <w:t>Fig. S</w:t>
      </w:r>
      <w:r w:rsidRPr="007C5734">
        <w:rPr>
          <w:sz w:val="22"/>
          <w:szCs w:val="22"/>
        </w:rPr>
        <w:fldChar w:fldCharType="begin"/>
      </w:r>
      <w:r w:rsidRPr="007C5734">
        <w:rPr>
          <w:sz w:val="22"/>
          <w:szCs w:val="22"/>
        </w:rPr>
        <w:instrText xml:space="preserve"> SEQ Fig._S \* ARABIC </w:instrText>
      </w:r>
      <w:r w:rsidRPr="007C5734">
        <w:rPr>
          <w:sz w:val="22"/>
          <w:szCs w:val="22"/>
        </w:rPr>
        <w:fldChar w:fldCharType="separate"/>
      </w:r>
      <w:r w:rsidR="009141B0">
        <w:rPr>
          <w:noProof/>
          <w:sz w:val="22"/>
          <w:szCs w:val="22"/>
        </w:rPr>
        <w:t>4</w:t>
      </w:r>
      <w:r w:rsidRPr="007C5734">
        <w:rPr>
          <w:noProof/>
          <w:sz w:val="22"/>
          <w:szCs w:val="22"/>
        </w:rPr>
        <w:fldChar w:fldCharType="end"/>
      </w:r>
      <w:bookmarkEnd w:id="31"/>
      <w:r w:rsidRPr="007C5734">
        <w:rPr>
          <w:noProof/>
          <w:sz w:val="22"/>
          <w:szCs w:val="22"/>
        </w:rPr>
        <w:t xml:space="preserve"> |</w:t>
      </w:r>
      <w:r w:rsidRPr="007C5734">
        <w:rPr>
          <w:sz w:val="22"/>
          <w:szCs w:val="22"/>
        </w:rPr>
        <w:t xml:space="preserve"> Schematic of agricultural labor data processing flow.</w:t>
      </w:r>
      <w:bookmarkEnd w:id="32"/>
      <w:r w:rsidRPr="007C5734">
        <w:rPr>
          <w:sz w:val="22"/>
          <w:szCs w:val="22"/>
        </w:rPr>
        <w:t xml:space="preserve"> </w:t>
      </w:r>
    </w:p>
    <w:p w14:paraId="67A2739C" w14:textId="3B3FB673" w:rsidR="00932BD5" w:rsidRPr="001D20C3" w:rsidRDefault="00932BD5" w:rsidP="00932BD5">
      <w:pPr>
        <w:spacing w:line="276" w:lineRule="auto"/>
        <w:jc w:val="both"/>
        <w:rPr>
          <w:rFonts w:ascii="Arial" w:eastAsiaTheme="minorEastAsia" w:hAnsi="Arial" w:cs="Arial"/>
          <w:bCs/>
        </w:rPr>
      </w:pPr>
      <w:r w:rsidRPr="007C5734">
        <w:rPr>
          <w:rFonts w:ascii="Arial" w:hAnsi="Arial" w:cs="Arial"/>
        </w:rPr>
        <w:t xml:space="preserve"> The input data sources include the International Agricultural Productivity dataset from the United States Department of Agriculture (USDA), the Global Trade Analysis Project (GTAP) v10 Database, and the United Nations Food and Agriculture Organization (FAO) Statistical Database. The commodity </w:t>
      </w:r>
      <w:r w:rsidRPr="001D20C3">
        <w:rPr>
          <w:rFonts w:ascii="Arial" w:hAnsi="Arial" w:cs="Arial"/>
        </w:rPr>
        <w:t>mappings are provided in</w:t>
      </w:r>
      <w:r w:rsidR="00E4019D" w:rsidRPr="001D20C3">
        <w:rPr>
          <w:rFonts w:ascii="Arial" w:hAnsi="Arial" w:cs="Arial"/>
        </w:rPr>
        <w:t xml:space="preserve"> </w:t>
      </w:r>
      <w:r w:rsidR="001D20C3" w:rsidRPr="001D20C3">
        <w:rPr>
          <w:rFonts w:ascii="Arial" w:hAnsi="Arial" w:cs="Arial"/>
          <w:b/>
          <w:bCs/>
        </w:rPr>
        <w:fldChar w:fldCharType="begin"/>
      </w:r>
      <w:r w:rsidR="001D20C3" w:rsidRPr="001D20C3">
        <w:rPr>
          <w:rFonts w:ascii="Arial" w:hAnsi="Arial" w:cs="Arial"/>
          <w:b/>
          <w:bCs/>
        </w:rPr>
        <w:instrText xml:space="preserve"> REF _Ref162476437 \h  \* MERGEFORMAT </w:instrText>
      </w:r>
      <w:r w:rsidR="001D20C3" w:rsidRPr="001D20C3">
        <w:rPr>
          <w:rFonts w:ascii="Arial" w:hAnsi="Arial" w:cs="Arial"/>
          <w:b/>
          <w:bCs/>
        </w:rPr>
      </w:r>
      <w:r w:rsidR="001D20C3" w:rsidRPr="001D20C3">
        <w:rPr>
          <w:rFonts w:ascii="Arial" w:hAnsi="Arial" w:cs="Arial"/>
          <w:b/>
          <w:bCs/>
        </w:rPr>
        <w:fldChar w:fldCharType="separate"/>
      </w:r>
      <w:r w:rsidR="009141B0" w:rsidRPr="009141B0">
        <w:rPr>
          <w:rFonts w:ascii="Arial" w:eastAsiaTheme="minorEastAsia" w:hAnsi="Arial" w:cs="Arial"/>
          <w:b/>
          <w:bCs/>
        </w:rPr>
        <w:t>Table S3</w:t>
      </w:r>
      <w:r w:rsidR="001D20C3" w:rsidRPr="001D20C3">
        <w:rPr>
          <w:rFonts w:ascii="Arial" w:hAnsi="Arial" w:cs="Arial"/>
          <w:b/>
          <w:bCs/>
        </w:rPr>
        <w:fldChar w:fldCharType="end"/>
      </w:r>
      <w:r w:rsidRPr="001D20C3">
        <w:rPr>
          <w:rFonts w:ascii="Arial" w:hAnsi="Arial" w:cs="Arial"/>
        </w:rPr>
        <w:t xml:space="preserve"> </w:t>
      </w:r>
      <w:r w:rsidR="00E4019D" w:rsidRPr="001D20C3">
        <w:rPr>
          <w:rFonts w:ascii="Arial" w:hAnsi="Arial" w:cs="Arial"/>
        </w:rPr>
        <w:t>a</w:t>
      </w:r>
      <w:r w:rsidRPr="001D20C3">
        <w:rPr>
          <w:rFonts w:ascii="Arial" w:hAnsi="Arial" w:cs="Arial"/>
        </w:rPr>
        <w:t xml:space="preserve">nd </w:t>
      </w:r>
      <w:r w:rsidRPr="001D20C3">
        <w:rPr>
          <w:rFonts w:ascii="Arial" w:hAnsi="Arial" w:cs="Arial"/>
          <w:b/>
          <w:bCs/>
        </w:rPr>
        <w:fldChar w:fldCharType="begin"/>
      </w:r>
      <w:r w:rsidRPr="001D20C3">
        <w:rPr>
          <w:rFonts w:ascii="Arial" w:hAnsi="Arial" w:cs="Arial"/>
          <w:b/>
          <w:bCs/>
        </w:rPr>
        <w:instrText xml:space="preserve"> REF _Ref161660630 \h  \* MERGEFORMAT </w:instrText>
      </w:r>
      <w:r w:rsidRPr="001D20C3">
        <w:rPr>
          <w:rFonts w:ascii="Arial" w:hAnsi="Arial" w:cs="Arial"/>
          <w:b/>
          <w:bCs/>
        </w:rPr>
      </w:r>
      <w:r w:rsidRPr="001D20C3">
        <w:rPr>
          <w:rFonts w:ascii="Arial" w:hAnsi="Arial" w:cs="Arial"/>
          <w:b/>
          <w:bCs/>
        </w:rPr>
        <w:fldChar w:fldCharType="separate"/>
      </w:r>
      <w:r w:rsidR="009141B0" w:rsidRPr="009141B0">
        <w:rPr>
          <w:rFonts w:ascii="Arial" w:hAnsi="Arial" w:cs="Arial"/>
          <w:b/>
          <w:bCs/>
        </w:rPr>
        <w:t>Table S5</w:t>
      </w:r>
      <w:r w:rsidRPr="001D20C3">
        <w:rPr>
          <w:rFonts w:ascii="Arial" w:hAnsi="Arial" w:cs="Arial"/>
          <w:b/>
          <w:bCs/>
        </w:rPr>
        <w:fldChar w:fldCharType="end"/>
      </w:r>
      <w:r w:rsidRPr="001D20C3">
        <w:rPr>
          <w:rFonts w:ascii="Arial" w:hAnsi="Arial" w:cs="Arial"/>
        </w:rPr>
        <w:t>.</w:t>
      </w:r>
    </w:p>
    <w:p w14:paraId="723ED22E" w14:textId="5DB4B452" w:rsidR="00932BD5" w:rsidRPr="00932BD5" w:rsidRDefault="00932BD5" w:rsidP="00932BD5">
      <w:pPr>
        <w:spacing w:line="276" w:lineRule="auto"/>
        <w:rPr>
          <w:rFonts w:ascii="Arial" w:hAnsi="Arial" w:cs="Arial"/>
        </w:rPr>
        <w:sectPr w:rsidR="00932BD5" w:rsidRPr="00932BD5" w:rsidSect="00572106">
          <w:headerReference w:type="default" r:id="rId17"/>
          <w:footerReference w:type="default" r:id="rId18"/>
          <w:pgSz w:w="12240" w:h="15840"/>
          <w:pgMar w:top="1152" w:right="720" w:bottom="720" w:left="720" w:header="720" w:footer="720" w:gutter="0"/>
          <w:cols w:space="720"/>
          <w:docGrid w:linePitch="360"/>
        </w:sectPr>
      </w:pPr>
    </w:p>
    <w:p w14:paraId="54092365" w14:textId="76A58B00" w:rsidR="00FB08E5" w:rsidRPr="007C5734" w:rsidRDefault="00FB08E5" w:rsidP="00FB08E5">
      <w:pPr>
        <w:pStyle w:val="Caption"/>
        <w:jc w:val="both"/>
        <w:rPr>
          <w:rFonts w:eastAsiaTheme="minorEastAsia" w:cs="Arial"/>
          <w:bCs/>
          <w:vanish/>
          <w:sz w:val="22"/>
          <w:szCs w:val="22"/>
        </w:rPr>
      </w:pPr>
      <w:bookmarkStart w:id="33" w:name="_Ref161660630"/>
      <w:bookmarkStart w:id="34" w:name="_Toc162998109"/>
      <w:r w:rsidRPr="007C5734">
        <w:rPr>
          <w:rFonts w:eastAsiaTheme="minorEastAsia" w:cs="Arial"/>
          <w:bCs/>
          <w:sz w:val="22"/>
          <w:szCs w:val="22"/>
        </w:rPr>
        <w:lastRenderedPageBreak/>
        <w:t>Table S</w:t>
      </w:r>
      <w:r w:rsidRPr="007C5734">
        <w:rPr>
          <w:rFonts w:eastAsiaTheme="minorEastAsia" w:cs="Arial"/>
          <w:bCs/>
          <w:sz w:val="22"/>
          <w:szCs w:val="22"/>
        </w:rPr>
        <w:fldChar w:fldCharType="begin"/>
      </w:r>
      <w:r w:rsidRPr="007C5734">
        <w:rPr>
          <w:rFonts w:eastAsiaTheme="minorEastAsia" w:cs="Arial"/>
          <w:bCs/>
          <w:sz w:val="22"/>
          <w:szCs w:val="22"/>
        </w:rPr>
        <w:instrText xml:space="preserve"> SEQ Table \* ARABIC </w:instrText>
      </w:r>
      <w:r w:rsidRPr="007C5734">
        <w:rPr>
          <w:rFonts w:eastAsiaTheme="minorEastAsia" w:cs="Arial"/>
          <w:bCs/>
          <w:sz w:val="22"/>
          <w:szCs w:val="22"/>
        </w:rPr>
        <w:fldChar w:fldCharType="separate"/>
      </w:r>
      <w:r w:rsidR="009141B0">
        <w:rPr>
          <w:rFonts w:eastAsiaTheme="minorEastAsia" w:cs="Arial"/>
          <w:bCs/>
          <w:noProof/>
          <w:sz w:val="22"/>
          <w:szCs w:val="22"/>
        </w:rPr>
        <w:t>5</w:t>
      </w:r>
      <w:r w:rsidRPr="007C5734">
        <w:rPr>
          <w:rFonts w:eastAsiaTheme="minorEastAsia" w:cs="Arial"/>
          <w:bCs/>
          <w:sz w:val="22"/>
          <w:szCs w:val="22"/>
        </w:rPr>
        <w:fldChar w:fldCharType="end"/>
      </w:r>
      <w:bookmarkEnd w:id="33"/>
      <w:r w:rsidRPr="007C5734">
        <w:rPr>
          <w:rFonts w:eastAsiaTheme="minorEastAsia" w:cs="Arial"/>
          <w:bCs/>
          <w:sz w:val="22"/>
          <w:szCs w:val="22"/>
        </w:rPr>
        <w:t xml:space="preserve"> | Agricultural commodity mapping between GCAM commodity and GTAP.</w:t>
      </w:r>
      <w:bookmarkEnd w:id="34"/>
      <w:r w:rsidRPr="007C5734">
        <w:rPr>
          <w:rFonts w:eastAsiaTheme="minorEastAsia" w:cs="Arial"/>
          <w:bCs/>
          <w:sz w:val="22"/>
          <w:szCs w:val="22"/>
        </w:rPr>
        <w:t xml:space="preserve"> </w:t>
      </w:r>
    </w:p>
    <w:tbl>
      <w:tblPr>
        <w:tblW w:w="5000" w:type="pct"/>
        <w:tblLook w:val="04A0" w:firstRow="1" w:lastRow="0" w:firstColumn="1" w:lastColumn="0" w:noHBand="0" w:noVBand="1"/>
      </w:tblPr>
      <w:tblGrid>
        <w:gridCol w:w="3763"/>
        <w:gridCol w:w="1894"/>
        <w:gridCol w:w="5143"/>
      </w:tblGrid>
      <w:tr w:rsidR="00FB08E5" w:rsidRPr="00CD30E8" w14:paraId="59344CB4" w14:textId="77777777" w:rsidTr="007D6F3C">
        <w:trPr>
          <w:trHeight w:val="331"/>
        </w:trPr>
        <w:tc>
          <w:tcPr>
            <w:tcW w:w="1742" w:type="pct"/>
            <w:tcBorders>
              <w:top w:val="single" w:sz="4" w:space="0" w:color="auto"/>
              <w:left w:val="nil"/>
              <w:bottom w:val="single" w:sz="4" w:space="0" w:color="auto"/>
              <w:right w:val="nil"/>
            </w:tcBorders>
            <w:shd w:val="clear" w:color="auto" w:fill="auto"/>
            <w:noWrap/>
            <w:vAlign w:val="center"/>
            <w:hideMark/>
          </w:tcPr>
          <w:p w14:paraId="7D9FAD62" w14:textId="77777777" w:rsidR="00FB08E5" w:rsidRPr="00CD30E8" w:rsidRDefault="00FB08E5" w:rsidP="007D6F3C">
            <w:pPr>
              <w:spacing w:after="0" w:line="240" w:lineRule="auto"/>
              <w:jc w:val="center"/>
              <w:rPr>
                <w:rFonts w:ascii="Arial" w:eastAsia="Times New Roman" w:hAnsi="Arial" w:cs="Arial"/>
                <w:color w:val="000000"/>
                <w:sz w:val="20"/>
                <w:szCs w:val="20"/>
              </w:rPr>
            </w:pPr>
            <w:r w:rsidRPr="00CD30E8">
              <w:rPr>
                <w:rFonts w:ascii="Arial" w:eastAsia="Times New Roman" w:hAnsi="Arial" w:cs="Arial"/>
                <w:color w:val="000000"/>
                <w:sz w:val="20"/>
                <w:szCs w:val="20"/>
              </w:rPr>
              <w:t>GCAM commodity</w:t>
            </w:r>
          </w:p>
        </w:tc>
        <w:tc>
          <w:tcPr>
            <w:tcW w:w="877" w:type="pct"/>
            <w:tcBorders>
              <w:top w:val="single" w:sz="4" w:space="0" w:color="auto"/>
              <w:left w:val="nil"/>
              <w:bottom w:val="single" w:sz="4" w:space="0" w:color="auto"/>
              <w:right w:val="nil"/>
            </w:tcBorders>
            <w:shd w:val="clear" w:color="auto" w:fill="auto"/>
            <w:noWrap/>
            <w:vAlign w:val="center"/>
            <w:hideMark/>
          </w:tcPr>
          <w:p w14:paraId="71CB84AE" w14:textId="77777777" w:rsidR="00FB08E5" w:rsidRPr="00CD30E8" w:rsidRDefault="00FB08E5" w:rsidP="007D6F3C">
            <w:pPr>
              <w:spacing w:after="0" w:line="240" w:lineRule="auto"/>
              <w:jc w:val="center"/>
              <w:rPr>
                <w:rFonts w:ascii="Arial" w:eastAsia="Times New Roman" w:hAnsi="Arial" w:cs="Arial"/>
                <w:color w:val="000000"/>
                <w:sz w:val="20"/>
                <w:szCs w:val="20"/>
              </w:rPr>
            </w:pPr>
            <w:r w:rsidRPr="00CD30E8">
              <w:rPr>
                <w:rFonts w:ascii="Arial" w:eastAsia="Times New Roman" w:hAnsi="Arial" w:cs="Arial"/>
                <w:color w:val="000000"/>
                <w:sz w:val="20"/>
                <w:szCs w:val="20"/>
              </w:rPr>
              <w:t>GTAP sector</w:t>
            </w:r>
          </w:p>
        </w:tc>
        <w:tc>
          <w:tcPr>
            <w:tcW w:w="2381" w:type="pct"/>
            <w:tcBorders>
              <w:top w:val="single" w:sz="4" w:space="0" w:color="auto"/>
              <w:left w:val="nil"/>
              <w:bottom w:val="single" w:sz="4" w:space="0" w:color="auto"/>
              <w:right w:val="nil"/>
            </w:tcBorders>
            <w:shd w:val="clear" w:color="auto" w:fill="auto"/>
            <w:noWrap/>
            <w:vAlign w:val="center"/>
            <w:hideMark/>
          </w:tcPr>
          <w:p w14:paraId="27ADFF9F" w14:textId="77777777" w:rsidR="00FB08E5" w:rsidRPr="00CD30E8" w:rsidRDefault="00FB08E5" w:rsidP="007D6F3C">
            <w:pPr>
              <w:spacing w:after="0" w:line="240" w:lineRule="auto"/>
              <w:jc w:val="center"/>
              <w:rPr>
                <w:rFonts w:ascii="Arial" w:eastAsia="Times New Roman" w:hAnsi="Arial" w:cs="Arial"/>
                <w:color w:val="000000"/>
                <w:sz w:val="20"/>
                <w:szCs w:val="20"/>
              </w:rPr>
            </w:pPr>
            <w:r w:rsidRPr="00CD30E8">
              <w:rPr>
                <w:rFonts w:ascii="Arial" w:eastAsia="Times New Roman" w:hAnsi="Arial" w:cs="Arial"/>
                <w:color w:val="000000"/>
                <w:sz w:val="20"/>
                <w:szCs w:val="20"/>
              </w:rPr>
              <w:t>GTAP sector description</w:t>
            </w:r>
          </w:p>
        </w:tc>
      </w:tr>
      <w:tr w:rsidR="00FB08E5" w:rsidRPr="00CD30E8" w14:paraId="780C533C" w14:textId="77777777" w:rsidTr="007D6F3C">
        <w:trPr>
          <w:trHeight w:val="331"/>
        </w:trPr>
        <w:tc>
          <w:tcPr>
            <w:tcW w:w="1742" w:type="pct"/>
            <w:tcBorders>
              <w:top w:val="nil"/>
              <w:left w:val="nil"/>
              <w:bottom w:val="nil"/>
              <w:right w:val="nil"/>
            </w:tcBorders>
            <w:shd w:val="clear" w:color="auto" w:fill="F2F2F2" w:themeFill="background1" w:themeFillShade="F2"/>
            <w:noWrap/>
            <w:vAlign w:val="center"/>
            <w:hideMark/>
          </w:tcPr>
          <w:p w14:paraId="466F7C58"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Corn</w:t>
            </w:r>
          </w:p>
        </w:tc>
        <w:tc>
          <w:tcPr>
            <w:tcW w:w="877" w:type="pct"/>
            <w:tcBorders>
              <w:top w:val="nil"/>
              <w:left w:val="nil"/>
              <w:bottom w:val="nil"/>
              <w:right w:val="nil"/>
            </w:tcBorders>
            <w:shd w:val="clear" w:color="auto" w:fill="F2F2F2" w:themeFill="background1" w:themeFillShade="F2"/>
            <w:noWrap/>
            <w:vAlign w:val="center"/>
            <w:hideMark/>
          </w:tcPr>
          <w:p w14:paraId="3E020579"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gro</w:t>
            </w:r>
            <w:proofErr w:type="spellEnd"/>
          </w:p>
        </w:tc>
        <w:tc>
          <w:tcPr>
            <w:tcW w:w="2381" w:type="pct"/>
            <w:tcBorders>
              <w:top w:val="nil"/>
              <w:left w:val="nil"/>
              <w:bottom w:val="nil"/>
              <w:right w:val="nil"/>
            </w:tcBorders>
            <w:shd w:val="clear" w:color="auto" w:fill="F2F2F2" w:themeFill="background1" w:themeFillShade="F2"/>
            <w:noWrap/>
            <w:vAlign w:val="center"/>
            <w:hideMark/>
          </w:tcPr>
          <w:p w14:paraId="6E98D410"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 xml:space="preserve">Cereal grains </w:t>
            </w:r>
          </w:p>
        </w:tc>
      </w:tr>
      <w:tr w:rsidR="00FB08E5" w:rsidRPr="00CD30E8" w14:paraId="56317208" w14:textId="77777777" w:rsidTr="007D6F3C">
        <w:trPr>
          <w:trHeight w:val="331"/>
        </w:trPr>
        <w:tc>
          <w:tcPr>
            <w:tcW w:w="1742" w:type="pct"/>
            <w:tcBorders>
              <w:top w:val="nil"/>
              <w:left w:val="nil"/>
              <w:bottom w:val="nil"/>
              <w:right w:val="nil"/>
            </w:tcBorders>
            <w:shd w:val="clear" w:color="auto" w:fill="E7E6E6" w:themeFill="background2"/>
            <w:noWrap/>
            <w:vAlign w:val="center"/>
            <w:hideMark/>
          </w:tcPr>
          <w:p w14:paraId="0BE21485"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Fruits</w:t>
            </w:r>
          </w:p>
        </w:tc>
        <w:tc>
          <w:tcPr>
            <w:tcW w:w="877" w:type="pct"/>
            <w:tcBorders>
              <w:top w:val="nil"/>
              <w:left w:val="nil"/>
              <w:bottom w:val="nil"/>
              <w:right w:val="nil"/>
            </w:tcBorders>
            <w:shd w:val="clear" w:color="auto" w:fill="E7E6E6" w:themeFill="background2"/>
            <w:noWrap/>
            <w:vAlign w:val="center"/>
            <w:hideMark/>
          </w:tcPr>
          <w:p w14:paraId="7B39DF32"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v_f</w:t>
            </w:r>
            <w:proofErr w:type="spellEnd"/>
          </w:p>
        </w:tc>
        <w:tc>
          <w:tcPr>
            <w:tcW w:w="2381" w:type="pct"/>
            <w:tcBorders>
              <w:top w:val="nil"/>
              <w:left w:val="nil"/>
              <w:bottom w:val="nil"/>
              <w:right w:val="nil"/>
            </w:tcBorders>
            <w:shd w:val="clear" w:color="auto" w:fill="E7E6E6" w:themeFill="background2"/>
            <w:noWrap/>
            <w:vAlign w:val="center"/>
            <w:hideMark/>
          </w:tcPr>
          <w:p w14:paraId="763479CC"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Vegetables, fruit, nuts</w:t>
            </w:r>
          </w:p>
        </w:tc>
      </w:tr>
      <w:tr w:rsidR="00FB08E5" w:rsidRPr="00CD30E8" w14:paraId="27125A6C" w14:textId="77777777" w:rsidTr="007D6F3C">
        <w:trPr>
          <w:trHeight w:val="331"/>
        </w:trPr>
        <w:tc>
          <w:tcPr>
            <w:tcW w:w="1742" w:type="pct"/>
            <w:tcBorders>
              <w:top w:val="nil"/>
              <w:left w:val="nil"/>
              <w:bottom w:val="nil"/>
              <w:right w:val="nil"/>
            </w:tcBorders>
            <w:shd w:val="clear" w:color="auto" w:fill="F2F2F2" w:themeFill="background1" w:themeFillShade="F2"/>
            <w:noWrap/>
            <w:vAlign w:val="center"/>
            <w:hideMark/>
          </w:tcPr>
          <w:p w14:paraId="41F07E8A"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FiberCrop</w:t>
            </w:r>
            <w:proofErr w:type="spellEnd"/>
          </w:p>
        </w:tc>
        <w:tc>
          <w:tcPr>
            <w:tcW w:w="877" w:type="pct"/>
            <w:tcBorders>
              <w:top w:val="nil"/>
              <w:left w:val="nil"/>
              <w:bottom w:val="nil"/>
              <w:right w:val="nil"/>
            </w:tcBorders>
            <w:shd w:val="clear" w:color="auto" w:fill="F2F2F2" w:themeFill="background1" w:themeFillShade="F2"/>
            <w:noWrap/>
            <w:vAlign w:val="center"/>
            <w:hideMark/>
          </w:tcPr>
          <w:p w14:paraId="4233419C"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pfb</w:t>
            </w:r>
            <w:proofErr w:type="spellEnd"/>
          </w:p>
        </w:tc>
        <w:tc>
          <w:tcPr>
            <w:tcW w:w="2381" w:type="pct"/>
            <w:tcBorders>
              <w:top w:val="nil"/>
              <w:left w:val="nil"/>
              <w:bottom w:val="nil"/>
              <w:right w:val="nil"/>
            </w:tcBorders>
            <w:shd w:val="clear" w:color="auto" w:fill="F2F2F2" w:themeFill="background1" w:themeFillShade="F2"/>
            <w:noWrap/>
            <w:vAlign w:val="center"/>
            <w:hideMark/>
          </w:tcPr>
          <w:p w14:paraId="4368D078"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Plant-based fibers</w:t>
            </w:r>
          </w:p>
        </w:tc>
      </w:tr>
      <w:tr w:rsidR="00FB08E5" w:rsidRPr="00CD30E8" w14:paraId="6C2D1C13" w14:textId="77777777" w:rsidTr="007D6F3C">
        <w:trPr>
          <w:trHeight w:val="331"/>
        </w:trPr>
        <w:tc>
          <w:tcPr>
            <w:tcW w:w="1742" w:type="pct"/>
            <w:tcBorders>
              <w:top w:val="nil"/>
              <w:left w:val="nil"/>
              <w:bottom w:val="nil"/>
              <w:right w:val="nil"/>
            </w:tcBorders>
            <w:shd w:val="clear" w:color="auto" w:fill="E7E6E6" w:themeFill="background2"/>
            <w:noWrap/>
            <w:vAlign w:val="center"/>
            <w:hideMark/>
          </w:tcPr>
          <w:p w14:paraId="06239803"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FodderGrass</w:t>
            </w:r>
            <w:proofErr w:type="spellEnd"/>
          </w:p>
        </w:tc>
        <w:tc>
          <w:tcPr>
            <w:tcW w:w="877" w:type="pct"/>
            <w:tcBorders>
              <w:top w:val="nil"/>
              <w:left w:val="nil"/>
              <w:bottom w:val="nil"/>
              <w:right w:val="nil"/>
            </w:tcBorders>
            <w:shd w:val="clear" w:color="auto" w:fill="E7E6E6" w:themeFill="background2"/>
            <w:noWrap/>
            <w:vAlign w:val="center"/>
            <w:hideMark/>
          </w:tcPr>
          <w:p w14:paraId="1E8B561A"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ocr</w:t>
            </w:r>
            <w:proofErr w:type="spellEnd"/>
          </w:p>
        </w:tc>
        <w:tc>
          <w:tcPr>
            <w:tcW w:w="2381" w:type="pct"/>
            <w:tcBorders>
              <w:top w:val="nil"/>
              <w:left w:val="nil"/>
              <w:bottom w:val="nil"/>
              <w:right w:val="nil"/>
            </w:tcBorders>
            <w:shd w:val="clear" w:color="auto" w:fill="E7E6E6" w:themeFill="background2"/>
            <w:noWrap/>
            <w:vAlign w:val="center"/>
            <w:hideMark/>
          </w:tcPr>
          <w:p w14:paraId="6272E0F6"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Crops not elsewhere categorized (</w:t>
            </w:r>
            <w:proofErr w:type="spellStart"/>
            <w:r w:rsidRPr="00CD30E8">
              <w:rPr>
                <w:rFonts w:ascii="Arial" w:eastAsia="Times New Roman" w:hAnsi="Arial" w:cs="Arial"/>
                <w:color w:val="000000"/>
                <w:sz w:val="20"/>
                <w:szCs w:val="20"/>
              </w:rPr>
              <w:t>nec</w:t>
            </w:r>
            <w:proofErr w:type="spellEnd"/>
            <w:r w:rsidRPr="00CD30E8">
              <w:rPr>
                <w:rFonts w:ascii="Arial" w:eastAsia="Times New Roman" w:hAnsi="Arial" w:cs="Arial"/>
                <w:color w:val="000000"/>
                <w:sz w:val="20"/>
                <w:szCs w:val="20"/>
              </w:rPr>
              <w:t>)</w:t>
            </w:r>
          </w:p>
        </w:tc>
      </w:tr>
      <w:tr w:rsidR="00FB08E5" w:rsidRPr="00CD30E8" w14:paraId="2BB7ACD8" w14:textId="77777777" w:rsidTr="007D6F3C">
        <w:trPr>
          <w:trHeight w:val="331"/>
        </w:trPr>
        <w:tc>
          <w:tcPr>
            <w:tcW w:w="1742" w:type="pct"/>
            <w:tcBorders>
              <w:top w:val="nil"/>
              <w:left w:val="nil"/>
              <w:bottom w:val="nil"/>
              <w:right w:val="nil"/>
            </w:tcBorders>
            <w:shd w:val="clear" w:color="auto" w:fill="F2F2F2" w:themeFill="background1" w:themeFillShade="F2"/>
            <w:noWrap/>
            <w:vAlign w:val="center"/>
            <w:hideMark/>
          </w:tcPr>
          <w:p w14:paraId="199AF586"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FodderHerb</w:t>
            </w:r>
            <w:proofErr w:type="spellEnd"/>
          </w:p>
        </w:tc>
        <w:tc>
          <w:tcPr>
            <w:tcW w:w="877" w:type="pct"/>
            <w:tcBorders>
              <w:top w:val="nil"/>
              <w:left w:val="nil"/>
              <w:bottom w:val="nil"/>
              <w:right w:val="nil"/>
            </w:tcBorders>
            <w:shd w:val="clear" w:color="auto" w:fill="F2F2F2" w:themeFill="background1" w:themeFillShade="F2"/>
            <w:noWrap/>
            <w:vAlign w:val="center"/>
            <w:hideMark/>
          </w:tcPr>
          <w:p w14:paraId="68C9C974"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ocr</w:t>
            </w:r>
            <w:proofErr w:type="spellEnd"/>
          </w:p>
        </w:tc>
        <w:tc>
          <w:tcPr>
            <w:tcW w:w="2381" w:type="pct"/>
            <w:tcBorders>
              <w:top w:val="nil"/>
              <w:left w:val="nil"/>
              <w:bottom w:val="nil"/>
              <w:right w:val="nil"/>
            </w:tcBorders>
            <w:shd w:val="clear" w:color="auto" w:fill="F2F2F2" w:themeFill="background1" w:themeFillShade="F2"/>
            <w:noWrap/>
            <w:vAlign w:val="center"/>
            <w:hideMark/>
          </w:tcPr>
          <w:p w14:paraId="204254B0"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 xml:space="preserve">Crops </w:t>
            </w:r>
            <w:proofErr w:type="spellStart"/>
            <w:r w:rsidRPr="00CD30E8">
              <w:rPr>
                <w:rFonts w:ascii="Arial" w:eastAsia="Times New Roman" w:hAnsi="Arial" w:cs="Arial"/>
                <w:color w:val="000000"/>
                <w:sz w:val="20"/>
                <w:szCs w:val="20"/>
              </w:rPr>
              <w:t>nec</w:t>
            </w:r>
            <w:proofErr w:type="spellEnd"/>
          </w:p>
        </w:tc>
      </w:tr>
      <w:tr w:rsidR="00FB08E5" w:rsidRPr="00CD30E8" w14:paraId="29132DEC" w14:textId="77777777" w:rsidTr="007D6F3C">
        <w:trPr>
          <w:trHeight w:val="331"/>
        </w:trPr>
        <w:tc>
          <w:tcPr>
            <w:tcW w:w="1742" w:type="pct"/>
            <w:tcBorders>
              <w:top w:val="nil"/>
              <w:left w:val="nil"/>
              <w:bottom w:val="nil"/>
              <w:right w:val="nil"/>
            </w:tcBorders>
            <w:shd w:val="clear" w:color="auto" w:fill="E7E6E6" w:themeFill="background2"/>
            <w:noWrap/>
            <w:vAlign w:val="center"/>
            <w:hideMark/>
          </w:tcPr>
          <w:p w14:paraId="406EAA31"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Vegetables</w:t>
            </w:r>
          </w:p>
        </w:tc>
        <w:tc>
          <w:tcPr>
            <w:tcW w:w="877" w:type="pct"/>
            <w:tcBorders>
              <w:top w:val="nil"/>
              <w:left w:val="nil"/>
              <w:bottom w:val="nil"/>
              <w:right w:val="nil"/>
            </w:tcBorders>
            <w:shd w:val="clear" w:color="auto" w:fill="E7E6E6" w:themeFill="background2"/>
            <w:noWrap/>
            <w:vAlign w:val="center"/>
            <w:hideMark/>
          </w:tcPr>
          <w:p w14:paraId="7083FDD4"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v_f</w:t>
            </w:r>
            <w:proofErr w:type="spellEnd"/>
          </w:p>
        </w:tc>
        <w:tc>
          <w:tcPr>
            <w:tcW w:w="2381" w:type="pct"/>
            <w:tcBorders>
              <w:top w:val="nil"/>
              <w:left w:val="nil"/>
              <w:bottom w:val="nil"/>
              <w:right w:val="nil"/>
            </w:tcBorders>
            <w:shd w:val="clear" w:color="auto" w:fill="E7E6E6" w:themeFill="background2"/>
            <w:noWrap/>
            <w:vAlign w:val="center"/>
            <w:hideMark/>
          </w:tcPr>
          <w:p w14:paraId="12AD9AAA"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Vegetables, fruit, nuts</w:t>
            </w:r>
          </w:p>
        </w:tc>
      </w:tr>
      <w:tr w:rsidR="00FB08E5" w:rsidRPr="00CD30E8" w14:paraId="1326D702" w14:textId="77777777" w:rsidTr="007D6F3C">
        <w:trPr>
          <w:trHeight w:val="331"/>
        </w:trPr>
        <w:tc>
          <w:tcPr>
            <w:tcW w:w="1742" w:type="pct"/>
            <w:tcBorders>
              <w:top w:val="nil"/>
              <w:left w:val="nil"/>
              <w:bottom w:val="nil"/>
              <w:right w:val="nil"/>
            </w:tcBorders>
            <w:shd w:val="clear" w:color="auto" w:fill="F2F2F2" w:themeFill="background1" w:themeFillShade="F2"/>
            <w:noWrap/>
            <w:vAlign w:val="center"/>
            <w:hideMark/>
          </w:tcPr>
          <w:p w14:paraId="5FD5791F"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Legumes</w:t>
            </w:r>
          </w:p>
        </w:tc>
        <w:tc>
          <w:tcPr>
            <w:tcW w:w="877" w:type="pct"/>
            <w:tcBorders>
              <w:top w:val="nil"/>
              <w:left w:val="nil"/>
              <w:bottom w:val="nil"/>
              <w:right w:val="nil"/>
            </w:tcBorders>
            <w:shd w:val="clear" w:color="auto" w:fill="F2F2F2" w:themeFill="background1" w:themeFillShade="F2"/>
            <w:noWrap/>
            <w:vAlign w:val="center"/>
            <w:hideMark/>
          </w:tcPr>
          <w:p w14:paraId="1B94718E"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ocr</w:t>
            </w:r>
            <w:proofErr w:type="spellEnd"/>
          </w:p>
        </w:tc>
        <w:tc>
          <w:tcPr>
            <w:tcW w:w="2381" w:type="pct"/>
            <w:tcBorders>
              <w:top w:val="nil"/>
              <w:left w:val="nil"/>
              <w:bottom w:val="nil"/>
              <w:right w:val="nil"/>
            </w:tcBorders>
            <w:shd w:val="clear" w:color="auto" w:fill="F2F2F2" w:themeFill="background1" w:themeFillShade="F2"/>
            <w:noWrap/>
            <w:vAlign w:val="center"/>
            <w:hideMark/>
          </w:tcPr>
          <w:p w14:paraId="28D51F84"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 xml:space="preserve">Crops </w:t>
            </w:r>
            <w:proofErr w:type="spellStart"/>
            <w:r w:rsidRPr="00CD30E8">
              <w:rPr>
                <w:rFonts w:ascii="Arial" w:eastAsia="Times New Roman" w:hAnsi="Arial" w:cs="Arial"/>
                <w:color w:val="000000"/>
                <w:sz w:val="20"/>
                <w:szCs w:val="20"/>
              </w:rPr>
              <w:t>nec</w:t>
            </w:r>
            <w:proofErr w:type="spellEnd"/>
          </w:p>
        </w:tc>
      </w:tr>
      <w:tr w:rsidR="00FB08E5" w:rsidRPr="00CD30E8" w14:paraId="2C67F989" w14:textId="77777777" w:rsidTr="007D6F3C">
        <w:trPr>
          <w:trHeight w:val="331"/>
        </w:trPr>
        <w:tc>
          <w:tcPr>
            <w:tcW w:w="1742" w:type="pct"/>
            <w:tcBorders>
              <w:top w:val="nil"/>
              <w:left w:val="nil"/>
              <w:bottom w:val="nil"/>
              <w:right w:val="nil"/>
            </w:tcBorders>
            <w:shd w:val="clear" w:color="auto" w:fill="E7E6E6" w:themeFill="background2"/>
            <w:noWrap/>
            <w:vAlign w:val="center"/>
            <w:hideMark/>
          </w:tcPr>
          <w:p w14:paraId="54132937"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MiscCrop</w:t>
            </w:r>
            <w:proofErr w:type="spellEnd"/>
          </w:p>
        </w:tc>
        <w:tc>
          <w:tcPr>
            <w:tcW w:w="877" w:type="pct"/>
            <w:tcBorders>
              <w:top w:val="nil"/>
              <w:left w:val="nil"/>
              <w:bottom w:val="nil"/>
              <w:right w:val="nil"/>
            </w:tcBorders>
            <w:shd w:val="clear" w:color="auto" w:fill="E7E6E6" w:themeFill="background2"/>
            <w:noWrap/>
            <w:vAlign w:val="center"/>
            <w:hideMark/>
          </w:tcPr>
          <w:p w14:paraId="7E20F360"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ocr</w:t>
            </w:r>
            <w:proofErr w:type="spellEnd"/>
          </w:p>
        </w:tc>
        <w:tc>
          <w:tcPr>
            <w:tcW w:w="2381" w:type="pct"/>
            <w:tcBorders>
              <w:top w:val="nil"/>
              <w:left w:val="nil"/>
              <w:bottom w:val="nil"/>
              <w:right w:val="nil"/>
            </w:tcBorders>
            <w:shd w:val="clear" w:color="auto" w:fill="E7E6E6" w:themeFill="background2"/>
            <w:noWrap/>
            <w:vAlign w:val="center"/>
            <w:hideMark/>
          </w:tcPr>
          <w:p w14:paraId="5125A641"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 xml:space="preserve">Crops </w:t>
            </w:r>
            <w:proofErr w:type="spellStart"/>
            <w:r w:rsidRPr="00CD30E8">
              <w:rPr>
                <w:rFonts w:ascii="Arial" w:eastAsia="Times New Roman" w:hAnsi="Arial" w:cs="Arial"/>
                <w:color w:val="000000"/>
                <w:sz w:val="20"/>
                <w:szCs w:val="20"/>
              </w:rPr>
              <w:t>nec</w:t>
            </w:r>
            <w:proofErr w:type="spellEnd"/>
          </w:p>
        </w:tc>
      </w:tr>
      <w:tr w:rsidR="00FB08E5" w:rsidRPr="00CD30E8" w14:paraId="6759C54A" w14:textId="77777777" w:rsidTr="007D6F3C">
        <w:trPr>
          <w:trHeight w:val="331"/>
        </w:trPr>
        <w:tc>
          <w:tcPr>
            <w:tcW w:w="1742" w:type="pct"/>
            <w:tcBorders>
              <w:top w:val="nil"/>
              <w:left w:val="nil"/>
              <w:bottom w:val="nil"/>
              <w:right w:val="nil"/>
            </w:tcBorders>
            <w:shd w:val="clear" w:color="auto" w:fill="F2F2F2" w:themeFill="background1" w:themeFillShade="F2"/>
            <w:noWrap/>
            <w:vAlign w:val="center"/>
            <w:hideMark/>
          </w:tcPr>
          <w:p w14:paraId="2BDCC228"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NutsSeeds</w:t>
            </w:r>
            <w:proofErr w:type="spellEnd"/>
          </w:p>
        </w:tc>
        <w:tc>
          <w:tcPr>
            <w:tcW w:w="877" w:type="pct"/>
            <w:tcBorders>
              <w:top w:val="nil"/>
              <w:left w:val="nil"/>
              <w:bottom w:val="nil"/>
              <w:right w:val="nil"/>
            </w:tcBorders>
            <w:shd w:val="clear" w:color="auto" w:fill="F2F2F2" w:themeFill="background1" w:themeFillShade="F2"/>
            <w:noWrap/>
            <w:vAlign w:val="center"/>
            <w:hideMark/>
          </w:tcPr>
          <w:p w14:paraId="4F1133A6"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v_f</w:t>
            </w:r>
            <w:proofErr w:type="spellEnd"/>
          </w:p>
        </w:tc>
        <w:tc>
          <w:tcPr>
            <w:tcW w:w="2381" w:type="pct"/>
            <w:tcBorders>
              <w:top w:val="nil"/>
              <w:left w:val="nil"/>
              <w:bottom w:val="nil"/>
              <w:right w:val="nil"/>
            </w:tcBorders>
            <w:shd w:val="clear" w:color="auto" w:fill="F2F2F2" w:themeFill="background1" w:themeFillShade="F2"/>
            <w:noWrap/>
            <w:vAlign w:val="center"/>
            <w:hideMark/>
          </w:tcPr>
          <w:p w14:paraId="61F74D35"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Vegetables, fruit, nuts</w:t>
            </w:r>
          </w:p>
        </w:tc>
      </w:tr>
      <w:tr w:rsidR="00FB08E5" w:rsidRPr="00CD30E8" w14:paraId="57936424" w14:textId="77777777" w:rsidTr="007D6F3C">
        <w:trPr>
          <w:trHeight w:val="331"/>
        </w:trPr>
        <w:tc>
          <w:tcPr>
            <w:tcW w:w="1742" w:type="pct"/>
            <w:tcBorders>
              <w:top w:val="nil"/>
              <w:left w:val="nil"/>
              <w:bottom w:val="nil"/>
              <w:right w:val="nil"/>
            </w:tcBorders>
            <w:shd w:val="clear" w:color="auto" w:fill="E7E6E6" w:themeFill="background2"/>
            <w:noWrap/>
            <w:vAlign w:val="center"/>
            <w:hideMark/>
          </w:tcPr>
          <w:p w14:paraId="79F29C51"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OilCrop</w:t>
            </w:r>
            <w:proofErr w:type="spellEnd"/>
          </w:p>
        </w:tc>
        <w:tc>
          <w:tcPr>
            <w:tcW w:w="877" w:type="pct"/>
            <w:tcBorders>
              <w:top w:val="nil"/>
              <w:left w:val="nil"/>
              <w:bottom w:val="nil"/>
              <w:right w:val="nil"/>
            </w:tcBorders>
            <w:shd w:val="clear" w:color="auto" w:fill="E7E6E6" w:themeFill="background2"/>
            <w:noWrap/>
            <w:vAlign w:val="center"/>
            <w:hideMark/>
          </w:tcPr>
          <w:p w14:paraId="6B63D9F7"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osd</w:t>
            </w:r>
            <w:proofErr w:type="spellEnd"/>
          </w:p>
        </w:tc>
        <w:tc>
          <w:tcPr>
            <w:tcW w:w="2381" w:type="pct"/>
            <w:tcBorders>
              <w:top w:val="nil"/>
              <w:left w:val="nil"/>
              <w:bottom w:val="nil"/>
              <w:right w:val="nil"/>
            </w:tcBorders>
            <w:shd w:val="clear" w:color="auto" w:fill="E7E6E6" w:themeFill="background2"/>
            <w:noWrap/>
            <w:vAlign w:val="center"/>
            <w:hideMark/>
          </w:tcPr>
          <w:p w14:paraId="70ADD363"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Oil seeds</w:t>
            </w:r>
          </w:p>
        </w:tc>
      </w:tr>
      <w:tr w:rsidR="00FB08E5" w:rsidRPr="00CD30E8" w14:paraId="176D1EC4" w14:textId="77777777" w:rsidTr="007D6F3C">
        <w:trPr>
          <w:trHeight w:val="331"/>
        </w:trPr>
        <w:tc>
          <w:tcPr>
            <w:tcW w:w="1742" w:type="pct"/>
            <w:tcBorders>
              <w:top w:val="nil"/>
              <w:left w:val="nil"/>
              <w:bottom w:val="nil"/>
              <w:right w:val="nil"/>
            </w:tcBorders>
            <w:shd w:val="clear" w:color="auto" w:fill="F2F2F2" w:themeFill="background1" w:themeFillShade="F2"/>
            <w:noWrap/>
            <w:vAlign w:val="center"/>
            <w:hideMark/>
          </w:tcPr>
          <w:p w14:paraId="4C759790"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OilPalm</w:t>
            </w:r>
            <w:proofErr w:type="spellEnd"/>
          </w:p>
        </w:tc>
        <w:tc>
          <w:tcPr>
            <w:tcW w:w="877" w:type="pct"/>
            <w:tcBorders>
              <w:top w:val="nil"/>
              <w:left w:val="nil"/>
              <w:bottom w:val="nil"/>
              <w:right w:val="nil"/>
            </w:tcBorders>
            <w:shd w:val="clear" w:color="auto" w:fill="F2F2F2" w:themeFill="background1" w:themeFillShade="F2"/>
            <w:noWrap/>
            <w:vAlign w:val="center"/>
            <w:hideMark/>
          </w:tcPr>
          <w:p w14:paraId="56444B06"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osd</w:t>
            </w:r>
            <w:proofErr w:type="spellEnd"/>
          </w:p>
        </w:tc>
        <w:tc>
          <w:tcPr>
            <w:tcW w:w="2381" w:type="pct"/>
            <w:tcBorders>
              <w:top w:val="nil"/>
              <w:left w:val="nil"/>
              <w:bottom w:val="nil"/>
              <w:right w:val="nil"/>
            </w:tcBorders>
            <w:shd w:val="clear" w:color="auto" w:fill="F2F2F2" w:themeFill="background1" w:themeFillShade="F2"/>
            <w:noWrap/>
            <w:vAlign w:val="center"/>
            <w:hideMark/>
          </w:tcPr>
          <w:p w14:paraId="14FF0B9C"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Oil seeds</w:t>
            </w:r>
          </w:p>
        </w:tc>
      </w:tr>
      <w:tr w:rsidR="00FB08E5" w:rsidRPr="00CD30E8" w14:paraId="2E37A0EB" w14:textId="77777777" w:rsidTr="007D6F3C">
        <w:trPr>
          <w:trHeight w:val="331"/>
        </w:trPr>
        <w:tc>
          <w:tcPr>
            <w:tcW w:w="1742" w:type="pct"/>
            <w:tcBorders>
              <w:top w:val="nil"/>
              <w:left w:val="nil"/>
              <w:bottom w:val="nil"/>
              <w:right w:val="nil"/>
            </w:tcBorders>
            <w:shd w:val="clear" w:color="auto" w:fill="E7E6E6" w:themeFill="background2"/>
            <w:noWrap/>
            <w:vAlign w:val="center"/>
            <w:hideMark/>
          </w:tcPr>
          <w:p w14:paraId="5041F66E"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OtherGrain</w:t>
            </w:r>
            <w:proofErr w:type="spellEnd"/>
          </w:p>
        </w:tc>
        <w:tc>
          <w:tcPr>
            <w:tcW w:w="877" w:type="pct"/>
            <w:tcBorders>
              <w:top w:val="nil"/>
              <w:left w:val="nil"/>
              <w:bottom w:val="nil"/>
              <w:right w:val="nil"/>
            </w:tcBorders>
            <w:shd w:val="clear" w:color="auto" w:fill="E7E6E6" w:themeFill="background2"/>
            <w:noWrap/>
            <w:vAlign w:val="center"/>
            <w:hideMark/>
          </w:tcPr>
          <w:p w14:paraId="0D97C0C4"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gro</w:t>
            </w:r>
            <w:proofErr w:type="spellEnd"/>
          </w:p>
        </w:tc>
        <w:tc>
          <w:tcPr>
            <w:tcW w:w="2381" w:type="pct"/>
            <w:tcBorders>
              <w:top w:val="nil"/>
              <w:left w:val="nil"/>
              <w:bottom w:val="nil"/>
              <w:right w:val="nil"/>
            </w:tcBorders>
            <w:shd w:val="clear" w:color="auto" w:fill="E7E6E6" w:themeFill="background2"/>
            <w:noWrap/>
            <w:vAlign w:val="center"/>
            <w:hideMark/>
          </w:tcPr>
          <w:p w14:paraId="11CADAC6"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 xml:space="preserve">Cereal grains </w:t>
            </w:r>
            <w:proofErr w:type="spellStart"/>
            <w:r w:rsidRPr="00CD30E8">
              <w:rPr>
                <w:rFonts w:ascii="Arial" w:eastAsia="Times New Roman" w:hAnsi="Arial" w:cs="Arial"/>
                <w:color w:val="000000"/>
                <w:sz w:val="20"/>
                <w:szCs w:val="20"/>
              </w:rPr>
              <w:t>nec</w:t>
            </w:r>
            <w:proofErr w:type="spellEnd"/>
          </w:p>
        </w:tc>
      </w:tr>
      <w:tr w:rsidR="00FB08E5" w:rsidRPr="00CD30E8" w14:paraId="344101FD" w14:textId="77777777" w:rsidTr="007D6F3C">
        <w:trPr>
          <w:trHeight w:val="331"/>
        </w:trPr>
        <w:tc>
          <w:tcPr>
            <w:tcW w:w="1742" w:type="pct"/>
            <w:tcBorders>
              <w:top w:val="nil"/>
              <w:left w:val="nil"/>
              <w:bottom w:val="nil"/>
              <w:right w:val="nil"/>
            </w:tcBorders>
            <w:shd w:val="clear" w:color="auto" w:fill="F2F2F2" w:themeFill="background1" w:themeFillShade="F2"/>
            <w:noWrap/>
            <w:vAlign w:val="center"/>
            <w:hideMark/>
          </w:tcPr>
          <w:p w14:paraId="272519AF"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Rice</w:t>
            </w:r>
          </w:p>
        </w:tc>
        <w:tc>
          <w:tcPr>
            <w:tcW w:w="877" w:type="pct"/>
            <w:tcBorders>
              <w:top w:val="nil"/>
              <w:left w:val="nil"/>
              <w:bottom w:val="nil"/>
              <w:right w:val="nil"/>
            </w:tcBorders>
            <w:shd w:val="clear" w:color="auto" w:fill="F2F2F2" w:themeFill="background1" w:themeFillShade="F2"/>
            <w:noWrap/>
            <w:vAlign w:val="center"/>
            <w:hideMark/>
          </w:tcPr>
          <w:p w14:paraId="55571EE5"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pdr</w:t>
            </w:r>
            <w:proofErr w:type="spellEnd"/>
          </w:p>
        </w:tc>
        <w:tc>
          <w:tcPr>
            <w:tcW w:w="2381" w:type="pct"/>
            <w:tcBorders>
              <w:top w:val="nil"/>
              <w:left w:val="nil"/>
              <w:bottom w:val="nil"/>
              <w:right w:val="nil"/>
            </w:tcBorders>
            <w:shd w:val="clear" w:color="auto" w:fill="F2F2F2" w:themeFill="background1" w:themeFillShade="F2"/>
            <w:noWrap/>
            <w:vAlign w:val="center"/>
            <w:hideMark/>
          </w:tcPr>
          <w:p w14:paraId="0A492C9C"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Paddy rice</w:t>
            </w:r>
          </w:p>
        </w:tc>
      </w:tr>
      <w:tr w:rsidR="00FB08E5" w:rsidRPr="00CD30E8" w14:paraId="39F2C6FB" w14:textId="77777777" w:rsidTr="007D6F3C">
        <w:trPr>
          <w:trHeight w:val="331"/>
        </w:trPr>
        <w:tc>
          <w:tcPr>
            <w:tcW w:w="1742" w:type="pct"/>
            <w:tcBorders>
              <w:top w:val="nil"/>
              <w:left w:val="nil"/>
              <w:bottom w:val="nil"/>
              <w:right w:val="nil"/>
            </w:tcBorders>
            <w:shd w:val="clear" w:color="auto" w:fill="E7E6E6" w:themeFill="background2"/>
            <w:noWrap/>
            <w:vAlign w:val="center"/>
            <w:hideMark/>
          </w:tcPr>
          <w:p w14:paraId="3CF60BEB"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RootTuber</w:t>
            </w:r>
            <w:proofErr w:type="spellEnd"/>
          </w:p>
        </w:tc>
        <w:tc>
          <w:tcPr>
            <w:tcW w:w="877" w:type="pct"/>
            <w:tcBorders>
              <w:top w:val="nil"/>
              <w:left w:val="nil"/>
              <w:bottom w:val="nil"/>
              <w:right w:val="nil"/>
            </w:tcBorders>
            <w:shd w:val="clear" w:color="auto" w:fill="E7E6E6" w:themeFill="background2"/>
            <w:noWrap/>
            <w:vAlign w:val="center"/>
            <w:hideMark/>
          </w:tcPr>
          <w:p w14:paraId="46341B60"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ocr</w:t>
            </w:r>
            <w:proofErr w:type="spellEnd"/>
          </w:p>
        </w:tc>
        <w:tc>
          <w:tcPr>
            <w:tcW w:w="2381" w:type="pct"/>
            <w:tcBorders>
              <w:top w:val="nil"/>
              <w:left w:val="nil"/>
              <w:bottom w:val="nil"/>
              <w:right w:val="nil"/>
            </w:tcBorders>
            <w:shd w:val="clear" w:color="auto" w:fill="E7E6E6" w:themeFill="background2"/>
            <w:noWrap/>
            <w:vAlign w:val="center"/>
            <w:hideMark/>
          </w:tcPr>
          <w:p w14:paraId="580B0605"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 xml:space="preserve">Crops </w:t>
            </w:r>
            <w:proofErr w:type="spellStart"/>
            <w:r w:rsidRPr="00CD30E8">
              <w:rPr>
                <w:rFonts w:ascii="Arial" w:eastAsia="Times New Roman" w:hAnsi="Arial" w:cs="Arial"/>
                <w:color w:val="000000"/>
                <w:sz w:val="20"/>
                <w:szCs w:val="20"/>
              </w:rPr>
              <w:t>nec</w:t>
            </w:r>
            <w:proofErr w:type="spellEnd"/>
          </w:p>
        </w:tc>
      </w:tr>
      <w:tr w:rsidR="00FB08E5" w:rsidRPr="00CD30E8" w14:paraId="6B36549B" w14:textId="77777777" w:rsidTr="007D6F3C">
        <w:trPr>
          <w:trHeight w:val="331"/>
        </w:trPr>
        <w:tc>
          <w:tcPr>
            <w:tcW w:w="1742" w:type="pct"/>
            <w:tcBorders>
              <w:top w:val="nil"/>
              <w:left w:val="nil"/>
              <w:bottom w:val="nil"/>
              <w:right w:val="nil"/>
            </w:tcBorders>
            <w:shd w:val="clear" w:color="auto" w:fill="F2F2F2" w:themeFill="background1" w:themeFillShade="F2"/>
            <w:noWrap/>
            <w:vAlign w:val="center"/>
            <w:hideMark/>
          </w:tcPr>
          <w:p w14:paraId="31C86ADE"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Soybean</w:t>
            </w:r>
          </w:p>
        </w:tc>
        <w:tc>
          <w:tcPr>
            <w:tcW w:w="877" w:type="pct"/>
            <w:tcBorders>
              <w:top w:val="nil"/>
              <w:left w:val="nil"/>
              <w:bottom w:val="nil"/>
              <w:right w:val="nil"/>
            </w:tcBorders>
            <w:shd w:val="clear" w:color="auto" w:fill="F2F2F2" w:themeFill="background1" w:themeFillShade="F2"/>
            <w:noWrap/>
            <w:vAlign w:val="center"/>
            <w:hideMark/>
          </w:tcPr>
          <w:p w14:paraId="70B89EC3"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osd</w:t>
            </w:r>
            <w:proofErr w:type="spellEnd"/>
          </w:p>
        </w:tc>
        <w:tc>
          <w:tcPr>
            <w:tcW w:w="2381" w:type="pct"/>
            <w:tcBorders>
              <w:top w:val="nil"/>
              <w:left w:val="nil"/>
              <w:bottom w:val="nil"/>
              <w:right w:val="nil"/>
            </w:tcBorders>
            <w:shd w:val="clear" w:color="auto" w:fill="F2F2F2" w:themeFill="background1" w:themeFillShade="F2"/>
            <w:noWrap/>
            <w:vAlign w:val="center"/>
            <w:hideMark/>
          </w:tcPr>
          <w:p w14:paraId="75AF900E"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Oil seeds</w:t>
            </w:r>
          </w:p>
        </w:tc>
      </w:tr>
      <w:tr w:rsidR="00FB08E5" w:rsidRPr="00CD30E8" w14:paraId="1687925E" w14:textId="77777777" w:rsidTr="007D6F3C">
        <w:trPr>
          <w:trHeight w:val="331"/>
        </w:trPr>
        <w:tc>
          <w:tcPr>
            <w:tcW w:w="1742" w:type="pct"/>
            <w:tcBorders>
              <w:top w:val="nil"/>
              <w:left w:val="nil"/>
              <w:bottom w:val="nil"/>
              <w:right w:val="nil"/>
            </w:tcBorders>
            <w:shd w:val="clear" w:color="auto" w:fill="E7E6E6" w:themeFill="background2"/>
            <w:noWrap/>
            <w:vAlign w:val="center"/>
            <w:hideMark/>
          </w:tcPr>
          <w:p w14:paraId="1E58B153"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SugarCrop</w:t>
            </w:r>
            <w:proofErr w:type="spellEnd"/>
          </w:p>
        </w:tc>
        <w:tc>
          <w:tcPr>
            <w:tcW w:w="877" w:type="pct"/>
            <w:tcBorders>
              <w:top w:val="nil"/>
              <w:left w:val="nil"/>
              <w:bottom w:val="nil"/>
              <w:right w:val="nil"/>
            </w:tcBorders>
            <w:shd w:val="clear" w:color="auto" w:fill="E7E6E6" w:themeFill="background2"/>
            <w:noWrap/>
            <w:vAlign w:val="center"/>
            <w:hideMark/>
          </w:tcPr>
          <w:p w14:paraId="4B979019"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c_b</w:t>
            </w:r>
            <w:proofErr w:type="spellEnd"/>
          </w:p>
        </w:tc>
        <w:tc>
          <w:tcPr>
            <w:tcW w:w="2381" w:type="pct"/>
            <w:tcBorders>
              <w:top w:val="nil"/>
              <w:left w:val="nil"/>
              <w:bottom w:val="nil"/>
              <w:right w:val="nil"/>
            </w:tcBorders>
            <w:shd w:val="clear" w:color="auto" w:fill="E7E6E6" w:themeFill="background2"/>
            <w:noWrap/>
            <w:vAlign w:val="center"/>
            <w:hideMark/>
          </w:tcPr>
          <w:p w14:paraId="107FEBD9"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Sugar cane, sugar beet</w:t>
            </w:r>
          </w:p>
        </w:tc>
      </w:tr>
      <w:tr w:rsidR="00FB08E5" w:rsidRPr="00CD30E8" w14:paraId="56D018D7" w14:textId="77777777" w:rsidTr="007D6F3C">
        <w:trPr>
          <w:trHeight w:val="331"/>
        </w:trPr>
        <w:tc>
          <w:tcPr>
            <w:tcW w:w="1742" w:type="pct"/>
            <w:tcBorders>
              <w:top w:val="nil"/>
              <w:left w:val="nil"/>
              <w:bottom w:val="nil"/>
              <w:right w:val="nil"/>
            </w:tcBorders>
            <w:shd w:val="clear" w:color="auto" w:fill="F2F2F2" w:themeFill="background1" w:themeFillShade="F2"/>
            <w:noWrap/>
            <w:vAlign w:val="center"/>
            <w:hideMark/>
          </w:tcPr>
          <w:p w14:paraId="6A06CBE8"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Wheat</w:t>
            </w:r>
          </w:p>
        </w:tc>
        <w:tc>
          <w:tcPr>
            <w:tcW w:w="877" w:type="pct"/>
            <w:tcBorders>
              <w:top w:val="nil"/>
              <w:left w:val="nil"/>
              <w:bottom w:val="nil"/>
              <w:right w:val="nil"/>
            </w:tcBorders>
            <w:shd w:val="clear" w:color="auto" w:fill="F2F2F2" w:themeFill="background1" w:themeFillShade="F2"/>
            <w:noWrap/>
            <w:vAlign w:val="center"/>
            <w:hideMark/>
          </w:tcPr>
          <w:p w14:paraId="21C9601F"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wht</w:t>
            </w:r>
            <w:proofErr w:type="spellEnd"/>
          </w:p>
        </w:tc>
        <w:tc>
          <w:tcPr>
            <w:tcW w:w="2381" w:type="pct"/>
            <w:tcBorders>
              <w:top w:val="nil"/>
              <w:left w:val="nil"/>
              <w:bottom w:val="nil"/>
              <w:right w:val="nil"/>
            </w:tcBorders>
            <w:shd w:val="clear" w:color="auto" w:fill="F2F2F2" w:themeFill="background1" w:themeFillShade="F2"/>
            <w:noWrap/>
            <w:vAlign w:val="center"/>
            <w:hideMark/>
          </w:tcPr>
          <w:p w14:paraId="45793AC3"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Wheat</w:t>
            </w:r>
          </w:p>
        </w:tc>
      </w:tr>
      <w:tr w:rsidR="00FB08E5" w:rsidRPr="00CD30E8" w14:paraId="647F5673" w14:textId="77777777" w:rsidTr="007D6F3C">
        <w:trPr>
          <w:trHeight w:val="331"/>
        </w:trPr>
        <w:tc>
          <w:tcPr>
            <w:tcW w:w="1742" w:type="pct"/>
            <w:tcBorders>
              <w:top w:val="nil"/>
              <w:left w:val="nil"/>
              <w:bottom w:val="nil"/>
              <w:right w:val="nil"/>
            </w:tcBorders>
            <w:shd w:val="clear" w:color="auto" w:fill="E7E6E6" w:themeFill="background2"/>
            <w:noWrap/>
            <w:vAlign w:val="bottom"/>
            <w:hideMark/>
          </w:tcPr>
          <w:p w14:paraId="0855CD52"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hAnsi="Arial" w:cs="Arial"/>
                <w:color w:val="000000"/>
                <w:sz w:val="20"/>
                <w:szCs w:val="20"/>
              </w:rPr>
              <w:t>Beef (primary)</w:t>
            </w:r>
          </w:p>
        </w:tc>
        <w:tc>
          <w:tcPr>
            <w:tcW w:w="877" w:type="pct"/>
            <w:tcBorders>
              <w:top w:val="nil"/>
              <w:left w:val="nil"/>
              <w:bottom w:val="nil"/>
              <w:right w:val="nil"/>
            </w:tcBorders>
            <w:shd w:val="clear" w:color="auto" w:fill="E7E6E6" w:themeFill="background2"/>
            <w:noWrap/>
            <w:vAlign w:val="bottom"/>
            <w:hideMark/>
          </w:tcPr>
          <w:p w14:paraId="5EB274C4"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hAnsi="Arial" w:cs="Arial"/>
                <w:color w:val="000000"/>
                <w:sz w:val="20"/>
                <w:szCs w:val="20"/>
              </w:rPr>
              <w:t>ctl</w:t>
            </w:r>
            <w:proofErr w:type="spellEnd"/>
          </w:p>
        </w:tc>
        <w:tc>
          <w:tcPr>
            <w:tcW w:w="2381" w:type="pct"/>
            <w:tcBorders>
              <w:top w:val="nil"/>
              <w:left w:val="nil"/>
              <w:bottom w:val="nil"/>
              <w:right w:val="nil"/>
            </w:tcBorders>
            <w:shd w:val="clear" w:color="auto" w:fill="E7E6E6" w:themeFill="background2"/>
            <w:noWrap/>
            <w:vAlign w:val="bottom"/>
            <w:hideMark/>
          </w:tcPr>
          <w:p w14:paraId="7F3662F5"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hAnsi="Arial" w:cs="Arial"/>
                <w:color w:val="000000"/>
                <w:sz w:val="20"/>
                <w:szCs w:val="20"/>
              </w:rPr>
              <w:t>Bovine cattle, sheep and goats, horses</w:t>
            </w:r>
          </w:p>
        </w:tc>
      </w:tr>
      <w:tr w:rsidR="00FB08E5" w:rsidRPr="00CD30E8" w14:paraId="725921FF" w14:textId="77777777" w:rsidTr="007D6F3C">
        <w:trPr>
          <w:trHeight w:val="331"/>
        </w:trPr>
        <w:tc>
          <w:tcPr>
            <w:tcW w:w="1742" w:type="pct"/>
            <w:tcBorders>
              <w:top w:val="nil"/>
              <w:left w:val="nil"/>
              <w:bottom w:val="nil"/>
              <w:right w:val="nil"/>
            </w:tcBorders>
            <w:shd w:val="clear" w:color="auto" w:fill="F2F2F2" w:themeFill="background1" w:themeFillShade="F2"/>
            <w:noWrap/>
            <w:vAlign w:val="bottom"/>
            <w:hideMark/>
          </w:tcPr>
          <w:p w14:paraId="042466F4"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hAnsi="Arial" w:cs="Arial"/>
                <w:color w:val="000000"/>
                <w:sz w:val="20"/>
                <w:szCs w:val="20"/>
              </w:rPr>
              <w:t>Beef</w:t>
            </w:r>
          </w:p>
        </w:tc>
        <w:tc>
          <w:tcPr>
            <w:tcW w:w="877" w:type="pct"/>
            <w:tcBorders>
              <w:top w:val="nil"/>
              <w:left w:val="nil"/>
              <w:bottom w:val="nil"/>
              <w:right w:val="nil"/>
            </w:tcBorders>
            <w:shd w:val="clear" w:color="auto" w:fill="F2F2F2" w:themeFill="background1" w:themeFillShade="F2"/>
            <w:noWrap/>
            <w:vAlign w:val="bottom"/>
            <w:hideMark/>
          </w:tcPr>
          <w:p w14:paraId="038E44B5"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hAnsi="Arial" w:cs="Arial"/>
                <w:color w:val="000000"/>
                <w:sz w:val="20"/>
                <w:szCs w:val="20"/>
              </w:rPr>
              <w:t>cmt</w:t>
            </w:r>
            <w:proofErr w:type="spellEnd"/>
          </w:p>
        </w:tc>
        <w:tc>
          <w:tcPr>
            <w:tcW w:w="2381" w:type="pct"/>
            <w:tcBorders>
              <w:top w:val="nil"/>
              <w:left w:val="nil"/>
              <w:bottom w:val="nil"/>
              <w:right w:val="nil"/>
            </w:tcBorders>
            <w:shd w:val="clear" w:color="auto" w:fill="F2F2F2" w:themeFill="background1" w:themeFillShade="F2"/>
            <w:noWrap/>
            <w:vAlign w:val="bottom"/>
            <w:hideMark/>
          </w:tcPr>
          <w:p w14:paraId="03EE91B9"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hAnsi="Arial" w:cs="Arial"/>
                <w:color w:val="000000"/>
                <w:sz w:val="20"/>
                <w:szCs w:val="20"/>
              </w:rPr>
              <w:t>Bovine meat products</w:t>
            </w:r>
          </w:p>
        </w:tc>
      </w:tr>
      <w:tr w:rsidR="00FB08E5" w:rsidRPr="00CD30E8" w14:paraId="17CB7B6C" w14:textId="77777777" w:rsidTr="007D6F3C">
        <w:trPr>
          <w:trHeight w:val="331"/>
        </w:trPr>
        <w:tc>
          <w:tcPr>
            <w:tcW w:w="1742" w:type="pct"/>
            <w:tcBorders>
              <w:top w:val="nil"/>
              <w:left w:val="nil"/>
              <w:bottom w:val="nil"/>
              <w:right w:val="nil"/>
            </w:tcBorders>
            <w:shd w:val="clear" w:color="auto" w:fill="E7E6E6" w:themeFill="background2"/>
            <w:noWrap/>
            <w:vAlign w:val="bottom"/>
          </w:tcPr>
          <w:p w14:paraId="607A31E4"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hAnsi="Arial" w:cs="Arial"/>
                <w:color w:val="000000"/>
                <w:sz w:val="20"/>
                <w:szCs w:val="20"/>
              </w:rPr>
              <w:t>Dairy (primary)</w:t>
            </w:r>
          </w:p>
        </w:tc>
        <w:tc>
          <w:tcPr>
            <w:tcW w:w="877" w:type="pct"/>
            <w:tcBorders>
              <w:top w:val="nil"/>
              <w:left w:val="nil"/>
              <w:bottom w:val="nil"/>
              <w:right w:val="nil"/>
            </w:tcBorders>
            <w:shd w:val="clear" w:color="auto" w:fill="E7E6E6" w:themeFill="background2"/>
            <w:noWrap/>
            <w:vAlign w:val="bottom"/>
          </w:tcPr>
          <w:p w14:paraId="4AD8D437"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hAnsi="Arial" w:cs="Arial"/>
                <w:color w:val="000000"/>
                <w:sz w:val="20"/>
                <w:szCs w:val="20"/>
              </w:rPr>
              <w:t>rmk</w:t>
            </w:r>
            <w:proofErr w:type="spellEnd"/>
          </w:p>
        </w:tc>
        <w:tc>
          <w:tcPr>
            <w:tcW w:w="2381" w:type="pct"/>
            <w:tcBorders>
              <w:top w:val="nil"/>
              <w:left w:val="nil"/>
              <w:bottom w:val="nil"/>
              <w:right w:val="nil"/>
            </w:tcBorders>
            <w:shd w:val="clear" w:color="auto" w:fill="E7E6E6" w:themeFill="background2"/>
            <w:noWrap/>
            <w:vAlign w:val="bottom"/>
          </w:tcPr>
          <w:p w14:paraId="7B521A64"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hAnsi="Arial" w:cs="Arial"/>
                <w:color w:val="000000"/>
                <w:sz w:val="20"/>
                <w:szCs w:val="20"/>
              </w:rPr>
              <w:t>Raw milk</w:t>
            </w:r>
          </w:p>
        </w:tc>
      </w:tr>
      <w:tr w:rsidR="00FB08E5" w:rsidRPr="00CD30E8" w14:paraId="33450737" w14:textId="77777777" w:rsidTr="007D6F3C">
        <w:trPr>
          <w:trHeight w:val="331"/>
        </w:trPr>
        <w:tc>
          <w:tcPr>
            <w:tcW w:w="1742" w:type="pct"/>
            <w:tcBorders>
              <w:top w:val="nil"/>
              <w:left w:val="nil"/>
              <w:bottom w:val="nil"/>
              <w:right w:val="nil"/>
            </w:tcBorders>
            <w:shd w:val="clear" w:color="auto" w:fill="F2F2F2" w:themeFill="background1" w:themeFillShade="F2"/>
            <w:noWrap/>
            <w:vAlign w:val="bottom"/>
            <w:hideMark/>
          </w:tcPr>
          <w:p w14:paraId="744A92E8"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hAnsi="Arial" w:cs="Arial"/>
                <w:color w:val="000000"/>
                <w:sz w:val="20"/>
                <w:szCs w:val="20"/>
              </w:rPr>
              <w:t>Dairy</w:t>
            </w:r>
          </w:p>
        </w:tc>
        <w:tc>
          <w:tcPr>
            <w:tcW w:w="877" w:type="pct"/>
            <w:tcBorders>
              <w:top w:val="nil"/>
              <w:left w:val="nil"/>
              <w:bottom w:val="nil"/>
              <w:right w:val="nil"/>
            </w:tcBorders>
            <w:shd w:val="clear" w:color="auto" w:fill="F2F2F2" w:themeFill="background1" w:themeFillShade="F2"/>
            <w:noWrap/>
            <w:vAlign w:val="bottom"/>
            <w:hideMark/>
          </w:tcPr>
          <w:p w14:paraId="6BF2C2B8"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hAnsi="Arial" w:cs="Arial"/>
                <w:color w:val="000000"/>
                <w:sz w:val="20"/>
                <w:szCs w:val="20"/>
              </w:rPr>
              <w:t>mil</w:t>
            </w:r>
          </w:p>
        </w:tc>
        <w:tc>
          <w:tcPr>
            <w:tcW w:w="2381" w:type="pct"/>
            <w:tcBorders>
              <w:top w:val="nil"/>
              <w:left w:val="nil"/>
              <w:bottom w:val="nil"/>
              <w:right w:val="nil"/>
            </w:tcBorders>
            <w:shd w:val="clear" w:color="auto" w:fill="F2F2F2" w:themeFill="background1" w:themeFillShade="F2"/>
            <w:noWrap/>
            <w:vAlign w:val="bottom"/>
            <w:hideMark/>
          </w:tcPr>
          <w:p w14:paraId="5B24F12C"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hAnsi="Arial" w:cs="Arial"/>
                <w:color w:val="000000"/>
                <w:sz w:val="20"/>
                <w:szCs w:val="20"/>
              </w:rPr>
              <w:t>Dairy products</w:t>
            </w:r>
          </w:p>
        </w:tc>
      </w:tr>
      <w:tr w:rsidR="00FB08E5" w:rsidRPr="00CD30E8" w14:paraId="30705729" w14:textId="77777777" w:rsidTr="007D6F3C">
        <w:trPr>
          <w:trHeight w:val="331"/>
        </w:trPr>
        <w:tc>
          <w:tcPr>
            <w:tcW w:w="1742" w:type="pct"/>
            <w:tcBorders>
              <w:top w:val="nil"/>
              <w:left w:val="nil"/>
              <w:bottom w:val="nil"/>
              <w:right w:val="nil"/>
            </w:tcBorders>
            <w:shd w:val="clear" w:color="auto" w:fill="E7E6E6" w:themeFill="background2"/>
            <w:noWrap/>
            <w:vAlign w:val="bottom"/>
            <w:hideMark/>
          </w:tcPr>
          <w:p w14:paraId="7A32A7D6"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hAnsi="Arial" w:cs="Arial"/>
                <w:color w:val="000000"/>
                <w:sz w:val="20"/>
                <w:szCs w:val="20"/>
              </w:rPr>
              <w:t>Pork (primary)</w:t>
            </w:r>
          </w:p>
        </w:tc>
        <w:tc>
          <w:tcPr>
            <w:tcW w:w="877" w:type="pct"/>
            <w:tcBorders>
              <w:top w:val="nil"/>
              <w:left w:val="nil"/>
              <w:bottom w:val="nil"/>
              <w:right w:val="nil"/>
            </w:tcBorders>
            <w:shd w:val="clear" w:color="auto" w:fill="E7E6E6" w:themeFill="background2"/>
            <w:noWrap/>
            <w:vAlign w:val="bottom"/>
            <w:hideMark/>
          </w:tcPr>
          <w:p w14:paraId="045DBB4D"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hAnsi="Arial" w:cs="Arial"/>
                <w:color w:val="000000"/>
                <w:sz w:val="20"/>
                <w:szCs w:val="20"/>
              </w:rPr>
              <w:t>oap</w:t>
            </w:r>
            <w:proofErr w:type="spellEnd"/>
          </w:p>
        </w:tc>
        <w:tc>
          <w:tcPr>
            <w:tcW w:w="2381" w:type="pct"/>
            <w:tcBorders>
              <w:top w:val="nil"/>
              <w:left w:val="nil"/>
              <w:bottom w:val="nil"/>
              <w:right w:val="nil"/>
            </w:tcBorders>
            <w:shd w:val="clear" w:color="auto" w:fill="E7E6E6" w:themeFill="background2"/>
            <w:noWrap/>
            <w:vAlign w:val="bottom"/>
            <w:hideMark/>
          </w:tcPr>
          <w:p w14:paraId="1AE72482"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hAnsi="Arial" w:cs="Arial"/>
                <w:color w:val="000000"/>
                <w:sz w:val="20"/>
                <w:szCs w:val="20"/>
              </w:rPr>
              <w:t xml:space="preserve">Animal products </w:t>
            </w:r>
            <w:proofErr w:type="spellStart"/>
            <w:r w:rsidRPr="00CD30E8">
              <w:rPr>
                <w:rFonts w:ascii="Arial" w:hAnsi="Arial" w:cs="Arial"/>
                <w:color w:val="000000"/>
                <w:sz w:val="20"/>
                <w:szCs w:val="20"/>
              </w:rPr>
              <w:t>nec</w:t>
            </w:r>
            <w:proofErr w:type="spellEnd"/>
          </w:p>
        </w:tc>
      </w:tr>
      <w:tr w:rsidR="00FB08E5" w:rsidRPr="00CD30E8" w14:paraId="78D6DB62" w14:textId="77777777" w:rsidTr="007D6F3C">
        <w:trPr>
          <w:trHeight w:val="331"/>
        </w:trPr>
        <w:tc>
          <w:tcPr>
            <w:tcW w:w="1742" w:type="pct"/>
            <w:tcBorders>
              <w:top w:val="nil"/>
              <w:left w:val="nil"/>
              <w:bottom w:val="nil"/>
              <w:right w:val="nil"/>
            </w:tcBorders>
            <w:shd w:val="clear" w:color="auto" w:fill="F2F2F2" w:themeFill="background1" w:themeFillShade="F2"/>
            <w:noWrap/>
            <w:vAlign w:val="bottom"/>
            <w:hideMark/>
          </w:tcPr>
          <w:p w14:paraId="60CC81C1"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hAnsi="Arial" w:cs="Arial"/>
                <w:color w:val="000000"/>
                <w:sz w:val="20"/>
                <w:szCs w:val="20"/>
              </w:rPr>
              <w:t>Pork</w:t>
            </w:r>
          </w:p>
        </w:tc>
        <w:tc>
          <w:tcPr>
            <w:tcW w:w="877" w:type="pct"/>
            <w:tcBorders>
              <w:top w:val="nil"/>
              <w:left w:val="nil"/>
              <w:bottom w:val="nil"/>
              <w:right w:val="nil"/>
            </w:tcBorders>
            <w:shd w:val="clear" w:color="auto" w:fill="F2F2F2" w:themeFill="background1" w:themeFillShade="F2"/>
            <w:noWrap/>
            <w:vAlign w:val="bottom"/>
            <w:hideMark/>
          </w:tcPr>
          <w:p w14:paraId="209ABC5B"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hAnsi="Arial" w:cs="Arial"/>
                <w:color w:val="000000"/>
                <w:sz w:val="20"/>
                <w:szCs w:val="20"/>
              </w:rPr>
              <w:t>omt</w:t>
            </w:r>
            <w:proofErr w:type="spellEnd"/>
          </w:p>
        </w:tc>
        <w:tc>
          <w:tcPr>
            <w:tcW w:w="2381" w:type="pct"/>
            <w:tcBorders>
              <w:top w:val="nil"/>
              <w:left w:val="nil"/>
              <w:bottom w:val="nil"/>
              <w:right w:val="nil"/>
            </w:tcBorders>
            <w:shd w:val="clear" w:color="auto" w:fill="F2F2F2" w:themeFill="background1" w:themeFillShade="F2"/>
            <w:noWrap/>
            <w:vAlign w:val="bottom"/>
            <w:hideMark/>
          </w:tcPr>
          <w:p w14:paraId="6B38B078"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hAnsi="Arial" w:cs="Arial"/>
                <w:color w:val="000000"/>
                <w:sz w:val="20"/>
                <w:szCs w:val="20"/>
              </w:rPr>
              <w:t xml:space="preserve">Meat products </w:t>
            </w:r>
            <w:proofErr w:type="spellStart"/>
            <w:r w:rsidRPr="00CD30E8">
              <w:rPr>
                <w:rFonts w:ascii="Arial" w:hAnsi="Arial" w:cs="Arial"/>
                <w:color w:val="000000"/>
                <w:sz w:val="20"/>
                <w:szCs w:val="20"/>
              </w:rPr>
              <w:t>nec</w:t>
            </w:r>
            <w:proofErr w:type="spellEnd"/>
          </w:p>
        </w:tc>
      </w:tr>
      <w:tr w:rsidR="00FB08E5" w:rsidRPr="00CD30E8" w14:paraId="02D8107B" w14:textId="77777777" w:rsidTr="007D6F3C">
        <w:trPr>
          <w:trHeight w:val="331"/>
        </w:trPr>
        <w:tc>
          <w:tcPr>
            <w:tcW w:w="1742" w:type="pct"/>
            <w:tcBorders>
              <w:top w:val="nil"/>
              <w:left w:val="nil"/>
              <w:bottom w:val="nil"/>
              <w:right w:val="nil"/>
            </w:tcBorders>
            <w:shd w:val="clear" w:color="auto" w:fill="E7E6E6" w:themeFill="background2"/>
            <w:noWrap/>
            <w:vAlign w:val="bottom"/>
          </w:tcPr>
          <w:p w14:paraId="65AB3F1A"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hAnsi="Arial" w:cs="Arial"/>
                <w:color w:val="000000"/>
                <w:sz w:val="20"/>
                <w:szCs w:val="20"/>
              </w:rPr>
              <w:t>Poultry (primary)</w:t>
            </w:r>
          </w:p>
        </w:tc>
        <w:tc>
          <w:tcPr>
            <w:tcW w:w="877" w:type="pct"/>
            <w:tcBorders>
              <w:top w:val="nil"/>
              <w:left w:val="nil"/>
              <w:bottom w:val="nil"/>
              <w:right w:val="nil"/>
            </w:tcBorders>
            <w:shd w:val="clear" w:color="auto" w:fill="E7E6E6" w:themeFill="background2"/>
            <w:noWrap/>
            <w:vAlign w:val="bottom"/>
          </w:tcPr>
          <w:p w14:paraId="75A0B610"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hAnsi="Arial" w:cs="Arial"/>
                <w:color w:val="000000"/>
                <w:sz w:val="20"/>
                <w:szCs w:val="20"/>
              </w:rPr>
              <w:t>oap</w:t>
            </w:r>
            <w:proofErr w:type="spellEnd"/>
          </w:p>
        </w:tc>
        <w:tc>
          <w:tcPr>
            <w:tcW w:w="2381" w:type="pct"/>
            <w:tcBorders>
              <w:top w:val="nil"/>
              <w:left w:val="nil"/>
              <w:bottom w:val="nil"/>
              <w:right w:val="nil"/>
            </w:tcBorders>
            <w:shd w:val="clear" w:color="auto" w:fill="E7E6E6" w:themeFill="background2"/>
            <w:noWrap/>
            <w:vAlign w:val="bottom"/>
          </w:tcPr>
          <w:p w14:paraId="31757A0D"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hAnsi="Arial" w:cs="Arial"/>
                <w:color w:val="000000"/>
                <w:sz w:val="20"/>
                <w:szCs w:val="20"/>
              </w:rPr>
              <w:t xml:space="preserve">Animal products </w:t>
            </w:r>
            <w:proofErr w:type="spellStart"/>
            <w:r w:rsidRPr="00CD30E8">
              <w:rPr>
                <w:rFonts w:ascii="Arial" w:hAnsi="Arial" w:cs="Arial"/>
                <w:color w:val="000000"/>
                <w:sz w:val="20"/>
                <w:szCs w:val="20"/>
              </w:rPr>
              <w:t>nec</w:t>
            </w:r>
            <w:proofErr w:type="spellEnd"/>
          </w:p>
        </w:tc>
      </w:tr>
      <w:tr w:rsidR="00FB08E5" w:rsidRPr="00CD30E8" w14:paraId="26658130" w14:textId="77777777" w:rsidTr="007D6F3C">
        <w:trPr>
          <w:trHeight w:val="331"/>
        </w:trPr>
        <w:tc>
          <w:tcPr>
            <w:tcW w:w="1742" w:type="pct"/>
            <w:tcBorders>
              <w:top w:val="nil"/>
              <w:left w:val="nil"/>
              <w:bottom w:val="nil"/>
              <w:right w:val="nil"/>
            </w:tcBorders>
            <w:shd w:val="clear" w:color="auto" w:fill="F2F2F2" w:themeFill="background1" w:themeFillShade="F2"/>
            <w:noWrap/>
            <w:vAlign w:val="bottom"/>
          </w:tcPr>
          <w:p w14:paraId="35FCE44C"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hAnsi="Arial" w:cs="Arial"/>
                <w:color w:val="000000"/>
                <w:sz w:val="20"/>
                <w:szCs w:val="20"/>
              </w:rPr>
              <w:t>Poultry</w:t>
            </w:r>
          </w:p>
        </w:tc>
        <w:tc>
          <w:tcPr>
            <w:tcW w:w="877" w:type="pct"/>
            <w:tcBorders>
              <w:top w:val="nil"/>
              <w:left w:val="nil"/>
              <w:bottom w:val="nil"/>
              <w:right w:val="nil"/>
            </w:tcBorders>
            <w:shd w:val="clear" w:color="auto" w:fill="F2F2F2" w:themeFill="background1" w:themeFillShade="F2"/>
            <w:noWrap/>
            <w:vAlign w:val="bottom"/>
          </w:tcPr>
          <w:p w14:paraId="41CF187F"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hAnsi="Arial" w:cs="Arial"/>
                <w:color w:val="000000"/>
                <w:sz w:val="20"/>
                <w:szCs w:val="20"/>
              </w:rPr>
              <w:t>omt</w:t>
            </w:r>
            <w:proofErr w:type="spellEnd"/>
          </w:p>
        </w:tc>
        <w:tc>
          <w:tcPr>
            <w:tcW w:w="2381" w:type="pct"/>
            <w:tcBorders>
              <w:top w:val="nil"/>
              <w:left w:val="nil"/>
              <w:bottom w:val="nil"/>
              <w:right w:val="nil"/>
            </w:tcBorders>
            <w:shd w:val="clear" w:color="auto" w:fill="F2F2F2" w:themeFill="background1" w:themeFillShade="F2"/>
            <w:noWrap/>
            <w:vAlign w:val="bottom"/>
          </w:tcPr>
          <w:p w14:paraId="40EB854C"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hAnsi="Arial" w:cs="Arial"/>
                <w:color w:val="000000"/>
                <w:sz w:val="20"/>
                <w:szCs w:val="20"/>
              </w:rPr>
              <w:t xml:space="preserve">Meat products </w:t>
            </w:r>
            <w:proofErr w:type="spellStart"/>
            <w:r w:rsidRPr="00CD30E8">
              <w:rPr>
                <w:rFonts w:ascii="Arial" w:hAnsi="Arial" w:cs="Arial"/>
                <w:color w:val="000000"/>
                <w:sz w:val="20"/>
                <w:szCs w:val="20"/>
              </w:rPr>
              <w:t>nec</w:t>
            </w:r>
            <w:proofErr w:type="spellEnd"/>
          </w:p>
        </w:tc>
      </w:tr>
      <w:tr w:rsidR="00FB08E5" w:rsidRPr="00CD30E8" w14:paraId="1038F747" w14:textId="77777777" w:rsidTr="007D6F3C">
        <w:trPr>
          <w:trHeight w:val="331"/>
        </w:trPr>
        <w:tc>
          <w:tcPr>
            <w:tcW w:w="1742" w:type="pct"/>
            <w:tcBorders>
              <w:top w:val="nil"/>
              <w:left w:val="nil"/>
              <w:bottom w:val="nil"/>
              <w:right w:val="nil"/>
            </w:tcBorders>
            <w:shd w:val="clear" w:color="auto" w:fill="E7E6E6" w:themeFill="background2"/>
            <w:noWrap/>
            <w:vAlign w:val="bottom"/>
          </w:tcPr>
          <w:p w14:paraId="1F19DA58"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hAnsi="Arial" w:cs="Arial"/>
                <w:color w:val="000000"/>
                <w:sz w:val="20"/>
                <w:szCs w:val="20"/>
              </w:rPr>
              <w:t>SheepGoat</w:t>
            </w:r>
            <w:proofErr w:type="spellEnd"/>
            <w:r w:rsidRPr="00CD30E8">
              <w:rPr>
                <w:rFonts w:ascii="Arial" w:hAnsi="Arial" w:cs="Arial"/>
                <w:color w:val="000000"/>
                <w:sz w:val="20"/>
                <w:szCs w:val="20"/>
              </w:rPr>
              <w:t xml:space="preserve"> (primary)</w:t>
            </w:r>
          </w:p>
        </w:tc>
        <w:tc>
          <w:tcPr>
            <w:tcW w:w="877" w:type="pct"/>
            <w:tcBorders>
              <w:top w:val="nil"/>
              <w:left w:val="nil"/>
              <w:bottom w:val="nil"/>
              <w:right w:val="nil"/>
            </w:tcBorders>
            <w:shd w:val="clear" w:color="auto" w:fill="E7E6E6" w:themeFill="background2"/>
            <w:noWrap/>
            <w:vAlign w:val="bottom"/>
          </w:tcPr>
          <w:p w14:paraId="3DDA1585"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hAnsi="Arial" w:cs="Arial"/>
                <w:color w:val="000000"/>
                <w:sz w:val="20"/>
                <w:szCs w:val="20"/>
              </w:rPr>
              <w:t>ctl</w:t>
            </w:r>
            <w:proofErr w:type="spellEnd"/>
          </w:p>
        </w:tc>
        <w:tc>
          <w:tcPr>
            <w:tcW w:w="2381" w:type="pct"/>
            <w:tcBorders>
              <w:top w:val="nil"/>
              <w:left w:val="nil"/>
              <w:bottom w:val="nil"/>
              <w:right w:val="nil"/>
            </w:tcBorders>
            <w:shd w:val="clear" w:color="auto" w:fill="E7E6E6" w:themeFill="background2"/>
            <w:noWrap/>
            <w:vAlign w:val="bottom"/>
          </w:tcPr>
          <w:p w14:paraId="727867F4"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hAnsi="Arial" w:cs="Arial"/>
                <w:color w:val="000000"/>
                <w:sz w:val="20"/>
                <w:szCs w:val="20"/>
              </w:rPr>
              <w:t>Bovine cattle, sheep and goats, horses</w:t>
            </w:r>
          </w:p>
        </w:tc>
      </w:tr>
      <w:tr w:rsidR="00FB08E5" w:rsidRPr="00CD30E8" w14:paraId="6578E0C1" w14:textId="77777777" w:rsidTr="007D6F3C">
        <w:trPr>
          <w:trHeight w:val="331"/>
        </w:trPr>
        <w:tc>
          <w:tcPr>
            <w:tcW w:w="1742" w:type="pct"/>
            <w:tcBorders>
              <w:top w:val="nil"/>
              <w:left w:val="nil"/>
              <w:bottom w:val="nil"/>
              <w:right w:val="nil"/>
            </w:tcBorders>
            <w:shd w:val="clear" w:color="auto" w:fill="F2F2F2" w:themeFill="background1" w:themeFillShade="F2"/>
            <w:noWrap/>
            <w:vAlign w:val="bottom"/>
          </w:tcPr>
          <w:p w14:paraId="7473072D"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hAnsi="Arial" w:cs="Arial"/>
                <w:color w:val="000000"/>
                <w:sz w:val="20"/>
                <w:szCs w:val="20"/>
              </w:rPr>
              <w:t>SheepGoat</w:t>
            </w:r>
            <w:proofErr w:type="spellEnd"/>
          </w:p>
        </w:tc>
        <w:tc>
          <w:tcPr>
            <w:tcW w:w="877" w:type="pct"/>
            <w:tcBorders>
              <w:top w:val="nil"/>
              <w:left w:val="nil"/>
              <w:bottom w:val="nil"/>
              <w:right w:val="nil"/>
            </w:tcBorders>
            <w:shd w:val="clear" w:color="auto" w:fill="F2F2F2" w:themeFill="background1" w:themeFillShade="F2"/>
            <w:noWrap/>
            <w:vAlign w:val="bottom"/>
          </w:tcPr>
          <w:p w14:paraId="7BE745E0"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hAnsi="Arial" w:cs="Arial"/>
                <w:color w:val="000000"/>
                <w:sz w:val="20"/>
                <w:szCs w:val="20"/>
              </w:rPr>
              <w:t>cmt</w:t>
            </w:r>
            <w:proofErr w:type="spellEnd"/>
          </w:p>
        </w:tc>
        <w:tc>
          <w:tcPr>
            <w:tcW w:w="2381" w:type="pct"/>
            <w:tcBorders>
              <w:top w:val="nil"/>
              <w:left w:val="nil"/>
              <w:bottom w:val="nil"/>
              <w:right w:val="nil"/>
            </w:tcBorders>
            <w:shd w:val="clear" w:color="auto" w:fill="F2F2F2" w:themeFill="background1" w:themeFillShade="F2"/>
            <w:noWrap/>
            <w:vAlign w:val="bottom"/>
          </w:tcPr>
          <w:p w14:paraId="72709E61"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hAnsi="Arial" w:cs="Arial"/>
                <w:color w:val="000000"/>
                <w:sz w:val="20"/>
                <w:szCs w:val="20"/>
              </w:rPr>
              <w:t>Bovine meat products</w:t>
            </w:r>
          </w:p>
        </w:tc>
      </w:tr>
      <w:tr w:rsidR="00FB08E5" w:rsidRPr="00CD30E8" w14:paraId="4F2DACD5" w14:textId="77777777" w:rsidTr="007D6F3C">
        <w:trPr>
          <w:trHeight w:val="331"/>
        </w:trPr>
        <w:tc>
          <w:tcPr>
            <w:tcW w:w="1742" w:type="pct"/>
            <w:tcBorders>
              <w:top w:val="nil"/>
              <w:left w:val="nil"/>
              <w:bottom w:val="nil"/>
              <w:right w:val="nil"/>
            </w:tcBorders>
            <w:shd w:val="clear" w:color="auto" w:fill="E7E6E6" w:themeFill="background2"/>
            <w:noWrap/>
            <w:vAlign w:val="center"/>
          </w:tcPr>
          <w:p w14:paraId="69532D25"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OtherMeat_Fish</w:t>
            </w:r>
            <w:proofErr w:type="spellEnd"/>
          </w:p>
        </w:tc>
        <w:tc>
          <w:tcPr>
            <w:tcW w:w="877" w:type="pct"/>
            <w:tcBorders>
              <w:top w:val="nil"/>
              <w:left w:val="nil"/>
              <w:bottom w:val="nil"/>
              <w:right w:val="nil"/>
            </w:tcBorders>
            <w:shd w:val="clear" w:color="auto" w:fill="E7E6E6" w:themeFill="background2"/>
            <w:noWrap/>
            <w:vAlign w:val="center"/>
          </w:tcPr>
          <w:p w14:paraId="36F7C6E6"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fsh</w:t>
            </w:r>
            <w:proofErr w:type="spellEnd"/>
          </w:p>
        </w:tc>
        <w:tc>
          <w:tcPr>
            <w:tcW w:w="2381" w:type="pct"/>
            <w:tcBorders>
              <w:top w:val="nil"/>
              <w:left w:val="nil"/>
              <w:bottom w:val="nil"/>
              <w:right w:val="nil"/>
            </w:tcBorders>
            <w:shd w:val="clear" w:color="auto" w:fill="E7E6E6" w:themeFill="background2"/>
            <w:noWrap/>
            <w:vAlign w:val="center"/>
          </w:tcPr>
          <w:p w14:paraId="5A9632F4"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Fishing</w:t>
            </w:r>
          </w:p>
        </w:tc>
      </w:tr>
      <w:tr w:rsidR="00FB08E5" w:rsidRPr="00CD30E8" w14:paraId="5A596F0A" w14:textId="77777777" w:rsidTr="007D6F3C">
        <w:trPr>
          <w:trHeight w:val="331"/>
        </w:trPr>
        <w:tc>
          <w:tcPr>
            <w:tcW w:w="1742" w:type="pct"/>
            <w:tcBorders>
              <w:top w:val="nil"/>
              <w:left w:val="nil"/>
              <w:bottom w:val="nil"/>
              <w:right w:val="nil"/>
            </w:tcBorders>
            <w:shd w:val="clear" w:color="auto" w:fill="F2F2F2" w:themeFill="background1" w:themeFillShade="F2"/>
            <w:noWrap/>
            <w:vAlign w:val="center"/>
            <w:hideMark/>
          </w:tcPr>
          <w:p w14:paraId="264C3A54"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Forest</w:t>
            </w:r>
          </w:p>
        </w:tc>
        <w:tc>
          <w:tcPr>
            <w:tcW w:w="877" w:type="pct"/>
            <w:tcBorders>
              <w:top w:val="nil"/>
              <w:left w:val="nil"/>
              <w:bottom w:val="nil"/>
              <w:right w:val="nil"/>
            </w:tcBorders>
            <w:shd w:val="clear" w:color="auto" w:fill="F2F2F2" w:themeFill="background1" w:themeFillShade="F2"/>
            <w:noWrap/>
            <w:vAlign w:val="center"/>
            <w:hideMark/>
          </w:tcPr>
          <w:p w14:paraId="55665EEA"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frs</w:t>
            </w:r>
            <w:proofErr w:type="spellEnd"/>
          </w:p>
        </w:tc>
        <w:tc>
          <w:tcPr>
            <w:tcW w:w="2381" w:type="pct"/>
            <w:tcBorders>
              <w:top w:val="nil"/>
              <w:left w:val="nil"/>
              <w:bottom w:val="nil"/>
              <w:right w:val="nil"/>
            </w:tcBorders>
            <w:shd w:val="clear" w:color="auto" w:fill="F2F2F2" w:themeFill="background1" w:themeFillShade="F2"/>
            <w:noWrap/>
            <w:vAlign w:val="center"/>
            <w:hideMark/>
          </w:tcPr>
          <w:p w14:paraId="53540BE7"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Forestry</w:t>
            </w:r>
          </w:p>
        </w:tc>
      </w:tr>
      <w:tr w:rsidR="00FB08E5" w:rsidRPr="00CD30E8" w14:paraId="20AFAA14" w14:textId="77777777" w:rsidTr="007D6F3C">
        <w:trPr>
          <w:trHeight w:val="331"/>
        </w:trPr>
        <w:tc>
          <w:tcPr>
            <w:tcW w:w="1742" w:type="pct"/>
            <w:tcBorders>
              <w:top w:val="nil"/>
              <w:left w:val="nil"/>
              <w:bottom w:val="single" w:sz="4" w:space="0" w:color="auto"/>
              <w:right w:val="nil"/>
            </w:tcBorders>
            <w:shd w:val="clear" w:color="auto" w:fill="E7E6E6" w:themeFill="background2"/>
            <w:noWrap/>
            <w:vAlign w:val="center"/>
            <w:hideMark/>
          </w:tcPr>
          <w:p w14:paraId="3405AF78"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Purpose-grown energy crop</w:t>
            </w:r>
          </w:p>
        </w:tc>
        <w:tc>
          <w:tcPr>
            <w:tcW w:w="877" w:type="pct"/>
            <w:tcBorders>
              <w:top w:val="nil"/>
              <w:left w:val="nil"/>
              <w:bottom w:val="single" w:sz="4" w:space="0" w:color="auto"/>
              <w:right w:val="nil"/>
            </w:tcBorders>
            <w:shd w:val="clear" w:color="auto" w:fill="E7E6E6" w:themeFill="background2"/>
            <w:noWrap/>
            <w:vAlign w:val="center"/>
            <w:hideMark/>
          </w:tcPr>
          <w:p w14:paraId="59296A74" w14:textId="77777777" w:rsidR="00FB08E5" w:rsidRPr="00CD30E8" w:rsidRDefault="00FB08E5" w:rsidP="007D6F3C">
            <w:pPr>
              <w:spacing w:after="0" w:line="240" w:lineRule="auto"/>
              <w:rPr>
                <w:rFonts w:ascii="Arial" w:eastAsia="Times New Roman" w:hAnsi="Arial" w:cs="Arial"/>
                <w:color w:val="000000"/>
                <w:sz w:val="20"/>
                <w:szCs w:val="20"/>
              </w:rPr>
            </w:pPr>
            <w:proofErr w:type="spellStart"/>
            <w:r w:rsidRPr="00CD30E8">
              <w:rPr>
                <w:rFonts w:ascii="Arial" w:eastAsia="Times New Roman" w:hAnsi="Arial" w:cs="Arial"/>
                <w:color w:val="000000"/>
                <w:sz w:val="20"/>
                <w:szCs w:val="20"/>
              </w:rPr>
              <w:t>ocr</w:t>
            </w:r>
            <w:proofErr w:type="spellEnd"/>
          </w:p>
        </w:tc>
        <w:tc>
          <w:tcPr>
            <w:tcW w:w="2381" w:type="pct"/>
            <w:tcBorders>
              <w:top w:val="nil"/>
              <w:left w:val="nil"/>
              <w:bottom w:val="single" w:sz="4" w:space="0" w:color="auto"/>
              <w:right w:val="nil"/>
            </w:tcBorders>
            <w:shd w:val="clear" w:color="auto" w:fill="E7E6E6" w:themeFill="background2"/>
            <w:noWrap/>
            <w:vAlign w:val="center"/>
            <w:hideMark/>
          </w:tcPr>
          <w:p w14:paraId="24E5D882" w14:textId="77777777" w:rsidR="00FB08E5" w:rsidRPr="00CD30E8" w:rsidRDefault="00FB08E5" w:rsidP="007D6F3C">
            <w:pPr>
              <w:spacing w:after="0" w:line="240" w:lineRule="auto"/>
              <w:rPr>
                <w:rFonts w:ascii="Arial" w:eastAsia="Times New Roman" w:hAnsi="Arial" w:cs="Arial"/>
                <w:color w:val="000000"/>
                <w:sz w:val="20"/>
                <w:szCs w:val="20"/>
              </w:rPr>
            </w:pPr>
            <w:r w:rsidRPr="00CD30E8">
              <w:rPr>
                <w:rFonts w:ascii="Arial" w:eastAsia="Times New Roman" w:hAnsi="Arial" w:cs="Arial"/>
                <w:color w:val="000000"/>
                <w:sz w:val="20"/>
                <w:szCs w:val="20"/>
              </w:rPr>
              <w:t xml:space="preserve">Crops </w:t>
            </w:r>
            <w:proofErr w:type="spellStart"/>
            <w:r w:rsidRPr="00CD30E8">
              <w:rPr>
                <w:rFonts w:ascii="Arial" w:eastAsia="Times New Roman" w:hAnsi="Arial" w:cs="Arial"/>
                <w:color w:val="000000"/>
                <w:sz w:val="20"/>
                <w:szCs w:val="20"/>
              </w:rPr>
              <w:t>nec</w:t>
            </w:r>
            <w:proofErr w:type="spellEnd"/>
          </w:p>
        </w:tc>
      </w:tr>
    </w:tbl>
    <w:p w14:paraId="0E1C733F" w14:textId="77777777" w:rsidR="00FB08E5" w:rsidRDefault="00FB08E5" w:rsidP="00FB08E5">
      <w:pPr>
        <w:rPr>
          <w:rFonts w:ascii="Arial" w:hAnsi="Arial" w:cs="Arial"/>
        </w:rPr>
      </w:pPr>
    </w:p>
    <w:p w14:paraId="747DF147" w14:textId="77777777" w:rsidR="00FB08E5" w:rsidRDefault="00FB08E5" w:rsidP="00FB08E5">
      <w:pPr>
        <w:rPr>
          <w:rFonts w:ascii="Arial" w:hAnsi="Arial" w:cs="Arial"/>
        </w:rPr>
      </w:pPr>
    </w:p>
    <w:p w14:paraId="1E9E363E" w14:textId="09155B46" w:rsidR="00FB08E5" w:rsidRDefault="00FB08E5" w:rsidP="00932BD5">
      <w:pPr>
        <w:pStyle w:val="Caption"/>
        <w:spacing w:line="276" w:lineRule="auto"/>
        <w:jc w:val="both"/>
        <w:rPr>
          <w:rFonts w:cs="Arial"/>
        </w:rPr>
      </w:pPr>
      <w:r>
        <w:rPr>
          <w:rFonts w:cs="Arial"/>
        </w:rPr>
        <w:br w:type="page"/>
      </w:r>
    </w:p>
    <w:p w14:paraId="4EE95E17" w14:textId="77777777" w:rsidR="00EF5F99" w:rsidRDefault="00EF5F99" w:rsidP="00EF5F99">
      <w:pPr>
        <w:rPr>
          <w:rFonts w:ascii="Arial" w:hAnsi="Arial" w:cs="Arial"/>
        </w:rPr>
      </w:pPr>
      <w:r>
        <w:rPr>
          <w:noProof/>
        </w:rPr>
        <w:lastRenderedPageBreak/>
        <w:drawing>
          <wp:inline distT="0" distB="0" distL="0" distR="0" wp14:anchorId="35748A06" wp14:editId="52DFD6C7">
            <wp:extent cx="6858000" cy="51435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858000" cy="5143500"/>
                    </a:xfrm>
                    <a:prstGeom prst="rect">
                      <a:avLst/>
                    </a:prstGeom>
                    <a:noFill/>
                    <a:ln>
                      <a:noFill/>
                    </a:ln>
                  </pic:spPr>
                </pic:pic>
              </a:graphicData>
            </a:graphic>
          </wp:inline>
        </w:drawing>
      </w:r>
    </w:p>
    <w:p w14:paraId="3832AEF5" w14:textId="30AFFF50" w:rsidR="004548DA" w:rsidRPr="007C5734" w:rsidRDefault="00EF5F99" w:rsidP="00356A52">
      <w:pPr>
        <w:pStyle w:val="Caption"/>
        <w:jc w:val="both"/>
        <w:rPr>
          <w:rFonts w:cs="Arial"/>
          <w:vanish/>
          <w:sz w:val="22"/>
          <w:szCs w:val="22"/>
          <w:specVanish/>
        </w:rPr>
      </w:pPr>
      <w:bookmarkStart w:id="35" w:name="_Ref162472748"/>
      <w:bookmarkStart w:id="36" w:name="_Toc162998116"/>
      <w:r w:rsidRPr="007C5734">
        <w:rPr>
          <w:sz w:val="22"/>
          <w:szCs w:val="22"/>
        </w:rPr>
        <w:t>Fig. S</w:t>
      </w:r>
      <w:r w:rsidRPr="007C5734">
        <w:rPr>
          <w:sz w:val="22"/>
          <w:szCs w:val="22"/>
        </w:rPr>
        <w:fldChar w:fldCharType="begin"/>
      </w:r>
      <w:r w:rsidRPr="007C5734">
        <w:rPr>
          <w:sz w:val="22"/>
          <w:szCs w:val="22"/>
        </w:rPr>
        <w:instrText xml:space="preserve"> SEQ Fig._S \* ARABIC </w:instrText>
      </w:r>
      <w:r w:rsidRPr="007C5734">
        <w:rPr>
          <w:sz w:val="22"/>
          <w:szCs w:val="22"/>
        </w:rPr>
        <w:fldChar w:fldCharType="separate"/>
      </w:r>
      <w:r w:rsidR="009141B0">
        <w:rPr>
          <w:noProof/>
          <w:sz w:val="22"/>
          <w:szCs w:val="22"/>
        </w:rPr>
        <w:t>5</w:t>
      </w:r>
      <w:r w:rsidRPr="007C5734">
        <w:rPr>
          <w:noProof/>
          <w:sz w:val="22"/>
          <w:szCs w:val="22"/>
        </w:rPr>
        <w:fldChar w:fldCharType="end"/>
      </w:r>
      <w:bookmarkEnd w:id="35"/>
      <w:r w:rsidRPr="007C5734">
        <w:rPr>
          <w:noProof/>
          <w:sz w:val="22"/>
          <w:szCs w:val="22"/>
        </w:rPr>
        <w:t xml:space="preserve"> |</w:t>
      </w:r>
      <w:r w:rsidRPr="007C5734">
        <w:rPr>
          <w:sz w:val="22"/>
          <w:szCs w:val="22"/>
        </w:rPr>
        <w:t xml:space="preserve"> Agricultural labor input share across regions and sectors in 2015.</w:t>
      </w:r>
      <w:bookmarkEnd w:id="36"/>
      <w:r w:rsidRPr="007C5734">
        <w:rPr>
          <w:sz w:val="22"/>
          <w:szCs w:val="22"/>
        </w:rPr>
        <w:t xml:space="preserve"> </w:t>
      </w:r>
      <w:r w:rsidRPr="007C5734">
        <w:rPr>
          <w:rFonts w:cs="Arial"/>
          <w:sz w:val="22"/>
          <w:szCs w:val="22"/>
        </w:rPr>
        <w:t xml:space="preserve"> </w:t>
      </w:r>
    </w:p>
    <w:p w14:paraId="3CEB99B5" w14:textId="648AF101" w:rsidR="00EF5F99" w:rsidRDefault="004548DA" w:rsidP="00356A52">
      <w:pPr>
        <w:jc w:val="both"/>
        <w:rPr>
          <w:rFonts w:ascii="Arial" w:hAnsi="Arial" w:cs="Arial"/>
        </w:rPr>
      </w:pPr>
      <w:r w:rsidRPr="007C5734">
        <w:rPr>
          <w:rFonts w:ascii="Arial" w:hAnsi="Arial" w:cs="Arial"/>
        </w:rPr>
        <w:t xml:space="preserve"> </w:t>
      </w:r>
      <w:r w:rsidR="00EF5F99" w:rsidRPr="007C5734">
        <w:rPr>
          <w:rFonts w:ascii="Arial" w:hAnsi="Arial" w:cs="Arial"/>
        </w:rPr>
        <w:t>The values</w:t>
      </w:r>
      <w:r w:rsidR="00AD0785">
        <w:rPr>
          <w:rFonts w:ascii="Arial" w:hAnsi="Arial" w:cs="Arial"/>
        </w:rPr>
        <w:t xml:space="preserve"> (rounded to the nearest tenth)</w:t>
      </w:r>
      <w:r w:rsidR="00EF5F99" w:rsidRPr="007C5734">
        <w:rPr>
          <w:rFonts w:ascii="Arial" w:hAnsi="Arial" w:cs="Arial"/>
        </w:rPr>
        <w:t xml:space="preserve"> indicate the share of labor input in a sector (x-axis) and a region (y-axis) over the world total. The total world agricultural labor in 2015 is 902 million people, with the fishery sector (not included in the present study) accounting for 3% of the total agricultural labor. Data source: see </w:t>
      </w:r>
      <w:r w:rsidR="00EF5F99" w:rsidRPr="00D57CBA">
        <w:rPr>
          <w:rFonts w:ascii="Arial" w:hAnsi="Arial" w:cs="Arial"/>
          <w:b/>
          <w:bCs/>
        </w:rPr>
        <w:fldChar w:fldCharType="begin"/>
      </w:r>
      <w:r w:rsidR="00EF5F99" w:rsidRPr="00D57CBA">
        <w:rPr>
          <w:rFonts w:ascii="Arial" w:hAnsi="Arial" w:cs="Arial"/>
          <w:b/>
          <w:bCs/>
        </w:rPr>
        <w:instrText xml:space="preserve"> REF _Ref161660967 \h  \* MERGEFORMAT </w:instrText>
      </w:r>
      <w:r w:rsidR="00EF5F99" w:rsidRPr="00D57CBA">
        <w:rPr>
          <w:rFonts w:ascii="Arial" w:hAnsi="Arial" w:cs="Arial"/>
          <w:b/>
          <w:bCs/>
        </w:rPr>
      </w:r>
      <w:r w:rsidR="00EF5F99" w:rsidRPr="00D57CBA">
        <w:rPr>
          <w:rFonts w:ascii="Arial" w:hAnsi="Arial" w:cs="Arial"/>
          <w:b/>
          <w:bCs/>
        </w:rPr>
        <w:fldChar w:fldCharType="separate"/>
      </w:r>
      <w:r w:rsidR="009141B0" w:rsidRPr="00D57CBA">
        <w:rPr>
          <w:rFonts w:ascii="Arial" w:hAnsi="Arial" w:cs="Arial"/>
          <w:b/>
          <w:bCs/>
        </w:rPr>
        <w:t>Fig. S4</w:t>
      </w:r>
      <w:r w:rsidR="00EF5F99" w:rsidRPr="00D57CBA">
        <w:rPr>
          <w:rFonts w:ascii="Arial" w:hAnsi="Arial" w:cs="Arial"/>
          <w:b/>
          <w:bCs/>
        </w:rPr>
        <w:fldChar w:fldCharType="end"/>
      </w:r>
      <w:r w:rsidR="00EF5F99" w:rsidRPr="007C5734">
        <w:rPr>
          <w:rFonts w:ascii="Arial" w:hAnsi="Arial" w:cs="Arial"/>
        </w:rPr>
        <w:t>.</w:t>
      </w:r>
    </w:p>
    <w:p w14:paraId="08BE552A" w14:textId="77777777" w:rsidR="004A1CC1" w:rsidRDefault="004A1CC1" w:rsidP="00356A52">
      <w:pPr>
        <w:jc w:val="both"/>
        <w:rPr>
          <w:rFonts w:ascii="Arial" w:hAnsi="Arial" w:cs="Arial"/>
        </w:rPr>
      </w:pPr>
    </w:p>
    <w:p w14:paraId="3A843B28" w14:textId="77777777" w:rsidR="00244E5D" w:rsidRDefault="00244E5D" w:rsidP="00356A52">
      <w:pPr>
        <w:jc w:val="both"/>
        <w:rPr>
          <w:rFonts w:ascii="Arial" w:hAnsi="Arial" w:cs="Arial"/>
        </w:rPr>
      </w:pPr>
    </w:p>
    <w:p w14:paraId="54E0481D" w14:textId="77777777" w:rsidR="00244E5D" w:rsidRDefault="00244E5D">
      <w:pPr>
        <w:rPr>
          <w:rFonts w:ascii="Arial" w:eastAsia="Cambria" w:hAnsi="Arial" w:cs="Arial"/>
          <w:b/>
          <w:color w:val="000000"/>
        </w:rPr>
      </w:pPr>
      <w:r>
        <w:br w:type="page"/>
      </w:r>
    </w:p>
    <w:p w14:paraId="1C3A4F47" w14:textId="2D725DEA" w:rsidR="004548DA" w:rsidRDefault="004548DA" w:rsidP="004548DA">
      <w:pPr>
        <w:rPr>
          <w:rFonts w:ascii="Arial" w:hAnsi="Arial" w:cs="Arial"/>
        </w:rPr>
      </w:pPr>
      <w:r>
        <w:rPr>
          <w:noProof/>
        </w:rPr>
        <w:lastRenderedPageBreak/>
        <w:drawing>
          <wp:inline distT="0" distB="0" distL="0" distR="0" wp14:anchorId="10C2EDF6" wp14:editId="212FB53C">
            <wp:extent cx="6858000" cy="6858000"/>
            <wp:effectExtent l="0" t="0" r="0" b="0"/>
            <wp:docPr id="20" name="Graphic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96DAC541-7B7A-43D3-8B79-37D633B846F1}">
                          <asvg:svgBlip xmlns:asvg="http://schemas.microsoft.com/office/drawing/2016/SVG/main" r:embed="rId21"/>
                        </a:ext>
                      </a:extLst>
                    </a:blip>
                    <a:stretch>
                      <a:fillRect/>
                    </a:stretch>
                  </pic:blipFill>
                  <pic:spPr>
                    <a:xfrm>
                      <a:off x="0" y="0"/>
                      <a:ext cx="6858000" cy="6858000"/>
                    </a:xfrm>
                    <a:prstGeom prst="rect">
                      <a:avLst/>
                    </a:prstGeom>
                  </pic:spPr>
                </pic:pic>
              </a:graphicData>
            </a:graphic>
          </wp:inline>
        </w:drawing>
      </w:r>
    </w:p>
    <w:p w14:paraId="04002339" w14:textId="512BCEB9" w:rsidR="004548DA" w:rsidRPr="007C5734" w:rsidRDefault="004548DA" w:rsidP="004548DA">
      <w:pPr>
        <w:pStyle w:val="Caption"/>
        <w:jc w:val="both"/>
        <w:rPr>
          <w:vanish/>
          <w:sz w:val="22"/>
          <w:szCs w:val="22"/>
          <w:specVanish/>
        </w:rPr>
      </w:pPr>
      <w:bookmarkStart w:id="37" w:name="_Ref162475181"/>
      <w:bookmarkStart w:id="38" w:name="_Toc162998117"/>
      <w:r w:rsidRPr="007C5734">
        <w:rPr>
          <w:sz w:val="22"/>
          <w:szCs w:val="22"/>
        </w:rPr>
        <w:t>Fig. S</w:t>
      </w:r>
      <w:r w:rsidRPr="007C5734">
        <w:rPr>
          <w:sz w:val="22"/>
          <w:szCs w:val="22"/>
        </w:rPr>
        <w:fldChar w:fldCharType="begin"/>
      </w:r>
      <w:r w:rsidRPr="007C5734">
        <w:rPr>
          <w:sz w:val="22"/>
          <w:szCs w:val="22"/>
        </w:rPr>
        <w:instrText xml:space="preserve"> SEQ Fig._S \* ARABIC </w:instrText>
      </w:r>
      <w:r w:rsidRPr="007C5734">
        <w:rPr>
          <w:sz w:val="22"/>
          <w:szCs w:val="22"/>
        </w:rPr>
        <w:fldChar w:fldCharType="separate"/>
      </w:r>
      <w:r w:rsidR="009141B0">
        <w:rPr>
          <w:noProof/>
          <w:sz w:val="22"/>
          <w:szCs w:val="22"/>
        </w:rPr>
        <w:t>6</w:t>
      </w:r>
      <w:r w:rsidRPr="007C5734">
        <w:rPr>
          <w:noProof/>
          <w:sz w:val="22"/>
          <w:szCs w:val="22"/>
        </w:rPr>
        <w:fldChar w:fldCharType="end"/>
      </w:r>
      <w:bookmarkEnd w:id="37"/>
      <w:r w:rsidRPr="007C5734">
        <w:rPr>
          <w:sz w:val="22"/>
          <w:szCs w:val="22"/>
        </w:rPr>
        <w:t xml:space="preserve"> | </w:t>
      </w:r>
      <w:r w:rsidR="00072806" w:rsidRPr="007C5734">
        <w:rPr>
          <w:sz w:val="22"/>
          <w:szCs w:val="22"/>
        </w:rPr>
        <w:t>P</w:t>
      </w:r>
      <w:r w:rsidRPr="007C5734">
        <w:rPr>
          <w:sz w:val="22"/>
          <w:szCs w:val="22"/>
        </w:rPr>
        <w:t>rojections of agricultural productivity across regions and scenarios.</w:t>
      </w:r>
      <w:bookmarkEnd w:id="38"/>
      <w:r w:rsidRPr="007C5734">
        <w:rPr>
          <w:sz w:val="22"/>
          <w:szCs w:val="22"/>
        </w:rPr>
        <w:t xml:space="preserve"> </w:t>
      </w:r>
    </w:p>
    <w:p w14:paraId="1453FFAD" w14:textId="6EAA5D51" w:rsidR="004548DA" w:rsidRPr="007C5734" w:rsidRDefault="004548DA" w:rsidP="004548DA">
      <w:pPr>
        <w:spacing w:line="276" w:lineRule="auto"/>
        <w:jc w:val="both"/>
        <w:rPr>
          <w:rFonts w:ascii="Arial" w:hAnsi="Arial" w:cs="Arial"/>
        </w:rPr>
      </w:pPr>
      <w:r w:rsidRPr="007C5734">
        <w:rPr>
          <w:rFonts w:ascii="Arial" w:hAnsi="Arial" w:cs="Arial"/>
        </w:rPr>
        <w:t xml:space="preserve"> Panel (A) presents global mean agricultural labor productivity in 2015, 2050 and 2100 and Panel (B) shows the corresponding changes (lines) over time relative to 2015</w:t>
      </w:r>
      <w:r w:rsidR="00E43F67">
        <w:rPr>
          <w:rFonts w:ascii="Arial" w:hAnsi="Arial" w:cs="Arial"/>
        </w:rPr>
        <w:t xml:space="preserve">. </w:t>
      </w:r>
      <w:r w:rsidRPr="007C5734">
        <w:rPr>
          <w:rFonts w:ascii="Arial" w:hAnsi="Arial" w:cs="Arial"/>
        </w:rPr>
        <w:t>Labor productivity growth in the Evolving is calibrated productivity growth from GCAM7-core. High and low scenarios are based on chosen alternative assumptions</w:t>
      </w:r>
      <w:r w:rsidR="001D20C3">
        <w:rPr>
          <w:rFonts w:ascii="Arial" w:hAnsi="Arial" w:cs="Arial"/>
        </w:rPr>
        <w:t>, i.e., plus or minus 30% in growth rates</w:t>
      </w:r>
      <w:r w:rsidRPr="007C5734">
        <w:rPr>
          <w:rFonts w:ascii="Arial" w:hAnsi="Arial" w:cs="Arial"/>
        </w:rPr>
        <w:t>.</w:t>
      </w:r>
    </w:p>
    <w:p w14:paraId="75844BA3" w14:textId="77777777" w:rsidR="004548DA" w:rsidRDefault="004548DA" w:rsidP="004548DA">
      <w:pPr>
        <w:jc w:val="both"/>
        <w:rPr>
          <w:rFonts w:ascii="Arial" w:hAnsi="Arial" w:cs="Arial"/>
          <w:szCs w:val="20"/>
        </w:rPr>
      </w:pPr>
    </w:p>
    <w:p w14:paraId="6F56AA77" w14:textId="77777777" w:rsidR="004548DA" w:rsidRDefault="004548DA" w:rsidP="004548DA">
      <w:pPr>
        <w:jc w:val="both"/>
        <w:rPr>
          <w:rFonts w:ascii="Arial" w:hAnsi="Arial" w:cs="Arial"/>
        </w:rPr>
      </w:pPr>
    </w:p>
    <w:p w14:paraId="6AD699FA" w14:textId="77777777" w:rsidR="004548DA" w:rsidRDefault="004548DA" w:rsidP="004548DA">
      <w:pPr>
        <w:jc w:val="both"/>
        <w:rPr>
          <w:rFonts w:ascii="Arial" w:hAnsi="Arial" w:cs="Arial"/>
        </w:rPr>
      </w:pPr>
      <w:r>
        <w:rPr>
          <w:noProof/>
        </w:rPr>
        <w:lastRenderedPageBreak/>
        <w:drawing>
          <wp:inline distT="0" distB="0" distL="0" distR="0" wp14:anchorId="3E48817C" wp14:editId="7E9C3ED8">
            <wp:extent cx="6858000" cy="6858000"/>
            <wp:effectExtent l="0" t="0" r="0" b="0"/>
            <wp:docPr id="17" name="Graphic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96DAC541-7B7A-43D3-8B79-37D633B846F1}">
                          <asvg:svgBlip xmlns:asvg="http://schemas.microsoft.com/office/drawing/2016/SVG/main" r:embed="rId23"/>
                        </a:ext>
                      </a:extLst>
                    </a:blip>
                    <a:stretch>
                      <a:fillRect/>
                    </a:stretch>
                  </pic:blipFill>
                  <pic:spPr>
                    <a:xfrm>
                      <a:off x="0" y="0"/>
                      <a:ext cx="6858000" cy="6858000"/>
                    </a:xfrm>
                    <a:prstGeom prst="rect">
                      <a:avLst/>
                    </a:prstGeom>
                  </pic:spPr>
                </pic:pic>
              </a:graphicData>
            </a:graphic>
          </wp:inline>
        </w:drawing>
      </w:r>
    </w:p>
    <w:p w14:paraId="45DE0AAD" w14:textId="1EDFFF7A" w:rsidR="004548DA" w:rsidRPr="007C5734" w:rsidRDefault="004548DA" w:rsidP="004548DA">
      <w:pPr>
        <w:pStyle w:val="Caption"/>
        <w:jc w:val="both"/>
        <w:rPr>
          <w:vanish/>
          <w:sz w:val="22"/>
          <w:szCs w:val="22"/>
          <w:specVanish/>
        </w:rPr>
      </w:pPr>
      <w:bookmarkStart w:id="39" w:name="_Ref162475190"/>
      <w:bookmarkStart w:id="40" w:name="_Toc162998118"/>
      <w:r w:rsidRPr="007C5734">
        <w:rPr>
          <w:sz w:val="22"/>
          <w:szCs w:val="22"/>
        </w:rPr>
        <w:t>Fig. S</w:t>
      </w:r>
      <w:r w:rsidRPr="007C5734">
        <w:rPr>
          <w:sz w:val="22"/>
          <w:szCs w:val="22"/>
        </w:rPr>
        <w:fldChar w:fldCharType="begin"/>
      </w:r>
      <w:r w:rsidRPr="007C5734">
        <w:rPr>
          <w:sz w:val="22"/>
          <w:szCs w:val="22"/>
        </w:rPr>
        <w:instrText xml:space="preserve"> SEQ Fig._S \* ARABIC </w:instrText>
      </w:r>
      <w:r w:rsidRPr="007C5734">
        <w:rPr>
          <w:sz w:val="22"/>
          <w:szCs w:val="22"/>
        </w:rPr>
        <w:fldChar w:fldCharType="separate"/>
      </w:r>
      <w:r w:rsidR="009141B0">
        <w:rPr>
          <w:noProof/>
          <w:sz w:val="22"/>
          <w:szCs w:val="22"/>
        </w:rPr>
        <w:t>7</w:t>
      </w:r>
      <w:r w:rsidRPr="007C5734">
        <w:rPr>
          <w:noProof/>
          <w:sz w:val="22"/>
          <w:szCs w:val="22"/>
        </w:rPr>
        <w:fldChar w:fldCharType="end"/>
      </w:r>
      <w:bookmarkEnd w:id="39"/>
      <w:r w:rsidRPr="007C5734">
        <w:rPr>
          <w:sz w:val="22"/>
          <w:szCs w:val="22"/>
        </w:rPr>
        <w:t xml:space="preserve"> | </w:t>
      </w:r>
      <w:r w:rsidR="00072806" w:rsidRPr="007C5734">
        <w:rPr>
          <w:sz w:val="22"/>
          <w:szCs w:val="22"/>
        </w:rPr>
        <w:t>P</w:t>
      </w:r>
      <w:r w:rsidRPr="007C5734">
        <w:rPr>
          <w:sz w:val="22"/>
          <w:szCs w:val="22"/>
        </w:rPr>
        <w:t>rojections of rural population across regions and scenarios.</w:t>
      </w:r>
      <w:bookmarkEnd w:id="40"/>
      <w:r w:rsidRPr="007C5734">
        <w:rPr>
          <w:sz w:val="22"/>
          <w:szCs w:val="22"/>
        </w:rPr>
        <w:t xml:space="preserve"> </w:t>
      </w:r>
    </w:p>
    <w:p w14:paraId="724C5640" w14:textId="5A3F2D3F" w:rsidR="004548DA" w:rsidRDefault="004548DA" w:rsidP="004548DA">
      <w:pPr>
        <w:jc w:val="both"/>
        <w:rPr>
          <w:rFonts w:ascii="Arial" w:hAnsi="Arial" w:cs="Arial"/>
        </w:rPr>
      </w:pPr>
      <w:r w:rsidRPr="007C5734">
        <w:rPr>
          <w:rFonts w:ascii="Arial" w:hAnsi="Arial" w:cs="Arial"/>
        </w:rPr>
        <w:t xml:space="preserve"> Panel (A) presents global rural population in 2015, 2050 and 2100 across 5 SSPs, and Panel (B) shows the corresponding changes (lines) over time</w:t>
      </w:r>
      <w:r w:rsidR="00244E5D">
        <w:rPr>
          <w:rFonts w:ascii="Arial" w:hAnsi="Arial" w:cs="Arial"/>
        </w:rPr>
        <w:t xml:space="preserve">. </w:t>
      </w:r>
      <w:r w:rsidRPr="007C5734">
        <w:rPr>
          <w:rFonts w:ascii="Arial" w:hAnsi="Arial" w:cs="Arial"/>
        </w:rPr>
        <w:t>Source: SSP Database</w:t>
      </w:r>
      <w:r w:rsidR="00244E5D">
        <w:rPr>
          <w:rFonts w:ascii="Arial" w:hAnsi="Arial" w:cs="Arial"/>
        </w:rPr>
        <w:fldChar w:fldCharType="begin"/>
      </w:r>
      <w:r w:rsidR="00794F95">
        <w:rPr>
          <w:rFonts w:ascii="Arial" w:hAnsi="Arial" w:cs="Arial"/>
        </w:rPr>
        <w:instrText xml:space="preserve"> ADDIN ZOTERO_ITEM CSL_CITATION {"citationID":"aeci4p05kr","properties":{"formattedCitation":"\\super 1\\nosupersub{}","plainCitation":"1","noteIndex":0},"citationItems":[{"id":1635,"uris":["http://zotero.org/users/8267882/items/ZJ3LXJXS"],"itemData":{"id":1635,"type":"article-journal","abstract":"Long-term scenarios play an important role in research on global environmental change. The climate change research community is developing new scenarios integrating future changes in climate and society to investigate climate impacts as well as options for mitigation and adaptation. One component of these new scenarios is a set of alternative futures of societal development known as the shared socioeconomic pathways (SSPs). The conceptual framework for the design and use of the SSPs calls for the development of global pathways describing the future evolution of key aspects of society that would together imply a range of challenges for mitigating and adapting to climate change. Here we present one component of these pathways: the SSP narratives, a set of five qualitative descriptions of future changes in demographics, human development, economy and lifestyle, policies and institutions, technology, and environment and natural resources. We describe the methods used to develop the narratives as well as how these pathways are hypothesized to produce particular combinations of challenges to mitigation and adaptation. Development of the narratives drew on expert opinion to (1) identify key determinants of these challenges that were essential to incorporate in the narratives and (2) combine these elements in the narratives in a manner consistent with scholarship on their inter-relationships. The narratives are intended as a description of plausible future conditions at the level of large world regions that can serve as a basis for integrated scenarios of emissions and land use, as well as climate impact, adaptation and vulnerability analyses.","container-title":"Global Environmental Change","DOI":"10.1016/j.gloenvcha.2015.01.004","ISSN":"0959-3780","journalAbbreviation":"Global Environmental Change","language":"en","page":"169-180","source":"ScienceDirect","title":"The roads ahead: Narratives for shared socioeconomic pathways describing world futures in the 21st century","title-short":"The roads ahead","URL":"https://www.sciencedirect.com/science/article/pii/S0959378015000060","volume":"42","author":[{"family":"O’Neill","given":"Brian C."},{"family":"Kriegler","given":"Elmar"},{"family":"Ebi","given":"Kristie L."},{"family":"Kemp-Benedict","given":"Eric"},{"family":"Riahi","given":"Keywan"},{"family":"Rothman","given":"Dale S."},{"family":"Ruijven","given":"Bas J.","non-dropping-particle":"van"},{"family":"Vuuren","given":"Detlef P.","non-dropping-particle":"van"},{"family":"Birkmann","given":"Joern"},{"family":"Kok","given":"Kasper"},{"family":"Levy","given":"Marc"},{"family":"Solecki","given":"William"}],"accessed":{"date-parts":[["2021",11,29]]},"issued":{"date-parts":[["2017",1,1]]}}}],"schema":"https://github.com/citation-style-language/schema/raw/master/csl-citation.json"} </w:instrText>
      </w:r>
      <w:r w:rsidR="00244E5D">
        <w:rPr>
          <w:rFonts w:ascii="Arial" w:hAnsi="Arial" w:cs="Arial"/>
        </w:rPr>
        <w:fldChar w:fldCharType="separate"/>
      </w:r>
      <w:r w:rsidR="00794F95" w:rsidRPr="00794F95">
        <w:rPr>
          <w:rFonts w:ascii="Arial" w:hAnsi="Arial" w:cs="Arial"/>
          <w:szCs w:val="24"/>
          <w:vertAlign w:val="superscript"/>
        </w:rPr>
        <w:t>1</w:t>
      </w:r>
      <w:r w:rsidR="00244E5D">
        <w:rPr>
          <w:rFonts w:ascii="Arial" w:hAnsi="Arial" w:cs="Arial"/>
        </w:rPr>
        <w:fldChar w:fldCharType="end"/>
      </w:r>
    </w:p>
    <w:p w14:paraId="742A27CD" w14:textId="77777777" w:rsidR="009E73C7" w:rsidRDefault="009E73C7" w:rsidP="004548DA">
      <w:pPr>
        <w:jc w:val="both"/>
        <w:rPr>
          <w:rFonts w:ascii="Arial" w:hAnsi="Arial" w:cs="Arial"/>
        </w:rPr>
        <w:sectPr w:rsidR="009E73C7" w:rsidSect="00572106">
          <w:pgSz w:w="12240" w:h="15840"/>
          <w:pgMar w:top="1152" w:right="720" w:bottom="720" w:left="720" w:header="720" w:footer="720" w:gutter="0"/>
          <w:cols w:space="720"/>
          <w:docGrid w:linePitch="360"/>
        </w:sectPr>
      </w:pPr>
    </w:p>
    <w:p w14:paraId="228ECE1A" w14:textId="7088C819" w:rsidR="00325D48" w:rsidRPr="00ED68E3" w:rsidRDefault="00325D48" w:rsidP="00B63D97">
      <w:pPr>
        <w:pStyle w:val="Heading1"/>
        <w:spacing w:line="276" w:lineRule="auto"/>
        <w:rPr>
          <w:sz w:val="22"/>
        </w:rPr>
      </w:pPr>
      <w:bookmarkStart w:id="41" w:name="_Toc162998001"/>
      <w:r w:rsidRPr="00ED68E3">
        <w:rPr>
          <w:sz w:val="22"/>
        </w:rPr>
        <w:lastRenderedPageBreak/>
        <w:t>S2. Supplementary results</w:t>
      </w:r>
      <w:bookmarkEnd w:id="41"/>
      <w:r w:rsidRPr="00ED68E3">
        <w:rPr>
          <w:sz w:val="22"/>
        </w:rPr>
        <w:t xml:space="preserve"> </w:t>
      </w:r>
    </w:p>
    <w:p w14:paraId="2E6C66D0" w14:textId="4B53EB85" w:rsidR="00325D48" w:rsidRDefault="00325D48" w:rsidP="00BA252C">
      <w:pPr>
        <w:spacing w:after="120" w:line="276" w:lineRule="auto"/>
        <w:rPr>
          <w:rFonts w:ascii="Arial" w:hAnsi="Arial" w:cs="Arial"/>
        </w:rPr>
      </w:pPr>
      <w:r w:rsidRPr="00ED68E3">
        <w:rPr>
          <w:rFonts w:ascii="Arial" w:hAnsi="Arial" w:cs="Arial"/>
        </w:rPr>
        <w:t>In the main result section, we</w:t>
      </w:r>
      <w:r w:rsidR="005948B5">
        <w:rPr>
          <w:rFonts w:ascii="Arial" w:hAnsi="Arial" w:cs="Arial"/>
        </w:rPr>
        <w:t xml:space="preserve"> have </w:t>
      </w:r>
      <w:r w:rsidRPr="00ED68E3">
        <w:rPr>
          <w:rFonts w:ascii="Arial" w:hAnsi="Arial" w:cs="Arial"/>
        </w:rPr>
        <w:t xml:space="preserve">presented highlights of the Evolving projections, and here we include additional </w:t>
      </w:r>
      <w:r w:rsidR="00035F0C">
        <w:rPr>
          <w:rFonts w:ascii="Arial" w:hAnsi="Arial" w:cs="Arial"/>
        </w:rPr>
        <w:t>results</w:t>
      </w:r>
      <w:r w:rsidRPr="00ED68E3">
        <w:rPr>
          <w:rFonts w:ascii="Arial" w:hAnsi="Arial" w:cs="Arial"/>
        </w:rPr>
        <w:t xml:space="preserve"> of the Evolving projections</w:t>
      </w:r>
      <w:r w:rsidR="001207AF">
        <w:rPr>
          <w:rFonts w:ascii="Arial" w:hAnsi="Arial" w:cs="Arial"/>
        </w:rPr>
        <w:t>.</w:t>
      </w:r>
      <w:r w:rsidR="00035F0C">
        <w:rPr>
          <w:rFonts w:ascii="Arial" w:hAnsi="Arial" w:cs="Arial"/>
        </w:rPr>
        <w:t xml:space="preserve"> </w:t>
      </w:r>
      <w:r w:rsidR="0034160C" w:rsidRPr="0034160C">
        <w:rPr>
          <w:rFonts w:ascii="Arial" w:hAnsi="Arial" w:cs="Arial"/>
          <w:b/>
          <w:bCs/>
        </w:rPr>
        <w:fldChar w:fldCharType="begin"/>
      </w:r>
      <w:r w:rsidR="0034160C" w:rsidRPr="0034160C">
        <w:rPr>
          <w:rFonts w:ascii="Arial" w:hAnsi="Arial" w:cs="Arial"/>
          <w:b/>
          <w:bCs/>
        </w:rPr>
        <w:instrText xml:space="preserve"> REF _Ref162474014 \h  \* MERGEFORMAT </w:instrText>
      </w:r>
      <w:r w:rsidR="0034160C" w:rsidRPr="0034160C">
        <w:rPr>
          <w:rFonts w:ascii="Arial" w:hAnsi="Arial" w:cs="Arial"/>
          <w:b/>
          <w:bCs/>
        </w:rPr>
      </w:r>
      <w:r w:rsidR="0034160C" w:rsidRPr="0034160C">
        <w:rPr>
          <w:rFonts w:ascii="Arial" w:hAnsi="Arial" w:cs="Arial"/>
          <w:b/>
          <w:bCs/>
        </w:rPr>
        <w:fldChar w:fldCharType="separate"/>
      </w:r>
      <w:r w:rsidR="009141B0" w:rsidRPr="009141B0">
        <w:rPr>
          <w:rFonts w:ascii="Arial" w:hAnsi="Arial" w:cs="Arial"/>
          <w:b/>
          <w:bCs/>
        </w:rPr>
        <w:t>Fig. S8</w:t>
      </w:r>
      <w:r w:rsidR="0034160C" w:rsidRPr="0034160C">
        <w:rPr>
          <w:rFonts w:ascii="Arial" w:hAnsi="Arial" w:cs="Arial"/>
          <w:b/>
          <w:bCs/>
        </w:rPr>
        <w:fldChar w:fldCharType="end"/>
      </w:r>
      <w:r w:rsidR="0034160C">
        <w:rPr>
          <w:rFonts w:ascii="Arial" w:hAnsi="Arial" w:cs="Arial"/>
        </w:rPr>
        <w:t xml:space="preserve"> </w:t>
      </w:r>
      <w:r w:rsidR="00BA1F14">
        <w:rPr>
          <w:rFonts w:ascii="Arial" w:hAnsi="Arial" w:cs="Arial"/>
        </w:rPr>
        <w:t xml:space="preserve">summarizes the population and labor-related metrics across </w:t>
      </w:r>
      <w:r w:rsidR="00FF5F6F">
        <w:rPr>
          <w:rFonts w:ascii="Arial" w:hAnsi="Arial" w:cs="Arial"/>
        </w:rPr>
        <w:t>regions</w:t>
      </w:r>
      <w:r w:rsidR="00114FD2">
        <w:rPr>
          <w:rFonts w:ascii="Arial" w:hAnsi="Arial" w:cs="Arial"/>
        </w:rPr>
        <w:t>, supplementing the main Fig. 1C</w:t>
      </w:r>
      <w:r w:rsidR="00FF5F6F">
        <w:rPr>
          <w:rFonts w:ascii="Arial" w:hAnsi="Arial" w:cs="Arial"/>
        </w:rPr>
        <w:t>.</w:t>
      </w:r>
      <w:r w:rsidR="00BA1F14">
        <w:rPr>
          <w:rFonts w:ascii="Arial" w:hAnsi="Arial" w:cs="Arial"/>
        </w:rPr>
        <w:t xml:space="preserve"> </w:t>
      </w:r>
      <w:r w:rsidR="0034160C" w:rsidRPr="0034160C">
        <w:rPr>
          <w:rFonts w:ascii="Arial" w:hAnsi="Arial" w:cs="Arial"/>
          <w:b/>
          <w:bCs/>
        </w:rPr>
        <w:fldChar w:fldCharType="begin"/>
      </w:r>
      <w:r w:rsidR="0034160C" w:rsidRPr="0034160C">
        <w:rPr>
          <w:rFonts w:ascii="Arial" w:hAnsi="Arial" w:cs="Arial"/>
          <w:b/>
          <w:bCs/>
        </w:rPr>
        <w:instrText xml:space="preserve"> REF _Ref162474020 \h  \* MERGEFORMAT </w:instrText>
      </w:r>
      <w:r w:rsidR="0034160C" w:rsidRPr="0034160C">
        <w:rPr>
          <w:rFonts w:ascii="Arial" w:hAnsi="Arial" w:cs="Arial"/>
          <w:b/>
          <w:bCs/>
        </w:rPr>
      </w:r>
      <w:r w:rsidR="0034160C" w:rsidRPr="0034160C">
        <w:rPr>
          <w:rFonts w:ascii="Arial" w:hAnsi="Arial" w:cs="Arial"/>
          <w:b/>
          <w:bCs/>
        </w:rPr>
        <w:fldChar w:fldCharType="separate"/>
      </w:r>
      <w:r w:rsidR="009141B0" w:rsidRPr="009141B0">
        <w:rPr>
          <w:rFonts w:ascii="Arial" w:hAnsi="Arial" w:cs="Arial"/>
          <w:b/>
          <w:bCs/>
        </w:rPr>
        <w:t>Fig. S9</w:t>
      </w:r>
      <w:r w:rsidR="0034160C" w:rsidRPr="0034160C">
        <w:rPr>
          <w:rFonts w:ascii="Arial" w:hAnsi="Arial" w:cs="Arial"/>
          <w:b/>
          <w:bCs/>
        </w:rPr>
        <w:fldChar w:fldCharType="end"/>
      </w:r>
      <w:r w:rsidR="001207AF" w:rsidRPr="0034160C">
        <w:rPr>
          <w:rFonts w:ascii="Arial" w:hAnsi="Arial" w:cs="Arial"/>
        </w:rPr>
        <w:t xml:space="preserve"> p</w:t>
      </w:r>
      <w:r w:rsidR="001207AF">
        <w:rPr>
          <w:rFonts w:ascii="Arial" w:hAnsi="Arial" w:cs="Arial"/>
        </w:rPr>
        <w:t xml:space="preserve">resents </w:t>
      </w:r>
      <w:r w:rsidR="005948B5">
        <w:rPr>
          <w:rFonts w:ascii="Arial" w:hAnsi="Arial" w:cs="Arial"/>
        </w:rPr>
        <w:t xml:space="preserve">a full picture of agroeconomic and environment results, including </w:t>
      </w:r>
      <w:r w:rsidR="001207AF">
        <w:rPr>
          <w:rFonts w:ascii="Arial" w:hAnsi="Arial" w:cs="Arial"/>
        </w:rPr>
        <w:t>land cover and use, agricultural labor, capital, water, fertilizer input levels,</w:t>
      </w:r>
      <w:r w:rsidR="00FD03DC">
        <w:rPr>
          <w:rFonts w:ascii="Arial" w:hAnsi="Arial" w:cs="Arial"/>
        </w:rPr>
        <w:t xml:space="preserve"> </w:t>
      </w:r>
      <w:r w:rsidR="000C5F3A">
        <w:rPr>
          <w:rFonts w:ascii="Arial" w:hAnsi="Arial" w:cs="Arial"/>
        </w:rPr>
        <w:t>s</w:t>
      </w:r>
      <w:r w:rsidR="00FD03DC">
        <w:rPr>
          <w:rFonts w:ascii="Arial" w:hAnsi="Arial" w:cs="Arial"/>
        </w:rPr>
        <w:t>upply</w:t>
      </w:r>
      <w:r w:rsidR="000C5F3A">
        <w:rPr>
          <w:rFonts w:ascii="Arial" w:hAnsi="Arial" w:cs="Arial"/>
        </w:rPr>
        <w:t xml:space="preserve"> u</w:t>
      </w:r>
      <w:r w:rsidR="00FD03DC">
        <w:rPr>
          <w:rFonts w:ascii="Arial" w:hAnsi="Arial" w:cs="Arial"/>
        </w:rPr>
        <w:t>tilization</w:t>
      </w:r>
      <w:r w:rsidR="000C5F3A">
        <w:rPr>
          <w:rFonts w:ascii="Arial" w:hAnsi="Arial" w:cs="Arial"/>
        </w:rPr>
        <w:t xml:space="preserve"> a</w:t>
      </w:r>
      <w:r w:rsidR="00FD03DC">
        <w:rPr>
          <w:rFonts w:ascii="Arial" w:hAnsi="Arial" w:cs="Arial"/>
        </w:rPr>
        <w:t>ccount</w:t>
      </w:r>
      <w:r w:rsidR="000C5F3A">
        <w:rPr>
          <w:rFonts w:ascii="Arial" w:hAnsi="Arial" w:cs="Arial"/>
        </w:rPr>
        <w:t>s</w:t>
      </w:r>
      <w:r w:rsidR="00FD03DC">
        <w:rPr>
          <w:rFonts w:ascii="Arial" w:hAnsi="Arial" w:cs="Arial"/>
        </w:rPr>
        <w:t xml:space="preserve"> for staple</w:t>
      </w:r>
      <w:r w:rsidR="0049521D">
        <w:rPr>
          <w:rFonts w:ascii="Arial" w:hAnsi="Arial" w:cs="Arial"/>
        </w:rPr>
        <w:t xml:space="preserve"> crops</w:t>
      </w:r>
      <w:r w:rsidR="00FD03DC">
        <w:rPr>
          <w:rFonts w:ascii="Arial" w:hAnsi="Arial" w:cs="Arial"/>
        </w:rPr>
        <w:t xml:space="preserve"> and beef products</w:t>
      </w:r>
      <w:r w:rsidR="0049521D">
        <w:rPr>
          <w:rFonts w:ascii="Arial" w:hAnsi="Arial" w:cs="Arial"/>
        </w:rPr>
        <w:t>,</w:t>
      </w:r>
      <w:r w:rsidR="00FD03DC">
        <w:rPr>
          <w:rFonts w:ascii="Arial" w:hAnsi="Arial" w:cs="Arial"/>
        </w:rPr>
        <w:t xml:space="preserve"> </w:t>
      </w:r>
      <w:r w:rsidR="0049521D">
        <w:rPr>
          <w:rFonts w:ascii="Arial" w:hAnsi="Arial" w:cs="Arial"/>
        </w:rPr>
        <w:t xml:space="preserve">agricultural prices, and the emission results, </w:t>
      </w:r>
      <w:r w:rsidR="001207AF">
        <w:rPr>
          <w:rFonts w:ascii="Arial" w:hAnsi="Arial" w:cs="Arial"/>
        </w:rPr>
        <w:t>at AR6 R10 region level as well as the global level.</w:t>
      </w:r>
    </w:p>
    <w:p w14:paraId="1F7B94E6" w14:textId="1CA41493" w:rsidR="009C57F3" w:rsidRDefault="009C57F3" w:rsidP="00BA252C">
      <w:pPr>
        <w:spacing w:after="120" w:line="276" w:lineRule="auto"/>
        <w:rPr>
          <w:rFonts w:ascii="Arial" w:hAnsi="Arial" w:cs="Arial"/>
        </w:rPr>
      </w:pPr>
      <w:r>
        <w:rPr>
          <w:rFonts w:ascii="Arial" w:hAnsi="Arial" w:cs="Arial"/>
        </w:rPr>
        <w:t xml:space="preserve">In the SUA plot, supply </w:t>
      </w:r>
      <w:r w:rsidR="006873AB">
        <w:rPr>
          <w:rFonts w:ascii="Arial" w:hAnsi="Arial" w:cs="Arial"/>
        </w:rPr>
        <w:t>metrics</w:t>
      </w:r>
      <w:r>
        <w:rPr>
          <w:rFonts w:ascii="Arial" w:hAnsi="Arial" w:cs="Arial"/>
        </w:rPr>
        <w:t xml:space="preserve"> above the x-axis</w:t>
      </w:r>
      <w:r w:rsidR="006873AB">
        <w:rPr>
          <w:rFonts w:ascii="Arial" w:hAnsi="Arial" w:cs="Arial"/>
        </w:rPr>
        <w:t xml:space="preserve"> </w:t>
      </w:r>
      <w:r w:rsidR="005C6E2F">
        <w:rPr>
          <w:rFonts w:ascii="Arial" w:hAnsi="Arial" w:cs="Arial"/>
        </w:rPr>
        <w:t>are positive, and demand metrics below the x-axis are</w:t>
      </w:r>
      <w:r w:rsidR="006873AB">
        <w:rPr>
          <w:rFonts w:ascii="Arial" w:hAnsi="Arial" w:cs="Arial"/>
        </w:rPr>
        <w:t xml:space="preserve"> positive</w:t>
      </w:r>
      <w:r>
        <w:rPr>
          <w:rFonts w:ascii="Arial" w:hAnsi="Arial" w:cs="Arial"/>
        </w:rPr>
        <w:t>.</w:t>
      </w:r>
      <w:r w:rsidR="005C6E2F">
        <w:rPr>
          <w:rFonts w:ascii="Arial" w:hAnsi="Arial" w:cs="Arial"/>
        </w:rPr>
        <w:t xml:space="preserve"> The total regional supply equals to the total regional demand.</w:t>
      </w:r>
      <w:r>
        <w:rPr>
          <w:rFonts w:ascii="Arial" w:hAnsi="Arial" w:cs="Arial"/>
        </w:rPr>
        <w:t xml:space="preserve"> </w:t>
      </w:r>
      <w:r w:rsidR="00DC6516">
        <w:rPr>
          <w:rFonts w:ascii="Arial" w:hAnsi="Arial" w:cs="Arial"/>
        </w:rPr>
        <w:t>A</w:t>
      </w:r>
      <w:r w:rsidR="004250C5">
        <w:rPr>
          <w:rFonts w:ascii="Arial" w:hAnsi="Arial" w:cs="Arial"/>
        </w:rPr>
        <w:t xml:space="preserve">s global </w:t>
      </w:r>
      <w:r w:rsidR="00DC6516">
        <w:rPr>
          <w:rFonts w:ascii="Arial" w:hAnsi="Arial" w:cs="Arial"/>
        </w:rPr>
        <w:t xml:space="preserve">staple crop </w:t>
      </w:r>
      <w:r w:rsidR="004250C5">
        <w:rPr>
          <w:rFonts w:ascii="Arial" w:hAnsi="Arial" w:cs="Arial"/>
        </w:rPr>
        <w:t>production increases over</w:t>
      </w:r>
      <w:r w:rsidR="00114FD2">
        <w:rPr>
          <w:rFonts w:ascii="Arial" w:hAnsi="Arial" w:cs="Arial"/>
        </w:rPr>
        <w:t xml:space="preserve"> </w:t>
      </w:r>
      <w:r w:rsidR="004250C5">
        <w:rPr>
          <w:rFonts w:ascii="Arial" w:hAnsi="Arial" w:cs="Arial"/>
        </w:rPr>
        <w:t>time, the demand of staple crops also increases, and feed demand of staple crops increase faster than other uses of staple crops.</w:t>
      </w:r>
      <w:r w:rsidR="0015584F">
        <w:rPr>
          <w:rFonts w:ascii="Arial" w:hAnsi="Arial" w:cs="Arial"/>
        </w:rPr>
        <w:t xml:space="preserve"> </w:t>
      </w:r>
      <w:r w:rsidR="00CB1687">
        <w:rPr>
          <w:rFonts w:ascii="Arial" w:hAnsi="Arial" w:cs="Arial"/>
        </w:rPr>
        <w:t>The regional SUA plots reveal the regional roles in the agricultural trade. For example, NORTH_AM, REF_ECON, and EUROPE are major staple crop net exporter</w:t>
      </w:r>
      <w:r w:rsidR="00770CA7">
        <w:rPr>
          <w:rFonts w:ascii="Arial" w:hAnsi="Arial" w:cs="Arial"/>
        </w:rPr>
        <w:t>s</w:t>
      </w:r>
      <w:r w:rsidR="00CB1687">
        <w:rPr>
          <w:rFonts w:ascii="Arial" w:hAnsi="Arial" w:cs="Arial"/>
        </w:rPr>
        <w:t>, while MIDDLE_EAST and AFRICA are net importers</w:t>
      </w:r>
      <w:r w:rsidR="005C6E2F">
        <w:rPr>
          <w:rFonts w:ascii="Arial" w:hAnsi="Arial" w:cs="Arial"/>
        </w:rPr>
        <w:t xml:space="preserve"> of staple crops</w:t>
      </w:r>
      <w:r w:rsidR="00CB1687">
        <w:rPr>
          <w:rFonts w:ascii="Arial" w:hAnsi="Arial" w:cs="Arial"/>
        </w:rPr>
        <w:t xml:space="preserve">. PAC_OECD is actively </w:t>
      </w:r>
      <w:r w:rsidR="00B0730A">
        <w:rPr>
          <w:rFonts w:ascii="Arial" w:hAnsi="Arial" w:cs="Arial"/>
        </w:rPr>
        <w:t xml:space="preserve">involved </w:t>
      </w:r>
      <w:r w:rsidR="00CB1687">
        <w:rPr>
          <w:rFonts w:ascii="Arial" w:hAnsi="Arial" w:cs="Arial"/>
        </w:rPr>
        <w:t xml:space="preserve">in </w:t>
      </w:r>
      <w:r w:rsidR="00B0730A">
        <w:rPr>
          <w:rFonts w:ascii="Arial" w:hAnsi="Arial" w:cs="Arial"/>
        </w:rPr>
        <w:t xml:space="preserve">both </w:t>
      </w:r>
      <w:r w:rsidR="007C664E">
        <w:rPr>
          <w:rFonts w:ascii="Arial" w:hAnsi="Arial" w:cs="Arial"/>
        </w:rPr>
        <w:t>staple</w:t>
      </w:r>
      <w:r w:rsidR="007C1B7C">
        <w:rPr>
          <w:rFonts w:ascii="Arial" w:hAnsi="Arial" w:cs="Arial"/>
        </w:rPr>
        <w:t xml:space="preserve"> crop</w:t>
      </w:r>
      <w:r w:rsidR="00CB1687">
        <w:rPr>
          <w:rFonts w:ascii="Arial" w:hAnsi="Arial" w:cs="Arial"/>
        </w:rPr>
        <w:t xml:space="preserve"> import and export</w:t>
      </w:r>
      <w:r w:rsidR="0013389C">
        <w:rPr>
          <w:rFonts w:ascii="Arial" w:hAnsi="Arial" w:cs="Arial"/>
        </w:rPr>
        <w:t xml:space="preserve">, and CHINA+ is project to transit from a </w:t>
      </w:r>
      <w:r w:rsidR="00FE2768">
        <w:rPr>
          <w:rFonts w:ascii="Arial" w:hAnsi="Arial" w:cs="Arial"/>
        </w:rPr>
        <w:t xml:space="preserve">staple crop </w:t>
      </w:r>
      <w:r w:rsidR="0013389C">
        <w:rPr>
          <w:rFonts w:ascii="Arial" w:hAnsi="Arial" w:cs="Arial"/>
        </w:rPr>
        <w:t xml:space="preserve">importer to </w:t>
      </w:r>
      <w:r w:rsidR="007B0E5E">
        <w:rPr>
          <w:rFonts w:ascii="Arial" w:hAnsi="Arial" w:cs="Arial"/>
        </w:rPr>
        <w:t xml:space="preserve">a </w:t>
      </w:r>
      <w:r w:rsidR="00FE2768">
        <w:rPr>
          <w:rFonts w:ascii="Arial" w:hAnsi="Arial" w:cs="Arial"/>
        </w:rPr>
        <w:t xml:space="preserve">staple crop </w:t>
      </w:r>
      <w:r w:rsidR="0013389C">
        <w:rPr>
          <w:rFonts w:ascii="Arial" w:hAnsi="Arial" w:cs="Arial"/>
        </w:rPr>
        <w:t>exporter over time.</w:t>
      </w:r>
    </w:p>
    <w:p w14:paraId="17F7671D" w14:textId="5C326004" w:rsidR="004B6333" w:rsidRDefault="00114FD2" w:rsidP="009648EB">
      <w:pPr>
        <w:spacing w:line="276" w:lineRule="auto"/>
        <w:rPr>
          <w:rFonts w:ascii="Arial" w:hAnsi="Arial" w:cs="Arial"/>
        </w:rPr>
      </w:pPr>
      <w:r>
        <w:rPr>
          <w:rFonts w:ascii="Arial" w:hAnsi="Arial" w:cs="Arial"/>
          <w:b/>
          <w:bCs/>
        </w:rPr>
        <w:t xml:space="preserve">Figs 10-12 </w:t>
      </w:r>
      <w:r w:rsidRPr="00114FD2">
        <w:rPr>
          <w:rFonts w:ascii="Arial" w:hAnsi="Arial" w:cs="Arial"/>
        </w:rPr>
        <w:t>present</w:t>
      </w:r>
      <w:r>
        <w:rPr>
          <w:rFonts w:ascii="Arial" w:hAnsi="Arial" w:cs="Arial"/>
          <w:b/>
          <w:bCs/>
        </w:rPr>
        <w:t xml:space="preserve"> </w:t>
      </w:r>
      <w:r w:rsidRPr="00114FD2">
        <w:rPr>
          <w:rFonts w:ascii="Arial" w:hAnsi="Arial" w:cs="Arial"/>
        </w:rPr>
        <w:t xml:space="preserve">more detailed results </w:t>
      </w:r>
      <w:r>
        <w:rPr>
          <w:rFonts w:ascii="Arial" w:hAnsi="Arial" w:cs="Arial"/>
        </w:rPr>
        <w:t xml:space="preserve">for </w:t>
      </w:r>
      <w:r w:rsidR="00BA252C">
        <w:rPr>
          <w:rFonts w:ascii="Arial" w:hAnsi="Arial" w:cs="Arial"/>
        </w:rPr>
        <w:t xml:space="preserve">the </w:t>
      </w:r>
      <w:r w:rsidR="00BA252C" w:rsidRPr="004B6333">
        <w:rPr>
          <w:rFonts w:ascii="Arial" w:hAnsi="Arial" w:cs="Arial"/>
        </w:rPr>
        <w:t>comparison</w:t>
      </w:r>
      <w:r w:rsidR="00BA252C">
        <w:rPr>
          <w:rFonts w:ascii="Arial" w:hAnsi="Arial" w:cs="Arial"/>
        </w:rPr>
        <w:t xml:space="preserve"> of</w:t>
      </w:r>
      <w:r w:rsidR="00BA252C" w:rsidRPr="004B6333">
        <w:rPr>
          <w:rFonts w:ascii="Arial" w:hAnsi="Arial" w:cs="Arial"/>
        </w:rPr>
        <w:t xml:space="preserve"> </w:t>
      </w:r>
      <w:r>
        <w:rPr>
          <w:rFonts w:ascii="Arial" w:hAnsi="Arial" w:cs="Arial"/>
        </w:rPr>
        <w:t xml:space="preserve">the Evolving and Static </w:t>
      </w:r>
      <w:r w:rsidR="00BA252C">
        <w:rPr>
          <w:rFonts w:ascii="Arial" w:hAnsi="Arial" w:cs="Arial"/>
        </w:rPr>
        <w:t xml:space="preserve">scenarios, and </w:t>
      </w:r>
      <w:r w:rsidR="00BA252C" w:rsidRPr="00BA252C">
        <w:rPr>
          <w:rFonts w:ascii="Arial" w:hAnsi="Arial" w:cs="Arial"/>
          <w:b/>
          <w:bCs/>
        </w:rPr>
        <w:t>Fig</w:t>
      </w:r>
      <w:r w:rsidR="00BA252C">
        <w:rPr>
          <w:rFonts w:ascii="Arial" w:hAnsi="Arial" w:cs="Arial"/>
          <w:b/>
          <w:bCs/>
        </w:rPr>
        <w:t>s</w:t>
      </w:r>
      <w:r w:rsidR="00BA252C" w:rsidRPr="00BA252C">
        <w:rPr>
          <w:rFonts w:ascii="Arial" w:hAnsi="Arial" w:cs="Arial"/>
          <w:b/>
          <w:bCs/>
        </w:rPr>
        <w:t>. 13-17</w:t>
      </w:r>
      <w:r w:rsidR="00BA252C">
        <w:rPr>
          <w:rFonts w:ascii="Arial" w:hAnsi="Arial" w:cs="Arial"/>
        </w:rPr>
        <w:t xml:space="preserve"> provide additional results for all the sensitivity scenarios (including the Static scenario). </w:t>
      </w:r>
      <w:r w:rsidR="009648EB" w:rsidRPr="009648EB">
        <w:rPr>
          <w:rFonts w:ascii="Arial" w:hAnsi="Arial" w:cs="Arial"/>
        </w:rPr>
        <w:t>The sensitivity scenarios, although exploratory, demonstrate a reasonable variation in effective labor shocks and their corresponding agroeconomic and environmental responses. We quantify this variation using the standard deviation of logarithmic differences between sensitivity scenarios and the Evolving scenario. At the global level, the variation in end-of-century effective labor shock is 7.9%, with regional variations ranging from 1.6% in INDIA+ to 14.5% in NORTH_AM. These variations extend to other agroeconomic and environmental variables (</w:t>
      </w:r>
      <w:r w:rsidR="000850D5" w:rsidRPr="000850D5">
        <w:rPr>
          <w:rFonts w:ascii="Arial" w:hAnsi="Arial" w:cs="Arial"/>
          <w:b/>
          <w:bCs/>
        </w:rPr>
        <w:fldChar w:fldCharType="begin"/>
      </w:r>
      <w:r w:rsidR="000850D5" w:rsidRPr="000850D5">
        <w:rPr>
          <w:rFonts w:ascii="Arial" w:hAnsi="Arial" w:cs="Arial"/>
          <w:b/>
          <w:bCs/>
        </w:rPr>
        <w:instrText xml:space="preserve"> REF _Ref162828745 \h  \* MERGEFORMAT </w:instrText>
      </w:r>
      <w:r w:rsidR="000850D5" w:rsidRPr="000850D5">
        <w:rPr>
          <w:rFonts w:ascii="Arial" w:hAnsi="Arial" w:cs="Arial"/>
          <w:b/>
          <w:bCs/>
        </w:rPr>
      </w:r>
      <w:r w:rsidR="000850D5" w:rsidRPr="000850D5">
        <w:rPr>
          <w:rFonts w:ascii="Arial" w:hAnsi="Arial" w:cs="Arial"/>
          <w:b/>
          <w:bCs/>
        </w:rPr>
        <w:fldChar w:fldCharType="separate"/>
      </w:r>
      <w:r w:rsidR="000850D5" w:rsidRPr="000850D5">
        <w:rPr>
          <w:rFonts w:ascii="Arial" w:eastAsiaTheme="minorEastAsia" w:hAnsi="Arial" w:cs="Arial"/>
          <w:b/>
          <w:bCs/>
        </w:rPr>
        <w:t>Table S</w:t>
      </w:r>
      <w:r w:rsidR="000850D5" w:rsidRPr="000850D5">
        <w:rPr>
          <w:rFonts w:ascii="Arial" w:eastAsiaTheme="minorEastAsia" w:hAnsi="Arial" w:cs="Arial"/>
          <w:b/>
          <w:bCs/>
          <w:noProof/>
        </w:rPr>
        <w:t>6</w:t>
      </w:r>
      <w:r w:rsidR="000850D5" w:rsidRPr="000850D5">
        <w:rPr>
          <w:rFonts w:ascii="Arial" w:hAnsi="Arial" w:cs="Arial"/>
          <w:b/>
          <w:bCs/>
        </w:rPr>
        <w:fldChar w:fldCharType="end"/>
      </w:r>
      <w:r w:rsidR="009648EB" w:rsidRPr="009648EB">
        <w:rPr>
          <w:rFonts w:ascii="Arial" w:hAnsi="Arial" w:cs="Arial"/>
        </w:rPr>
        <w:t xml:space="preserve">). We further investigate the relationship between end-of-century agroeconomic or environmental responses and corresponding effective labor shocks through univariate Ordinary Least Squares (OLS) regression. </w:t>
      </w:r>
      <w:r w:rsidR="009648EB">
        <w:rPr>
          <w:rFonts w:ascii="Arial" w:hAnsi="Arial" w:cs="Arial"/>
        </w:rPr>
        <w:t>This approach has been used in previous studies exploring the ripple effect from biophysical yield shocks to agroeconomic responses</w:t>
      </w:r>
      <w:r w:rsidR="009648EB" w:rsidRPr="0011268E">
        <w:rPr>
          <w:rFonts w:ascii="Arial" w:hAnsi="Arial" w:cs="Arial"/>
        </w:rPr>
        <w:fldChar w:fldCharType="begin"/>
      </w:r>
      <w:r w:rsidR="00C84D02">
        <w:rPr>
          <w:rFonts w:ascii="Arial" w:hAnsi="Arial" w:cs="Arial"/>
        </w:rPr>
        <w:instrText xml:space="preserve"> ADDIN ZOTERO_ITEM CSL_CITATION {"citationID":"h4DyTxpe","properties":{"formattedCitation":"\\super 12,40\\nosupersub{}","plainCitation":"12,40","noteIndex":0},"citationItems":[{"id":6988,"uris":["http://zotero.org/users/8267882/items/L3YY3KG6"],"itemData":{"id":6988,"type":"article-journal","abstract":"Agricultural production is sensitive to weather and thus directly affected by climate change. Plausible estimates of these climate change impacts require combined use of climate, crop, and economic models. Results from previous studies vary substantially due to differences in models, scenarios, and data. This paper is part of a collective effort to systematically integrate these three types of models. We focus on the economic component of the assessment, investigating how nine global economic models of agriculture represent endogenous responses to seven standardized climate change scenarios produced by two climate and five crop models. These responses include adjustments in yields, area, consumption, and international trade. We apply biophysical shocks derived from the Intergovernmental Panel on Climate Change’s representative concentration pathway with end-of-century radiative forcing of 8.5 W/m2. The mean biophysical yield effect with no incremental CO2 fertilization is a 17% reduction globally by 2050 relative to a scenario with unchanging climate. Endogenous economic responses reduce yield loss to 11%, increase area of major crops by 11%, and reduce consumption by 3%. Agricultural production, cropland area, trade, and prices show the greatest degree of variability in response to climate change, and consumption the lowest. The sources of these differences include model structure and specification; in particular, model assumptions about ease of land use conversion, intensification, and trade. This study identifies where models disagree on the relative responses to climate shocks and highlights research activities needed to improve the representation of agricultural adaptation responses to climate change.","container-title":"Proceedings of the National Academy of Sciences","DOI":"10.1073/pnas.1222465110","issue":"9","note":"publisher: Proceedings of the National Academy of Sciences","page":"3274-3279","source":"pnas.org (Atypon)","title":"Climate change effects on agriculture: Economic responses to biophysical shocks","title-short":"Climate change effects on agriculture","URL":"https://www.pnas.org/doi/abs/10.1073/pnas.1222465110","volume":"111","author":[{"family":"Nelson","given":"Gerald C."},{"family":"Valin","given":"Hugo"},{"family":"Sands","given":"Ronald D."},{"family":"Havlík","given":"Petr"},{"family":"Ahammad","given":"Helal"},{"family":"Deryng","given":"Delphine"},{"family":"Elliott","given":"Joshua"},{"family":"Fujimori","given":"Shinichiro"},{"family":"Hasegawa","given":"Tomoko"},{"family":"Heyhoe","given":"Edwina"},{"family":"Kyle","given":"Page"},{"family":"Von Lampe","given":"Martin"},{"family":"Lotze-Campen","given":"Hermann"},{"family":"Mason d’Croz","given":"Daniel"},{"family":"Meijl","given":"Hans","non-dropping-particle":"van"},{"family":"Mensbrugghe","given":"Dominique","non-dropping-particle":"van der"},{"family":"Müller","given":"Christoph"},{"family":"Popp","given":"Alexander"},{"family":"Robertson","given":"Richard"},{"family":"Robinson","given":"Sherman"},{"family":"Schmid","given":"Erwin"},{"family":"Schmitz","given":"Christoph"},{"family":"Tabeau","given":"Andrzej"},{"family":"Willenbockel","given":"Dirk"}],"accessed":{"date-parts":[["2023",8,3]]},"issued":{"date-parts":[["2014",3,4]]}}},{"id":4166,"uris":["http://zotero.org/users/8267882/items/N5H43RTC"],"itemData":{"id":4166,"type":"article-journal","abstract":"Most studies assessing climate impacts on agriculture have focused on average changes in market-mediated responses (e.g. changes in land use, production, and consumption). However, the response of global agricultural markets to interannual variability (IAV) in climate and biophysical shocks is poorly understood and not well represented in global economic models. Here we show a strong transmission of IAVs in climate-induced biophysical yield shocks to agriculture markets, which is further magnified by endogenous market fluctuations generated due to producers’ imperfect expectations of market and weather conditions. We demonstrate that the volatility of crop prices and consumption could be significantly underestimated (i.e. on average by 55% and 41%, respectively) by assuming perfect foresight, a standard assumption in the economic equilibrium modeling, compared with the relatively more realistic adaptive expectations. We also find heterogeneity in IAV across crops and regions, which is considerably mediated by international trade. Studying IAV provides fundamentally new insights on measuring and understanding climate impacts on global agriculture, and our framework lays the foundation for further investigating the full range of climate impacts on biophysical and human systems.","container-title":"Environmental Research Letters","DOI":"10.1088/1748-9326/ac2965","ISSN":"1748-9326","issue":"10","journalAbbreviation":"Environ. Res. Lett.","language":"en","license":"Creative Commons Attribution-NonCommercial-ShareAlike 4.0 International License (CC-BY-NC-SA)","note":"publisher: IOP Publishing","page":"104037","source":"Institute of Physics","title":"Global agricultural responses to interannual climate and biophysical variability","URL":"https://doi.org/10.1088/1748-9326/ac2965","volume":"16","author":[{"family":"Zhao","given":"Xin"},{"family":"Calvin","given":"Katherine V."},{"family":"Wise","given":"Marshall A."},{"family":"Patel","given":"Pralit L."},{"family":"Snyder","given":"Abigail C."},{"family":"Waldhoff","given":"Stephanie T."},{"family":"Hejazi","given":"Mohamad I."},{"family":"Edmonds","given":"James A."}],"accessed":{"date-parts":[["2022",8,24]]},"issued":{"date-parts":[["2021",10]]}}}],"schema":"https://github.com/citation-style-language/schema/raw/master/csl-citation.json"} </w:instrText>
      </w:r>
      <w:r w:rsidR="009648EB" w:rsidRPr="0011268E">
        <w:rPr>
          <w:rFonts w:ascii="Arial" w:hAnsi="Arial" w:cs="Arial"/>
        </w:rPr>
        <w:fldChar w:fldCharType="separate"/>
      </w:r>
      <w:r w:rsidR="00C84D02" w:rsidRPr="00C84D02">
        <w:rPr>
          <w:rFonts w:ascii="Arial" w:hAnsi="Arial" w:cs="Arial"/>
          <w:szCs w:val="24"/>
          <w:vertAlign w:val="superscript"/>
        </w:rPr>
        <w:t>12,40</w:t>
      </w:r>
      <w:r w:rsidR="009648EB" w:rsidRPr="0011268E">
        <w:rPr>
          <w:rFonts w:ascii="Arial" w:hAnsi="Arial" w:cs="Arial"/>
        </w:rPr>
        <w:fldChar w:fldCharType="end"/>
      </w:r>
      <w:r w:rsidR="009648EB">
        <w:rPr>
          <w:rFonts w:ascii="Arial" w:hAnsi="Arial" w:cs="Arial"/>
        </w:rPr>
        <w:t xml:space="preserve">. Our results are shown in </w:t>
      </w:r>
      <w:r w:rsidR="000850D5" w:rsidRPr="000850D5">
        <w:rPr>
          <w:rFonts w:ascii="Arial" w:hAnsi="Arial" w:cs="Arial"/>
          <w:b/>
          <w:bCs/>
        </w:rPr>
        <w:fldChar w:fldCharType="begin"/>
      </w:r>
      <w:r w:rsidR="000850D5" w:rsidRPr="000850D5">
        <w:rPr>
          <w:rFonts w:ascii="Arial" w:hAnsi="Arial" w:cs="Arial"/>
          <w:b/>
          <w:bCs/>
        </w:rPr>
        <w:instrText xml:space="preserve"> REF _Ref162828737 \h  \* MERGEFORMAT </w:instrText>
      </w:r>
      <w:r w:rsidR="000850D5" w:rsidRPr="000850D5">
        <w:rPr>
          <w:rFonts w:ascii="Arial" w:hAnsi="Arial" w:cs="Arial"/>
          <w:b/>
          <w:bCs/>
        </w:rPr>
      </w:r>
      <w:r w:rsidR="000850D5" w:rsidRPr="000850D5">
        <w:rPr>
          <w:rFonts w:ascii="Arial" w:hAnsi="Arial" w:cs="Arial"/>
          <w:b/>
          <w:bCs/>
        </w:rPr>
        <w:fldChar w:fldCharType="separate"/>
      </w:r>
      <w:r w:rsidR="000850D5" w:rsidRPr="000850D5">
        <w:rPr>
          <w:rFonts w:ascii="Arial" w:eastAsiaTheme="minorEastAsia" w:hAnsi="Arial" w:cs="Arial"/>
          <w:b/>
          <w:bCs/>
        </w:rPr>
        <w:t>Table S</w:t>
      </w:r>
      <w:r w:rsidR="000850D5" w:rsidRPr="000850D5">
        <w:rPr>
          <w:rFonts w:ascii="Arial" w:eastAsiaTheme="minorEastAsia" w:hAnsi="Arial" w:cs="Arial"/>
          <w:b/>
          <w:bCs/>
          <w:noProof/>
        </w:rPr>
        <w:t>7</w:t>
      </w:r>
      <w:r w:rsidR="000850D5" w:rsidRPr="000850D5">
        <w:rPr>
          <w:rFonts w:ascii="Arial" w:hAnsi="Arial" w:cs="Arial"/>
          <w:b/>
          <w:bCs/>
        </w:rPr>
        <w:fldChar w:fldCharType="end"/>
      </w:r>
      <w:r w:rsidR="009648EB">
        <w:rPr>
          <w:rFonts w:ascii="Arial" w:hAnsi="Arial" w:cs="Arial"/>
        </w:rPr>
        <w:t xml:space="preserve">. Note that the coefficient of determination (r-squared) implies the </w:t>
      </w:r>
      <w:r w:rsidR="009648EB" w:rsidRPr="009648EB">
        <w:rPr>
          <w:rFonts w:ascii="Arial" w:hAnsi="Arial" w:cs="Arial"/>
        </w:rPr>
        <w:t>share of variation in a response variable explained by effective labor shocks</w:t>
      </w:r>
      <w:r w:rsidR="009648EB">
        <w:rPr>
          <w:rFonts w:ascii="Arial" w:hAnsi="Arial" w:cs="Arial"/>
        </w:rPr>
        <w:t xml:space="preserve">. </w:t>
      </w:r>
    </w:p>
    <w:p w14:paraId="1990D60A" w14:textId="77777777" w:rsidR="00BA252C" w:rsidRDefault="00BA252C" w:rsidP="004B6333">
      <w:pPr>
        <w:jc w:val="both"/>
        <w:rPr>
          <w:rFonts w:ascii="Arial" w:eastAsia="Cambria" w:hAnsi="Arial" w:cs="Arial"/>
          <w:b/>
          <w:color w:val="000000"/>
        </w:rPr>
      </w:pPr>
    </w:p>
    <w:p w14:paraId="55015E2C" w14:textId="77777777" w:rsidR="000C5F3A" w:rsidRDefault="000C5F3A" w:rsidP="004B6333">
      <w:pPr>
        <w:jc w:val="both"/>
        <w:rPr>
          <w:rFonts w:ascii="Arial" w:eastAsia="Cambria" w:hAnsi="Arial" w:cs="Arial"/>
          <w:b/>
          <w:color w:val="000000"/>
        </w:rPr>
      </w:pPr>
    </w:p>
    <w:p w14:paraId="39E25B24" w14:textId="77777777" w:rsidR="000C5F3A" w:rsidRDefault="000C5F3A" w:rsidP="004B6333">
      <w:pPr>
        <w:jc w:val="both"/>
        <w:rPr>
          <w:rFonts w:ascii="Arial" w:hAnsi="Arial" w:cs="Arial"/>
        </w:rPr>
      </w:pPr>
    </w:p>
    <w:p w14:paraId="1D644FC3" w14:textId="77777777" w:rsidR="004B6333" w:rsidRDefault="004B6333" w:rsidP="004B6333">
      <w:pPr>
        <w:jc w:val="both"/>
        <w:rPr>
          <w:rFonts w:ascii="Arial" w:hAnsi="Arial" w:cs="Arial"/>
        </w:rPr>
      </w:pPr>
    </w:p>
    <w:p w14:paraId="2C54BDAA" w14:textId="77777777" w:rsidR="004B6333" w:rsidRDefault="004B6333" w:rsidP="004B6333">
      <w:pPr>
        <w:jc w:val="both"/>
        <w:rPr>
          <w:rFonts w:ascii="Arial" w:hAnsi="Arial" w:cs="Arial"/>
        </w:rPr>
      </w:pPr>
    </w:p>
    <w:p w14:paraId="2EB74D72" w14:textId="77777777" w:rsidR="004B6333" w:rsidRDefault="004B6333">
      <w:pPr>
        <w:rPr>
          <w:rFonts w:ascii="Arial" w:hAnsi="Arial" w:cs="Arial"/>
        </w:rPr>
      </w:pPr>
      <w:r>
        <w:rPr>
          <w:rFonts w:ascii="Arial" w:hAnsi="Arial" w:cs="Arial"/>
        </w:rPr>
        <w:br w:type="page"/>
      </w:r>
    </w:p>
    <w:p w14:paraId="0E026398" w14:textId="0000833C" w:rsidR="00BA1F14" w:rsidRDefault="00BA1F14" w:rsidP="00BA1F14">
      <w:pPr>
        <w:jc w:val="both"/>
        <w:rPr>
          <w:rFonts w:ascii="Arial" w:hAnsi="Arial" w:cs="Arial"/>
        </w:rPr>
      </w:pPr>
      <w:r>
        <w:rPr>
          <w:noProof/>
        </w:rPr>
        <w:lastRenderedPageBreak/>
        <w:drawing>
          <wp:inline distT="0" distB="0" distL="0" distR="0" wp14:anchorId="5258AA27" wp14:editId="2E84695E">
            <wp:extent cx="6858000" cy="3918585"/>
            <wp:effectExtent l="0" t="0" r="0" b="0"/>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96DAC541-7B7A-43D3-8B79-37D633B846F1}">
                          <asvg:svgBlip xmlns:asvg="http://schemas.microsoft.com/office/drawing/2016/SVG/main" r:embed="rId25"/>
                        </a:ext>
                      </a:extLst>
                    </a:blip>
                    <a:stretch>
                      <a:fillRect/>
                    </a:stretch>
                  </pic:blipFill>
                  <pic:spPr>
                    <a:xfrm>
                      <a:off x="0" y="0"/>
                      <a:ext cx="6858000" cy="3918585"/>
                    </a:xfrm>
                    <a:prstGeom prst="rect">
                      <a:avLst/>
                    </a:prstGeom>
                  </pic:spPr>
                </pic:pic>
              </a:graphicData>
            </a:graphic>
          </wp:inline>
        </w:drawing>
      </w:r>
    </w:p>
    <w:p w14:paraId="0CB37991" w14:textId="6067EFD5" w:rsidR="00BA1F14" w:rsidRPr="00CB3CE9" w:rsidRDefault="00BA1F14" w:rsidP="00BA1F14">
      <w:pPr>
        <w:pStyle w:val="Caption"/>
        <w:jc w:val="both"/>
        <w:rPr>
          <w:vanish/>
          <w:sz w:val="22"/>
          <w:szCs w:val="22"/>
          <w:specVanish/>
        </w:rPr>
      </w:pPr>
      <w:bookmarkStart w:id="42" w:name="_Ref162474014"/>
      <w:bookmarkStart w:id="43" w:name="_Toc162998119"/>
      <w:r w:rsidRPr="007C5734">
        <w:rPr>
          <w:sz w:val="22"/>
          <w:szCs w:val="22"/>
        </w:rPr>
        <w:t>Fig. S</w:t>
      </w:r>
      <w:r w:rsidRPr="007C5734">
        <w:rPr>
          <w:sz w:val="22"/>
          <w:szCs w:val="22"/>
        </w:rPr>
        <w:fldChar w:fldCharType="begin"/>
      </w:r>
      <w:r w:rsidRPr="007C5734">
        <w:rPr>
          <w:sz w:val="22"/>
          <w:szCs w:val="22"/>
        </w:rPr>
        <w:instrText xml:space="preserve"> SEQ Fig._S \* ARABIC </w:instrText>
      </w:r>
      <w:r w:rsidRPr="007C5734">
        <w:rPr>
          <w:sz w:val="22"/>
          <w:szCs w:val="22"/>
        </w:rPr>
        <w:fldChar w:fldCharType="separate"/>
      </w:r>
      <w:r w:rsidR="009141B0">
        <w:rPr>
          <w:noProof/>
          <w:sz w:val="22"/>
          <w:szCs w:val="22"/>
        </w:rPr>
        <w:t>8</w:t>
      </w:r>
      <w:r w:rsidRPr="007C5734">
        <w:rPr>
          <w:noProof/>
          <w:sz w:val="22"/>
          <w:szCs w:val="22"/>
        </w:rPr>
        <w:fldChar w:fldCharType="end"/>
      </w:r>
      <w:bookmarkEnd w:id="42"/>
      <w:r w:rsidRPr="007C5734">
        <w:rPr>
          <w:sz w:val="22"/>
          <w:szCs w:val="22"/>
        </w:rPr>
        <w:t xml:space="preserve"> | Projections of population and labor-related metrics across regions </w:t>
      </w:r>
      <w:r>
        <w:rPr>
          <w:sz w:val="22"/>
          <w:szCs w:val="22"/>
        </w:rPr>
        <w:t>in the Evolving scenario</w:t>
      </w:r>
      <w:r w:rsidRPr="007C5734">
        <w:rPr>
          <w:sz w:val="22"/>
          <w:szCs w:val="22"/>
        </w:rPr>
        <w:t>.</w:t>
      </w:r>
      <w:bookmarkEnd w:id="43"/>
      <w:r w:rsidRPr="007C5734">
        <w:rPr>
          <w:sz w:val="22"/>
          <w:szCs w:val="22"/>
        </w:rPr>
        <w:t xml:space="preserve"> </w:t>
      </w:r>
    </w:p>
    <w:p w14:paraId="5C4B5DC1" w14:textId="59D5C7E9" w:rsidR="00BA1F14" w:rsidRPr="007C5734" w:rsidRDefault="00BA1F14" w:rsidP="0034160C">
      <w:pPr>
        <w:jc w:val="both"/>
        <w:rPr>
          <w:rFonts w:ascii="Arial" w:hAnsi="Arial" w:cs="Arial"/>
        </w:rPr>
      </w:pPr>
      <w:r>
        <w:rPr>
          <w:rFonts w:ascii="Arial" w:hAnsi="Arial" w:cs="Arial"/>
        </w:rPr>
        <w:t xml:space="preserve"> </w:t>
      </w:r>
      <w:r w:rsidRPr="007C5734">
        <w:rPr>
          <w:rFonts w:ascii="Arial" w:hAnsi="Arial" w:cs="Arial"/>
        </w:rPr>
        <w:t xml:space="preserve">Data from 1975 to 2015 (gray background areas) are historical observations compiled based on </w:t>
      </w:r>
      <w:r w:rsidR="00E805A4">
        <w:rPr>
          <w:rFonts w:ascii="Arial" w:hAnsi="Arial" w:cs="Arial"/>
        </w:rPr>
        <w:t>the SSP database</w:t>
      </w:r>
      <w:r w:rsidRPr="007C5734">
        <w:rPr>
          <w:rFonts w:ascii="Arial" w:hAnsi="Arial" w:cs="Arial"/>
        </w:rPr>
        <w:t xml:space="preserve"> and USDA. Data after 2015 are projections from the SSP database (population, labor force</w:t>
      </w:r>
      <w:r w:rsidR="00E805A4">
        <w:rPr>
          <w:rFonts w:ascii="Arial" w:hAnsi="Arial" w:cs="Arial"/>
        </w:rPr>
        <w:t>,</w:t>
      </w:r>
      <w:r w:rsidRPr="007C5734">
        <w:rPr>
          <w:rFonts w:ascii="Arial" w:hAnsi="Arial" w:cs="Arial"/>
        </w:rPr>
        <w:t xml:space="preserve"> and rural population) or the “Evolving” scenario (agricultural labor) in the current study (GCAM).</w:t>
      </w:r>
      <w:r w:rsidR="0034160C">
        <w:rPr>
          <w:rFonts w:ascii="Arial" w:hAnsi="Arial" w:cs="Arial"/>
        </w:rPr>
        <w:t xml:space="preserve"> This figure supplements the </w:t>
      </w:r>
      <w:r w:rsidR="00D57CBA">
        <w:rPr>
          <w:rFonts w:ascii="Arial" w:hAnsi="Arial" w:cs="Arial"/>
        </w:rPr>
        <w:t>M</w:t>
      </w:r>
      <w:r w:rsidR="0034160C">
        <w:rPr>
          <w:rFonts w:ascii="Arial" w:hAnsi="Arial" w:cs="Arial"/>
        </w:rPr>
        <w:t xml:space="preserve">ain </w:t>
      </w:r>
      <w:r w:rsidR="0034160C" w:rsidRPr="003518C9">
        <w:rPr>
          <w:rFonts w:ascii="Arial" w:hAnsi="Arial" w:cs="Arial"/>
          <w:b/>
          <w:bCs/>
        </w:rPr>
        <w:t>Fig. 1C</w:t>
      </w:r>
      <w:r w:rsidR="0034160C">
        <w:rPr>
          <w:rFonts w:ascii="Arial" w:hAnsi="Arial" w:cs="Arial"/>
        </w:rPr>
        <w:t>.</w:t>
      </w:r>
      <w:r w:rsidRPr="007C5734">
        <w:rPr>
          <w:rFonts w:ascii="Arial" w:hAnsi="Arial" w:cs="Arial"/>
          <w:b/>
          <w:bCs/>
        </w:rPr>
        <w:t xml:space="preserve"> </w:t>
      </w:r>
    </w:p>
    <w:p w14:paraId="738BCC60" w14:textId="77777777" w:rsidR="00BA1F14" w:rsidRDefault="00BA1F14" w:rsidP="00B63D97">
      <w:pPr>
        <w:spacing w:after="120" w:line="276" w:lineRule="auto"/>
        <w:rPr>
          <w:rFonts w:ascii="Arial" w:hAnsi="Arial" w:cs="Arial"/>
        </w:rPr>
      </w:pPr>
    </w:p>
    <w:p w14:paraId="13A8EF16" w14:textId="2E457DAC" w:rsidR="008B72AF" w:rsidRDefault="004B6333" w:rsidP="00BA1F14">
      <w:pPr>
        <w:jc w:val="both"/>
        <w:rPr>
          <w:rFonts w:ascii="Arial" w:hAnsi="Arial" w:cs="Arial"/>
        </w:rPr>
      </w:pPr>
      <w:r>
        <w:rPr>
          <w:noProof/>
        </w:rPr>
        <w:lastRenderedPageBreak/>
        <w:drawing>
          <wp:inline distT="0" distB="0" distL="0" distR="0" wp14:anchorId="3AF301D5" wp14:editId="57F29967">
            <wp:extent cx="6858000" cy="7481570"/>
            <wp:effectExtent l="0" t="0" r="0" b="5080"/>
            <wp:docPr id="6" name="Graphic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96DAC541-7B7A-43D3-8B79-37D633B846F1}">
                          <asvg:svgBlip xmlns:asvg="http://schemas.microsoft.com/office/drawing/2016/SVG/main" r:embed="rId27"/>
                        </a:ext>
                      </a:extLst>
                    </a:blip>
                    <a:stretch>
                      <a:fillRect/>
                    </a:stretch>
                  </pic:blipFill>
                  <pic:spPr>
                    <a:xfrm>
                      <a:off x="0" y="0"/>
                      <a:ext cx="6858000" cy="7481570"/>
                    </a:xfrm>
                    <a:prstGeom prst="rect">
                      <a:avLst/>
                    </a:prstGeom>
                  </pic:spPr>
                </pic:pic>
              </a:graphicData>
            </a:graphic>
          </wp:inline>
        </w:drawing>
      </w:r>
    </w:p>
    <w:p w14:paraId="2F75E6A6" w14:textId="1DAF55B6" w:rsidR="00BA1F14" w:rsidRPr="00CB3CE9" w:rsidRDefault="00F83AC8" w:rsidP="00BA1F14">
      <w:pPr>
        <w:pStyle w:val="Caption"/>
        <w:jc w:val="both"/>
        <w:rPr>
          <w:vanish/>
          <w:sz w:val="22"/>
          <w:szCs w:val="22"/>
          <w:specVanish/>
        </w:rPr>
      </w:pPr>
      <w:bookmarkStart w:id="44" w:name="_Ref162474020"/>
      <w:bookmarkStart w:id="45" w:name="_Toc162998120"/>
      <w:r w:rsidRPr="007C5734">
        <w:rPr>
          <w:sz w:val="22"/>
          <w:szCs w:val="22"/>
        </w:rPr>
        <w:t>Fig. S</w:t>
      </w:r>
      <w:r w:rsidRPr="007C5734">
        <w:rPr>
          <w:sz w:val="22"/>
          <w:szCs w:val="22"/>
        </w:rPr>
        <w:fldChar w:fldCharType="begin"/>
      </w:r>
      <w:r w:rsidRPr="007C5734">
        <w:rPr>
          <w:sz w:val="22"/>
          <w:szCs w:val="22"/>
        </w:rPr>
        <w:instrText xml:space="preserve"> SEQ Fig._S \* ARABIC </w:instrText>
      </w:r>
      <w:r w:rsidRPr="007C5734">
        <w:rPr>
          <w:sz w:val="22"/>
          <w:szCs w:val="22"/>
        </w:rPr>
        <w:fldChar w:fldCharType="separate"/>
      </w:r>
      <w:r w:rsidR="009141B0">
        <w:rPr>
          <w:noProof/>
          <w:sz w:val="22"/>
          <w:szCs w:val="22"/>
        </w:rPr>
        <w:t>9</w:t>
      </w:r>
      <w:r w:rsidRPr="007C5734">
        <w:rPr>
          <w:noProof/>
          <w:sz w:val="22"/>
          <w:szCs w:val="22"/>
        </w:rPr>
        <w:fldChar w:fldCharType="end"/>
      </w:r>
      <w:bookmarkEnd w:id="44"/>
      <w:r w:rsidRPr="007C5734">
        <w:rPr>
          <w:sz w:val="22"/>
          <w:szCs w:val="22"/>
        </w:rPr>
        <w:t xml:space="preserve"> </w:t>
      </w:r>
      <w:r w:rsidR="00BA1F14" w:rsidRPr="007C5734">
        <w:rPr>
          <w:sz w:val="22"/>
          <w:szCs w:val="22"/>
        </w:rPr>
        <w:t xml:space="preserve">| Projections of </w:t>
      </w:r>
      <w:r w:rsidR="00CE4AD4">
        <w:rPr>
          <w:sz w:val="22"/>
          <w:szCs w:val="22"/>
        </w:rPr>
        <w:t xml:space="preserve">agroeconomic </w:t>
      </w:r>
      <w:r w:rsidR="004B6333">
        <w:rPr>
          <w:sz w:val="22"/>
          <w:szCs w:val="22"/>
        </w:rPr>
        <w:t xml:space="preserve">and </w:t>
      </w:r>
      <w:r w:rsidR="00E805A4">
        <w:rPr>
          <w:sz w:val="22"/>
          <w:szCs w:val="22"/>
        </w:rPr>
        <w:t>environmental</w:t>
      </w:r>
      <w:r w:rsidR="004B6333">
        <w:rPr>
          <w:sz w:val="22"/>
          <w:szCs w:val="22"/>
        </w:rPr>
        <w:t xml:space="preserve"> results</w:t>
      </w:r>
      <w:r w:rsidR="00BA1F14" w:rsidRPr="007C5734">
        <w:rPr>
          <w:sz w:val="22"/>
          <w:szCs w:val="22"/>
        </w:rPr>
        <w:t xml:space="preserve"> </w:t>
      </w:r>
      <w:r w:rsidR="00BA1F14">
        <w:rPr>
          <w:sz w:val="22"/>
          <w:szCs w:val="22"/>
        </w:rPr>
        <w:t>in the Evolving scenario</w:t>
      </w:r>
      <w:r w:rsidR="00BA1F14" w:rsidRPr="007C5734">
        <w:rPr>
          <w:sz w:val="22"/>
          <w:szCs w:val="22"/>
        </w:rPr>
        <w:t>.</w:t>
      </w:r>
      <w:bookmarkEnd w:id="45"/>
      <w:r w:rsidR="00BA1F14" w:rsidRPr="007C5734">
        <w:rPr>
          <w:sz w:val="22"/>
          <w:szCs w:val="22"/>
        </w:rPr>
        <w:t xml:space="preserve"> </w:t>
      </w:r>
    </w:p>
    <w:p w14:paraId="35E58F6F" w14:textId="0560B404" w:rsidR="00DA3909" w:rsidRDefault="0034160C" w:rsidP="0034160C">
      <w:pPr>
        <w:jc w:val="both"/>
        <w:rPr>
          <w:rFonts w:ascii="Arial" w:hAnsi="Arial" w:cs="Arial"/>
        </w:rPr>
      </w:pPr>
      <w:r>
        <w:rPr>
          <w:rFonts w:ascii="Arial" w:hAnsi="Arial" w:cs="Arial"/>
        </w:rPr>
        <w:t xml:space="preserve"> Data source: </w:t>
      </w:r>
      <w:r w:rsidR="00CE4AD4">
        <w:rPr>
          <w:rFonts w:ascii="Arial" w:hAnsi="Arial" w:cs="Arial"/>
        </w:rPr>
        <w:t xml:space="preserve">GCAM </w:t>
      </w:r>
      <w:r>
        <w:rPr>
          <w:rFonts w:ascii="Arial" w:hAnsi="Arial" w:cs="Arial"/>
        </w:rPr>
        <w:t xml:space="preserve">simulation </w:t>
      </w:r>
      <w:r w:rsidR="00CE4AD4">
        <w:rPr>
          <w:rFonts w:ascii="Arial" w:hAnsi="Arial" w:cs="Arial"/>
        </w:rPr>
        <w:t>results</w:t>
      </w:r>
      <w:r w:rsidR="00BA1F14" w:rsidRPr="007C5734">
        <w:rPr>
          <w:rFonts w:ascii="Arial" w:hAnsi="Arial" w:cs="Arial"/>
        </w:rPr>
        <w:t>.</w:t>
      </w:r>
    </w:p>
    <w:p w14:paraId="526EE883" w14:textId="77777777" w:rsidR="0034160C" w:rsidRDefault="0034160C" w:rsidP="0034160C">
      <w:pPr>
        <w:jc w:val="both"/>
        <w:rPr>
          <w:rFonts w:ascii="Arial" w:hAnsi="Arial" w:cs="Arial"/>
        </w:rPr>
      </w:pPr>
    </w:p>
    <w:p w14:paraId="41297185" w14:textId="77777777" w:rsidR="00E70454" w:rsidRDefault="00E70454" w:rsidP="00FF5F6F">
      <w:pPr>
        <w:jc w:val="both"/>
        <w:rPr>
          <w:rFonts w:ascii="Arial" w:hAnsi="Arial" w:cs="Arial"/>
        </w:rPr>
      </w:pPr>
    </w:p>
    <w:p w14:paraId="2EBD2541" w14:textId="77777777" w:rsidR="003654B9" w:rsidRDefault="003654B9" w:rsidP="00FF5F6F">
      <w:pPr>
        <w:jc w:val="both"/>
        <w:rPr>
          <w:rFonts w:ascii="Arial" w:hAnsi="Arial" w:cs="Arial"/>
        </w:rPr>
        <w:sectPr w:rsidR="003654B9" w:rsidSect="00572106">
          <w:pgSz w:w="12240" w:h="15840"/>
          <w:pgMar w:top="1152" w:right="720" w:bottom="720" w:left="720" w:header="720" w:footer="720" w:gutter="0"/>
          <w:cols w:space="720"/>
          <w:docGrid w:linePitch="360"/>
        </w:sectPr>
      </w:pPr>
    </w:p>
    <w:p w14:paraId="3C37B407" w14:textId="77777777" w:rsidR="00027B45" w:rsidRDefault="00027B45" w:rsidP="00027B45"/>
    <w:p w14:paraId="533595F9" w14:textId="77777777" w:rsidR="00027B45" w:rsidRDefault="00027B45" w:rsidP="00027B45">
      <w:pPr>
        <w:jc w:val="both"/>
        <w:rPr>
          <w:rFonts w:ascii="Arial" w:hAnsi="Arial" w:cs="Arial"/>
          <w:szCs w:val="20"/>
        </w:rPr>
      </w:pPr>
      <w:r>
        <w:rPr>
          <w:noProof/>
        </w:rPr>
        <w:drawing>
          <wp:inline distT="0" distB="0" distL="0" distR="0" wp14:anchorId="7F88DB48" wp14:editId="405165F2">
            <wp:extent cx="6858000" cy="5275580"/>
            <wp:effectExtent l="0" t="0" r="0" b="0"/>
            <wp:docPr id="9" name="Graphic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96DAC541-7B7A-43D3-8B79-37D633B846F1}">
                          <asvg:svgBlip xmlns:asvg="http://schemas.microsoft.com/office/drawing/2016/SVG/main" r:embed="rId29"/>
                        </a:ext>
                      </a:extLst>
                    </a:blip>
                    <a:stretch>
                      <a:fillRect/>
                    </a:stretch>
                  </pic:blipFill>
                  <pic:spPr>
                    <a:xfrm>
                      <a:off x="0" y="0"/>
                      <a:ext cx="6858000" cy="5275580"/>
                    </a:xfrm>
                    <a:prstGeom prst="rect">
                      <a:avLst/>
                    </a:prstGeom>
                  </pic:spPr>
                </pic:pic>
              </a:graphicData>
            </a:graphic>
          </wp:inline>
        </w:drawing>
      </w:r>
    </w:p>
    <w:p w14:paraId="49C757CF" w14:textId="125D3759" w:rsidR="00027B45" w:rsidRPr="007C5734" w:rsidRDefault="00027B45" w:rsidP="00027B45">
      <w:pPr>
        <w:pStyle w:val="Caption"/>
        <w:jc w:val="both"/>
        <w:rPr>
          <w:vanish/>
          <w:sz w:val="22"/>
          <w:szCs w:val="22"/>
          <w:specVanish/>
        </w:rPr>
      </w:pPr>
      <w:bookmarkStart w:id="46" w:name="_Toc162998121"/>
      <w:r w:rsidRPr="007C5734">
        <w:rPr>
          <w:sz w:val="22"/>
          <w:szCs w:val="22"/>
        </w:rPr>
        <w:t>Fig. S</w:t>
      </w:r>
      <w:r w:rsidRPr="007C5734">
        <w:rPr>
          <w:sz w:val="22"/>
          <w:szCs w:val="22"/>
        </w:rPr>
        <w:fldChar w:fldCharType="begin"/>
      </w:r>
      <w:r w:rsidRPr="007C5734">
        <w:rPr>
          <w:sz w:val="22"/>
          <w:szCs w:val="22"/>
        </w:rPr>
        <w:instrText xml:space="preserve"> SEQ Fig._S \* ARABIC </w:instrText>
      </w:r>
      <w:r w:rsidRPr="007C5734">
        <w:rPr>
          <w:sz w:val="22"/>
          <w:szCs w:val="22"/>
        </w:rPr>
        <w:fldChar w:fldCharType="separate"/>
      </w:r>
      <w:r w:rsidR="009141B0">
        <w:rPr>
          <w:noProof/>
          <w:sz w:val="22"/>
          <w:szCs w:val="22"/>
        </w:rPr>
        <w:t>10</w:t>
      </w:r>
      <w:r w:rsidRPr="007C5734">
        <w:rPr>
          <w:noProof/>
          <w:sz w:val="22"/>
          <w:szCs w:val="22"/>
        </w:rPr>
        <w:fldChar w:fldCharType="end"/>
      </w:r>
      <w:r w:rsidRPr="007C5734">
        <w:rPr>
          <w:noProof/>
          <w:sz w:val="22"/>
          <w:szCs w:val="22"/>
        </w:rPr>
        <w:t xml:space="preserve"> |</w:t>
      </w:r>
      <w:r w:rsidRPr="007C5734">
        <w:rPr>
          <w:sz w:val="22"/>
          <w:szCs w:val="22"/>
        </w:rPr>
        <w:t xml:space="preserve"> Projections of agricultural labor-related metrics from Evolving and Static scenarios across regions.</w:t>
      </w:r>
      <w:bookmarkEnd w:id="46"/>
      <w:r w:rsidRPr="007C5734">
        <w:rPr>
          <w:sz w:val="22"/>
          <w:szCs w:val="22"/>
        </w:rPr>
        <w:t xml:space="preserve"> </w:t>
      </w:r>
    </w:p>
    <w:p w14:paraId="7F807EAE" w14:textId="26ECEEC9" w:rsidR="00027B45" w:rsidRDefault="0034160C" w:rsidP="0034160C">
      <w:pPr>
        <w:jc w:val="both"/>
        <w:rPr>
          <w:rFonts w:ascii="Arial" w:hAnsi="Arial" w:cs="Arial"/>
        </w:rPr>
      </w:pPr>
      <w:r>
        <w:rPr>
          <w:rFonts w:ascii="Arial" w:hAnsi="Arial" w:cs="Arial"/>
          <w:b/>
          <w:bCs/>
        </w:rPr>
        <w:t xml:space="preserve"> </w:t>
      </w:r>
      <w:r w:rsidRPr="0034160C">
        <w:rPr>
          <w:rFonts w:ascii="Arial" w:hAnsi="Arial" w:cs="Arial"/>
        </w:rPr>
        <w:t xml:space="preserve">This figure supplements the </w:t>
      </w:r>
      <w:r w:rsidR="00D57CBA">
        <w:rPr>
          <w:rFonts w:ascii="Arial" w:hAnsi="Arial" w:cs="Arial"/>
        </w:rPr>
        <w:t>M</w:t>
      </w:r>
      <w:r w:rsidRPr="0034160C">
        <w:rPr>
          <w:rFonts w:ascii="Arial" w:hAnsi="Arial" w:cs="Arial"/>
        </w:rPr>
        <w:t xml:space="preserve">ain </w:t>
      </w:r>
      <w:r w:rsidRPr="00D57CBA">
        <w:rPr>
          <w:rFonts w:ascii="Arial" w:hAnsi="Arial" w:cs="Arial"/>
          <w:b/>
          <w:bCs/>
        </w:rPr>
        <w:t>Fig. 3A</w:t>
      </w:r>
      <w:r w:rsidRPr="0034160C">
        <w:rPr>
          <w:rFonts w:ascii="Arial" w:hAnsi="Arial" w:cs="Arial"/>
        </w:rPr>
        <w:t>.</w:t>
      </w:r>
      <w:r w:rsidR="00CC1416" w:rsidRPr="0034160C">
        <w:rPr>
          <w:rFonts w:ascii="Arial" w:hAnsi="Arial" w:cs="Arial"/>
        </w:rPr>
        <w:t xml:space="preserve"> </w:t>
      </w:r>
    </w:p>
    <w:p w14:paraId="3E434EF7" w14:textId="77777777" w:rsidR="00A74AFE" w:rsidRDefault="00A74AFE">
      <w:pPr>
        <w:rPr>
          <w:rFonts w:ascii="Arial" w:hAnsi="Arial" w:cs="Arial"/>
        </w:rPr>
      </w:pPr>
    </w:p>
    <w:p w14:paraId="291A529A" w14:textId="77777777" w:rsidR="00A74AFE" w:rsidRDefault="00A74AFE">
      <w:pPr>
        <w:rPr>
          <w:rFonts w:ascii="Arial" w:hAnsi="Arial" w:cs="Arial"/>
        </w:rPr>
      </w:pPr>
      <w:r>
        <w:rPr>
          <w:rFonts w:ascii="Arial" w:hAnsi="Arial" w:cs="Arial"/>
        </w:rPr>
        <w:br w:type="page"/>
      </w:r>
    </w:p>
    <w:p w14:paraId="2AD704CE" w14:textId="5D5D197F" w:rsidR="003518C9" w:rsidRDefault="006D46F5" w:rsidP="00A74AFE">
      <w:pPr>
        <w:jc w:val="both"/>
        <w:rPr>
          <w:rFonts w:ascii="Arial" w:hAnsi="Arial" w:cs="Arial"/>
        </w:rPr>
      </w:pPr>
      <w:r>
        <w:rPr>
          <w:noProof/>
        </w:rPr>
        <w:lastRenderedPageBreak/>
        <w:drawing>
          <wp:inline distT="0" distB="0" distL="0" distR="0" wp14:anchorId="57A80C54" wp14:editId="6C64621A">
            <wp:extent cx="6858000" cy="7481570"/>
            <wp:effectExtent l="0" t="0" r="0" b="5080"/>
            <wp:docPr id="3"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96DAC541-7B7A-43D3-8B79-37D633B846F1}">
                          <asvg:svgBlip xmlns:asvg="http://schemas.microsoft.com/office/drawing/2016/SVG/main" r:embed="rId31"/>
                        </a:ext>
                      </a:extLst>
                    </a:blip>
                    <a:stretch>
                      <a:fillRect/>
                    </a:stretch>
                  </pic:blipFill>
                  <pic:spPr>
                    <a:xfrm>
                      <a:off x="0" y="0"/>
                      <a:ext cx="6858000" cy="7481570"/>
                    </a:xfrm>
                    <a:prstGeom prst="rect">
                      <a:avLst/>
                    </a:prstGeom>
                  </pic:spPr>
                </pic:pic>
              </a:graphicData>
            </a:graphic>
          </wp:inline>
        </w:drawing>
      </w:r>
    </w:p>
    <w:p w14:paraId="2C672AE5" w14:textId="34666851" w:rsidR="00A74AFE" w:rsidRPr="00CB3CE9" w:rsidRDefault="00A74AFE" w:rsidP="00A74AFE">
      <w:pPr>
        <w:pStyle w:val="Caption"/>
        <w:jc w:val="both"/>
        <w:rPr>
          <w:vanish/>
          <w:sz w:val="22"/>
          <w:szCs w:val="22"/>
          <w:specVanish/>
        </w:rPr>
      </w:pPr>
      <w:bookmarkStart w:id="47" w:name="_Toc162998122"/>
      <w:r w:rsidRPr="007C5734">
        <w:rPr>
          <w:sz w:val="22"/>
          <w:szCs w:val="22"/>
        </w:rPr>
        <w:t>Fig. S</w:t>
      </w:r>
      <w:r w:rsidRPr="007C5734">
        <w:rPr>
          <w:sz w:val="22"/>
          <w:szCs w:val="22"/>
        </w:rPr>
        <w:fldChar w:fldCharType="begin"/>
      </w:r>
      <w:r w:rsidRPr="007C5734">
        <w:rPr>
          <w:sz w:val="22"/>
          <w:szCs w:val="22"/>
        </w:rPr>
        <w:instrText xml:space="preserve"> SEQ Fig._S \* ARABIC </w:instrText>
      </w:r>
      <w:r w:rsidRPr="007C5734">
        <w:rPr>
          <w:sz w:val="22"/>
          <w:szCs w:val="22"/>
        </w:rPr>
        <w:fldChar w:fldCharType="separate"/>
      </w:r>
      <w:r w:rsidR="009141B0">
        <w:rPr>
          <w:noProof/>
          <w:sz w:val="22"/>
          <w:szCs w:val="22"/>
        </w:rPr>
        <w:t>11</w:t>
      </w:r>
      <w:r w:rsidRPr="007C5734">
        <w:rPr>
          <w:noProof/>
          <w:sz w:val="22"/>
          <w:szCs w:val="22"/>
        </w:rPr>
        <w:fldChar w:fldCharType="end"/>
      </w:r>
      <w:r w:rsidRPr="007C5734">
        <w:rPr>
          <w:sz w:val="22"/>
          <w:szCs w:val="22"/>
        </w:rPr>
        <w:t xml:space="preserve"> | </w:t>
      </w:r>
      <w:r>
        <w:rPr>
          <w:sz w:val="22"/>
          <w:szCs w:val="22"/>
        </w:rPr>
        <w:t>Impact of labor market evolution (Evolving vs. Static) on agroeconomic and environmental projections</w:t>
      </w:r>
      <w:r w:rsidRPr="007C5734">
        <w:rPr>
          <w:sz w:val="22"/>
          <w:szCs w:val="22"/>
        </w:rPr>
        <w:t>.</w:t>
      </w:r>
      <w:bookmarkEnd w:id="47"/>
      <w:r w:rsidRPr="007C5734">
        <w:rPr>
          <w:sz w:val="22"/>
          <w:szCs w:val="22"/>
        </w:rPr>
        <w:t xml:space="preserve"> </w:t>
      </w:r>
    </w:p>
    <w:p w14:paraId="0CE563E5" w14:textId="41DE7DFD" w:rsidR="00A74AFE" w:rsidRDefault="00A74AFE" w:rsidP="00A74AFE">
      <w:pPr>
        <w:jc w:val="both"/>
        <w:rPr>
          <w:rFonts w:ascii="Arial" w:hAnsi="Arial" w:cs="Arial"/>
        </w:rPr>
      </w:pPr>
      <w:r>
        <w:rPr>
          <w:rFonts w:ascii="Arial" w:hAnsi="Arial" w:cs="Arial"/>
        </w:rPr>
        <w:t xml:space="preserve"> The figure shows the difference between</w:t>
      </w:r>
      <w:r w:rsidR="002637E0">
        <w:rPr>
          <w:rFonts w:ascii="Arial" w:hAnsi="Arial" w:cs="Arial"/>
        </w:rPr>
        <w:t xml:space="preserve"> results from the Evolving and Static scenarios. </w:t>
      </w:r>
      <w:r>
        <w:rPr>
          <w:rFonts w:ascii="Arial" w:hAnsi="Arial" w:cs="Arial"/>
        </w:rPr>
        <w:t>Data source: GCAM simulation results</w:t>
      </w:r>
      <w:r w:rsidRPr="007C5734">
        <w:rPr>
          <w:rFonts w:ascii="Arial" w:hAnsi="Arial" w:cs="Arial"/>
        </w:rPr>
        <w:t>.</w:t>
      </w:r>
    </w:p>
    <w:p w14:paraId="1CF8E078" w14:textId="373937B1" w:rsidR="00231ED6" w:rsidRDefault="00231ED6">
      <w:pPr>
        <w:rPr>
          <w:rFonts w:ascii="Arial" w:hAnsi="Arial" w:cs="Arial"/>
        </w:rPr>
      </w:pPr>
      <w:r>
        <w:rPr>
          <w:rFonts w:ascii="Arial" w:hAnsi="Arial" w:cs="Arial"/>
        </w:rPr>
        <w:br w:type="page"/>
      </w:r>
    </w:p>
    <w:p w14:paraId="52E2DB4F" w14:textId="77777777" w:rsidR="00027B45" w:rsidRDefault="00027B45" w:rsidP="00027B45">
      <w:pPr>
        <w:jc w:val="both"/>
        <w:rPr>
          <w:rFonts w:ascii="Arial" w:hAnsi="Arial" w:cs="Arial"/>
          <w:szCs w:val="20"/>
        </w:rPr>
      </w:pPr>
      <w:r>
        <w:rPr>
          <w:noProof/>
        </w:rPr>
        <w:lastRenderedPageBreak/>
        <w:drawing>
          <wp:inline distT="0" distB="0" distL="0" distR="0" wp14:anchorId="5A9F6CEF" wp14:editId="51772B42">
            <wp:extent cx="6858000" cy="7837714"/>
            <wp:effectExtent l="0" t="0" r="0" b="0"/>
            <wp:docPr id="5" name="Graphic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phic 5"/>
                    <pic:cNvPicPr/>
                  </pic:nvPicPr>
                  <pic:blipFill>
                    <a:blip r:embed="rId32">
                      <a:extLst>
                        <a:ext uri="{96DAC541-7B7A-43D3-8B79-37D633B846F1}">
                          <asvg:svgBlip xmlns:asvg="http://schemas.microsoft.com/office/drawing/2016/SVG/main" r:embed="rId33"/>
                        </a:ext>
                      </a:extLst>
                    </a:blip>
                    <a:stretch>
                      <a:fillRect/>
                    </a:stretch>
                  </pic:blipFill>
                  <pic:spPr>
                    <a:xfrm>
                      <a:off x="0" y="0"/>
                      <a:ext cx="6858000" cy="7837714"/>
                    </a:xfrm>
                    <a:prstGeom prst="rect">
                      <a:avLst/>
                    </a:prstGeom>
                  </pic:spPr>
                </pic:pic>
              </a:graphicData>
            </a:graphic>
          </wp:inline>
        </w:drawing>
      </w:r>
    </w:p>
    <w:p w14:paraId="64044F7F" w14:textId="311BDB87" w:rsidR="00027B45" w:rsidRPr="007C5734" w:rsidRDefault="00027B45" w:rsidP="007665CB">
      <w:pPr>
        <w:pStyle w:val="Caption"/>
        <w:jc w:val="both"/>
        <w:rPr>
          <w:vanish/>
          <w:sz w:val="22"/>
          <w:szCs w:val="22"/>
          <w:specVanish/>
        </w:rPr>
      </w:pPr>
      <w:bookmarkStart w:id="48" w:name="_Toc162998123"/>
      <w:r w:rsidRPr="007C5734">
        <w:rPr>
          <w:sz w:val="22"/>
          <w:szCs w:val="22"/>
        </w:rPr>
        <w:t>Fig. S</w:t>
      </w:r>
      <w:r w:rsidRPr="007C5734">
        <w:rPr>
          <w:sz w:val="22"/>
          <w:szCs w:val="22"/>
        </w:rPr>
        <w:fldChar w:fldCharType="begin"/>
      </w:r>
      <w:r w:rsidRPr="007C5734">
        <w:rPr>
          <w:sz w:val="22"/>
          <w:szCs w:val="22"/>
        </w:rPr>
        <w:instrText xml:space="preserve"> SEQ Fig._S \* ARABIC </w:instrText>
      </w:r>
      <w:r w:rsidRPr="007C5734">
        <w:rPr>
          <w:sz w:val="22"/>
          <w:szCs w:val="22"/>
        </w:rPr>
        <w:fldChar w:fldCharType="separate"/>
      </w:r>
      <w:r w:rsidR="009141B0">
        <w:rPr>
          <w:noProof/>
          <w:sz w:val="22"/>
          <w:szCs w:val="22"/>
        </w:rPr>
        <w:t>12</w:t>
      </w:r>
      <w:r w:rsidRPr="007C5734">
        <w:rPr>
          <w:noProof/>
          <w:sz w:val="22"/>
          <w:szCs w:val="22"/>
        </w:rPr>
        <w:fldChar w:fldCharType="end"/>
      </w:r>
      <w:r w:rsidRPr="007C5734">
        <w:rPr>
          <w:sz w:val="22"/>
          <w:szCs w:val="22"/>
        </w:rPr>
        <w:t xml:space="preserve"> </w:t>
      </w:r>
      <w:r w:rsidR="00E70454" w:rsidRPr="007C5734">
        <w:rPr>
          <w:noProof/>
          <w:sz w:val="22"/>
          <w:szCs w:val="22"/>
        </w:rPr>
        <w:t xml:space="preserve">| </w:t>
      </w:r>
      <w:r w:rsidRPr="007C5734">
        <w:rPr>
          <w:sz w:val="22"/>
          <w:szCs w:val="22"/>
        </w:rPr>
        <w:t>Agricultural methane and nitrous oxide emissions by GCAM sector.</w:t>
      </w:r>
      <w:bookmarkEnd w:id="48"/>
      <w:r w:rsidRPr="007C5734">
        <w:rPr>
          <w:sz w:val="22"/>
          <w:szCs w:val="22"/>
        </w:rPr>
        <w:t xml:space="preserve"> </w:t>
      </w:r>
    </w:p>
    <w:p w14:paraId="146AA743" w14:textId="77777777" w:rsidR="00027B45" w:rsidRPr="007C5734" w:rsidRDefault="00027B45" w:rsidP="007665CB">
      <w:pPr>
        <w:jc w:val="both"/>
        <w:rPr>
          <w:rFonts w:ascii="Arial" w:hAnsi="Arial" w:cs="Arial"/>
        </w:rPr>
      </w:pPr>
      <w:r w:rsidRPr="007C5734">
        <w:rPr>
          <w:rFonts w:ascii="Arial" w:hAnsi="Arial" w:cs="Arial"/>
        </w:rPr>
        <w:t xml:space="preserve"> Panel (A) presents the cumulative (2020 - 2100) agricultural greenhouse emission and Panel (B) presents the annual emissions.</w:t>
      </w:r>
    </w:p>
    <w:p w14:paraId="0D7CE0E3" w14:textId="77777777" w:rsidR="004708D7" w:rsidRDefault="004708D7" w:rsidP="00B63D97">
      <w:pPr>
        <w:spacing w:after="120" w:line="276" w:lineRule="auto"/>
        <w:rPr>
          <w:rFonts w:ascii="Arial" w:hAnsi="Arial" w:cs="Arial"/>
        </w:rPr>
        <w:sectPr w:rsidR="004708D7" w:rsidSect="00572106">
          <w:pgSz w:w="12240" w:h="15840"/>
          <w:pgMar w:top="1152" w:right="720" w:bottom="720" w:left="720" w:header="720" w:footer="720" w:gutter="0"/>
          <w:cols w:space="720"/>
          <w:docGrid w:linePitch="360"/>
        </w:sectPr>
      </w:pPr>
    </w:p>
    <w:p w14:paraId="5B2F0430" w14:textId="65B7EC7C" w:rsidR="00FB08E5" w:rsidRDefault="00FB08E5" w:rsidP="00FB08E5">
      <w:pPr>
        <w:jc w:val="center"/>
        <w:rPr>
          <w:rFonts w:ascii="Arial" w:hAnsi="Arial" w:cs="Arial"/>
        </w:rPr>
      </w:pPr>
      <w:r>
        <w:rPr>
          <w:noProof/>
        </w:rPr>
        <w:lastRenderedPageBreak/>
        <w:drawing>
          <wp:inline distT="0" distB="0" distL="0" distR="0" wp14:anchorId="752236EA" wp14:editId="5011BC2E">
            <wp:extent cx="6004369" cy="7005099"/>
            <wp:effectExtent l="0" t="0" r="0" b="571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028744" cy="7033536"/>
                    </a:xfrm>
                    <a:prstGeom prst="rect">
                      <a:avLst/>
                    </a:prstGeom>
                    <a:noFill/>
                    <a:ln>
                      <a:noFill/>
                    </a:ln>
                  </pic:spPr>
                </pic:pic>
              </a:graphicData>
            </a:graphic>
          </wp:inline>
        </w:drawing>
      </w:r>
    </w:p>
    <w:p w14:paraId="35C07DB4" w14:textId="0D338388" w:rsidR="00FB08E5" w:rsidRPr="007C5734" w:rsidRDefault="00FB08E5" w:rsidP="00FB08E5">
      <w:pPr>
        <w:pStyle w:val="Caption"/>
        <w:jc w:val="both"/>
        <w:rPr>
          <w:vanish/>
          <w:sz w:val="22"/>
          <w:szCs w:val="22"/>
          <w:specVanish/>
        </w:rPr>
      </w:pPr>
      <w:bookmarkStart w:id="49" w:name="_Toc162998124"/>
      <w:r w:rsidRPr="007C5734">
        <w:rPr>
          <w:sz w:val="22"/>
          <w:szCs w:val="22"/>
        </w:rPr>
        <w:t>Fig. S</w:t>
      </w:r>
      <w:r w:rsidRPr="007C5734">
        <w:rPr>
          <w:sz w:val="22"/>
          <w:szCs w:val="22"/>
        </w:rPr>
        <w:fldChar w:fldCharType="begin"/>
      </w:r>
      <w:r w:rsidRPr="007C5734">
        <w:rPr>
          <w:sz w:val="22"/>
          <w:szCs w:val="22"/>
        </w:rPr>
        <w:instrText xml:space="preserve"> SEQ Fig._S \* ARABIC </w:instrText>
      </w:r>
      <w:r w:rsidRPr="007C5734">
        <w:rPr>
          <w:sz w:val="22"/>
          <w:szCs w:val="22"/>
        </w:rPr>
        <w:fldChar w:fldCharType="separate"/>
      </w:r>
      <w:r w:rsidR="009141B0">
        <w:rPr>
          <w:noProof/>
          <w:sz w:val="22"/>
          <w:szCs w:val="22"/>
        </w:rPr>
        <w:t>13</w:t>
      </w:r>
      <w:r w:rsidRPr="007C5734">
        <w:rPr>
          <w:noProof/>
          <w:sz w:val="22"/>
          <w:szCs w:val="22"/>
        </w:rPr>
        <w:fldChar w:fldCharType="end"/>
      </w:r>
      <w:r w:rsidRPr="007C5734">
        <w:rPr>
          <w:noProof/>
          <w:sz w:val="22"/>
          <w:szCs w:val="22"/>
        </w:rPr>
        <w:t xml:space="preserve"> | </w:t>
      </w:r>
      <w:r w:rsidRPr="007C5734">
        <w:rPr>
          <w:sz w:val="22"/>
          <w:szCs w:val="22"/>
        </w:rPr>
        <w:t>Agricultural effective labor across regions and scenarios.</w:t>
      </w:r>
      <w:bookmarkEnd w:id="49"/>
      <w:r w:rsidRPr="007C5734">
        <w:rPr>
          <w:sz w:val="22"/>
          <w:szCs w:val="22"/>
        </w:rPr>
        <w:t xml:space="preserve"> </w:t>
      </w:r>
    </w:p>
    <w:p w14:paraId="1C72910C" w14:textId="77777777" w:rsidR="004708D7" w:rsidRDefault="00FB08E5" w:rsidP="00FB08E5">
      <w:pPr>
        <w:jc w:val="center"/>
        <w:rPr>
          <w:rFonts w:ascii="Arial" w:hAnsi="Arial" w:cs="Arial"/>
        </w:rPr>
      </w:pPr>
      <w:r w:rsidRPr="007C5734">
        <w:rPr>
          <w:rFonts w:ascii="Arial" w:hAnsi="Arial" w:cs="Arial"/>
        </w:rPr>
        <w:t xml:space="preserve"> Panel (A) presents the global effective labor over time relative to 2015, and Panel (B) presents the regional effective labor over time relative to 2015. </w:t>
      </w:r>
    </w:p>
    <w:p w14:paraId="4AEBD46E" w14:textId="723954AE" w:rsidR="00FB08E5" w:rsidRDefault="00FB08E5" w:rsidP="00FB08E5">
      <w:pPr>
        <w:jc w:val="center"/>
        <w:rPr>
          <w:rFonts w:ascii="Arial" w:hAnsi="Arial" w:cs="Arial"/>
        </w:rPr>
      </w:pPr>
      <w:r>
        <w:rPr>
          <w:noProof/>
        </w:rPr>
        <w:lastRenderedPageBreak/>
        <w:drawing>
          <wp:inline distT="0" distB="0" distL="0" distR="0" wp14:anchorId="66313824" wp14:editId="0943BD5C">
            <wp:extent cx="6400800" cy="74676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400800" cy="7467600"/>
                    </a:xfrm>
                    <a:prstGeom prst="rect">
                      <a:avLst/>
                    </a:prstGeom>
                    <a:noFill/>
                    <a:ln>
                      <a:noFill/>
                    </a:ln>
                  </pic:spPr>
                </pic:pic>
              </a:graphicData>
            </a:graphic>
          </wp:inline>
        </w:drawing>
      </w:r>
    </w:p>
    <w:p w14:paraId="544160FE" w14:textId="33C9870B" w:rsidR="00FB08E5" w:rsidRPr="007C5734" w:rsidRDefault="00FB08E5" w:rsidP="00FB08E5">
      <w:pPr>
        <w:pStyle w:val="Caption"/>
        <w:jc w:val="both"/>
        <w:rPr>
          <w:vanish/>
          <w:sz w:val="22"/>
          <w:szCs w:val="22"/>
          <w:specVanish/>
        </w:rPr>
      </w:pPr>
      <w:bookmarkStart w:id="50" w:name="_Toc162998125"/>
      <w:r w:rsidRPr="007C5734">
        <w:rPr>
          <w:sz w:val="22"/>
          <w:szCs w:val="22"/>
        </w:rPr>
        <w:t>Fig. S</w:t>
      </w:r>
      <w:r w:rsidRPr="007C5734">
        <w:rPr>
          <w:sz w:val="22"/>
          <w:szCs w:val="22"/>
        </w:rPr>
        <w:fldChar w:fldCharType="begin"/>
      </w:r>
      <w:r w:rsidRPr="007C5734">
        <w:rPr>
          <w:sz w:val="22"/>
          <w:szCs w:val="22"/>
        </w:rPr>
        <w:instrText xml:space="preserve"> SEQ Fig._S \* ARABIC </w:instrText>
      </w:r>
      <w:r w:rsidRPr="007C5734">
        <w:rPr>
          <w:sz w:val="22"/>
          <w:szCs w:val="22"/>
        </w:rPr>
        <w:fldChar w:fldCharType="separate"/>
      </w:r>
      <w:r w:rsidR="009141B0">
        <w:rPr>
          <w:noProof/>
          <w:sz w:val="22"/>
          <w:szCs w:val="22"/>
        </w:rPr>
        <w:t>14</w:t>
      </w:r>
      <w:r w:rsidRPr="007C5734">
        <w:rPr>
          <w:noProof/>
          <w:sz w:val="22"/>
          <w:szCs w:val="22"/>
        </w:rPr>
        <w:fldChar w:fldCharType="end"/>
      </w:r>
      <w:r w:rsidRPr="007C5734">
        <w:rPr>
          <w:sz w:val="22"/>
          <w:szCs w:val="22"/>
        </w:rPr>
        <w:t xml:space="preserve"> | Agricultural labor share of labor force overtime across regions and scenarios.</w:t>
      </w:r>
      <w:bookmarkEnd w:id="50"/>
      <w:r w:rsidRPr="007C5734">
        <w:rPr>
          <w:sz w:val="22"/>
          <w:szCs w:val="22"/>
        </w:rPr>
        <w:t xml:space="preserve"> </w:t>
      </w:r>
    </w:p>
    <w:p w14:paraId="6B32D2BA" w14:textId="4D16EDCF" w:rsidR="00FB08E5" w:rsidRPr="00E953CD" w:rsidRDefault="00FB08E5" w:rsidP="00FB08E5">
      <w:pPr>
        <w:jc w:val="both"/>
        <w:rPr>
          <w:rFonts w:ascii="Arial" w:hAnsi="Arial" w:cs="Arial"/>
          <w:sz w:val="20"/>
          <w:szCs w:val="20"/>
        </w:rPr>
      </w:pPr>
      <w:r w:rsidRPr="007C5734">
        <w:rPr>
          <w:rFonts w:ascii="Arial" w:hAnsi="Arial" w:cs="Arial"/>
        </w:rPr>
        <w:t xml:space="preserve"> Panel (A) presents the global agricultural labor share across scenarios, and Panel (B) presents the agricultural labor share across scenarios. </w:t>
      </w:r>
      <w:r w:rsidR="00E70454" w:rsidRPr="00E953CD">
        <w:rPr>
          <w:rFonts w:ascii="Arial" w:hAnsi="Arial" w:cs="Arial"/>
          <w:noProof/>
          <w:sz w:val="20"/>
          <w:szCs w:val="18"/>
        </w:rPr>
        <w:t>Data source: GCAM simulation results.</w:t>
      </w:r>
      <w:r w:rsidRPr="00E953CD">
        <w:rPr>
          <w:rFonts w:ascii="Arial" w:hAnsi="Arial" w:cs="Arial"/>
          <w:sz w:val="20"/>
          <w:szCs w:val="20"/>
        </w:rPr>
        <w:br w:type="page"/>
      </w:r>
    </w:p>
    <w:bookmarkEnd w:id="1"/>
    <w:p w14:paraId="550342E2" w14:textId="77777777" w:rsidR="00FB08E5" w:rsidRDefault="00FB08E5" w:rsidP="00FB08E5">
      <w:pPr>
        <w:jc w:val="center"/>
        <w:rPr>
          <w:rFonts w:ascii="Arial" w:hAnsi="Arial" w:cs="Arial"/>
        </w:rPr>
      </w:pPr>
      <w:r>
        <w:rPr>
          <w:noProof/>
        </w:rPr>
        <w:lastRenderedPageBreak/>
        <w:drawing>
          <wp:inline distT="0" distB="0" distL="0" distR="0" wp14:anchorId="41BE18FE" wp14:editId="34D1ACD4">
            <wp:extent cx="6675120" cy="7188733"/>
            <wp:effectExtent l="0" t="0" r="0" b="0"/>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96DAC541-7B7A-43D3-8B79-37D633B846F1}">
                          <asvg:svgBlip xmlns:asvg="http://schemas.microsoft.com/office/drawing/2016/SVG/main" r:embed="rId37"/>
                        </a:ext>
                      </a:extLst>
                    </a:blip>
                    <a:stretch>
                      <a:fillRect/>
                    </a:stretch>
                  </pic:blipFill>
                  <pic:spPr>
                    <a:xfrm>
                      <a:off x="0" y="0"/>
                      <a:ext cx="6675120" cy="7188733"/>
                    </a:xfrm>
                    <a:prstGeom prst="rect">
                      <a:avLst/>
                    </a:prstGeom>
                  </pic:spPr>
                </pic:pic>
              </a:graphicData>
            </a:graphic>
          </wp:inline>
        </w:drawing>
      </w:r>
    </w:p>
    <w:p w14:paraId="7929ABF1" w14:textId="754473D9" w:rsidR="00FB08E5" w:rsidRPr="007C5734" w:rsidRDefault="00FB08E5" w:rsidP="00E70454">
      <w:pPr>
        <w:pStyle w:val="Caption"/>
        <w:spacing w:line="276" w:lineRule="auto"/>
        <w:jc w:val="both"/>
        <w:rPr>
          <w:vanish/>
          <w:sz w:val="22"/>
          <w:szCs w:val="22"/>
          <w:specVanish/>
        </w:rPr>
      </w:pPr>
      <w:bookmarkStart w:id="51" w:name="_Toc162998126"/>
      <w:r w:rsidRPr="007C5734">
        <w:rPr>
          <w:sz w:val="22"/>
          <w:szCs w:val="22"/>
        </w:rPr>
        <w:t>Fig. S</w:t>
      </w:r>
      <w:r w:rsidRPr="007C5734">
        <w:rPr>
          <w:sz w:val="22"/>
          <w:szCs w:val="22"/>
        </w:rPr>
        <w:fldChar w:fldCharType="begin"/>
      </w:r>
      <w:r w:rsidRPr="007C5734">
        <w:rPr>
          <w:sz w:val="22"/>
          <w:szCs w:val="22"/>
        </w:rPr>
        <w:instrText xml:space="preserve"> SEQ Fig._S \* ARABIC </w:instrText>
      </w:r>
      <w:r w:rsidRPr="007C5734">
        <w:rPr>
          <w:sz w:val="22"/>
          <w:szCs w:val="22"/>
        </w:rPr>
        <w:fldChar w:fldCharType="separate"/>
      </w:r>
      <w:r w:rsidR="009141B0">
        <w:rPr>
          <w:noProof/>
          <w:sz w:val="22"/>
          <w:szCs w:val="22"/>
        </w:rPr>
        <w:t>15</w:t>
      </w:r>
      <w:r w:rsidRPr="007C5734">
        <w:rPr>
          <w:noProof/>
          <w:sz w:val="22"/>
          <w:szCs w:val="22"/>
        </w:rPr>
        <w:fldChar w:fldCharType="end"/>
      </w:r>
      <w:r w:rsidRPr="007C5734">
        <w:rPr>
          <w:noProof/>
          <w:sz w:val="22"/>
          <w:szCs w:val="22"/>
        </w:rPr>
        <w:t xml:space="preserve"> | </w:t>
      </w:r>
      <w:r w:rsidRPr="007C5734">
        <w:rPr>
          <w:sz w:val="22"/>
          <w:szCs w:val="22"/>
        </w:rPr>
        <w:t>Sensitivity of end-of-century agroeconomic implications to labor market assumptions.</w:t>
      </w:r>
      <w:bookmarkEnd w:id="51"/>
      <w:r w:rsidRPr="007C5734">
        <w:rPr>
          <w:sz w:val="22"/>
          <w:szCs w:val="22"/>
        </w:rPr>
        <w:t xml:space="preserve"> </w:t>
      </w:r>
    </w:p>
    <w:p w14:paraId="4EB64691" w14:textId="77777777" w:rsidR="00FB08E5" w:rsidRPr="00E953CD" w:rsidRDefault="00FB08E5" w:rsidP="00E70454">
      <w:pPr>
        <w:spacing w:line="276" w:lineRule="auto"/>
        <w:jc w:val="both"/>
        <w:rPr>
          <w:rFonts w:ascii="Arial" w:hAnsi="Arial" w:cs="Arial"/>
          <w:sz w:val="20"/>
          <w:szCs w:val="20"/>
        </w:rPr>
      </w:pPr>
      <w:r>
        <w:rPr>
          <w:rFonts w:ascii="Arial" w:hAnsi="Arial" w:cs="Arial"/>
          <w:sz w:val="20"/>
          <w:szCs w:val="20"/>
        </w:rPr>
        <w:t xml:space="preserve"> </w:t>
      </w:r>
      <w:r w:rsidRPr="00E953CD">
        <w:rPr>
          <w:rFonts w:ascii="Arial" w:hAnsi="Arial" w:cs="Arial"/>
          <w:sz w:val="20"/>
          <w:szCs w:val="20"/>
        </w:rPr>
        <w:t>End-of-century (2100) p</w:t>
      </w:r>
      <w:r w:rsidRPr="00E953CD">
        <w:rPr>
          <w:rFonts w:ascii="Arial" w:hAnsi="Arial" w:cs="Arial"/>
          <w:noProof/>
          <w:sz w:val="20"/>
          <w:szCs w:val="20"/>
        </w:rPr>
        <w:t xml:space="preserve">rojections from the sensitivity scenario, relative to the Evolving scenario, are presented for agricultural labor (A), agricultural production (B), land allocations (C), nitrogen fertilizer input (D), and agricultural water withdrawal (E). In all panels, boxplots (Tukey style) depict the median values (line), the interquartile ranges (IRQ; boxes), the minimum/maximum of 1.5 x IRQ ranges and the minimum/maximum values (whiskers) across the IPCC R10 regions, organized by scenario (x-axis and filled color). Points display values for key regions (shape and color). </w:t>
      </w:r>
      <w:r w:rsidRPr="00E953CD">
        <w:rPr>
          <w:rFonts w:ascii="Arial" w:hAnsi="Arial" w:cs="Arial"/>
          <w:noProof/>
          <w:sz w:val="20"/>
          <w:szCs w:val="18"/>
        </w:rPr>
        <w:t>Data source: GCAM simulation results.</w:t>
      </w:r>
    </w:p>
    <w:p w14:paraId="52CD20CD" w14:textId="7D653DAA" w:rsidR="006B5CA6" w:rsidRDefault="006B5CA6" w:rsidP="00641F3E">
      <w:pPr>
        <w:pStyle w:val="Caption"/>
        <w:jc w:val="both"/>
        <w:rPr>
          <w:sz w:val="22"/>
          <w:szCs w:val="22"/>
        </w:rPr>
      </w:pPr>
      <w:r>
        <w:rPr>
          <w:noProof/>
        </w:rPr>
        <w:lastRenderedPageBreak/>
        <w:drawing>
          <wp:inline distT="0" distB="0" distL="0" distR="0" wp14:anchorId="2FFBA61C" wp14:editId="3B597D2B">
            <wp:extent cx="6675120" cy="7188733"/>
            <wp:effectExtent l="0" t="0" r="0" b="0"/>
            <wp:docPr id="8" name="Graphic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96DAC541-7B7A-43D3-8B79-37D633B846F1}">
                          <asvg:svgBlip xmlns:asvg="http://schemas.microsoft.com/office/drawing/2016/SVG/main" r:embed="rId39"/>
                        </a:ext>
                      </a:extLst>
                    </a:blip>
                    <a:stretch>
                      <a:fillRect/>
                    </a:stretch>
                  </pic:blipFill>
                  <pic:spPr>
                    <a:xfrm>
                      <a:off x="0" y="0"/>
                      <a:ext cx="6675120" cy="7188733"/>
                    </a:xfrm>
                    <a:prstGeom prst="rect">
                      <a:avLst/>
                    </a:prstGeom>
                  </pic:spPr>
                </pic:pic>
              </a:graphicData>
            </a:graphic>
          </wp:inline>
        </w:drawing>
      </w:r>
    </w:p>
    <w:p w14:paraId="19C22246" w14:textId="0F3C0B3D" w:rsidR="00641F3E" w:rsidRPr="00641F3E" w:rsidRDefault="00641F3E" w:rsidP="00641F3E">
      <w:pPr>
        <w:pStyle w:val="Caption"/>
        <w:jc w:val="both"/>
        <w:rPr>
          <w:vanish/>
          <w:sz w:val="22"/>
          <w:szCs w:val="22"/>
          <w:specVanish/>
        </w:rPr>
      </w:pPr>
      <w:bookmarkStart w:id="52" w:name="_Toc162998127"/>
      <w:r w:rsidRPr="00641F3E">
        <w:rPr>
          <w:sz w:val="22"/>
          <w:szCs w:val="22"/>
        </w:rPr>
        <w:t>Fig. S</w:t>
      </w:r>
      <w:r w:rsidRPr="00641F3E">
        <w:rPr>
          <w:sz w:val="22"/>
          <w:szCs w:val="22"/>
        </w:rPr>
        <w:fldChar w:fldCharType="begin"/>
      </w:r>
      <w:r w:rsidRPr="00641F3E">
        <w:rPr>
          <w:sz w:val="22"/>
          <w:szCs w:val="22"/>
        </w:rPr>
        <w:instrText xml:space="preserve"> SEQ Fig._S \* ARABIC </w:instrText>
      </w:r>
      <w:r w:rsidRPr="00641F3E">
        <w:rPr>
          <w:sz w:val="22"/>
          <w:szCs w:val="22"/>
        </w:rPr>
        <w:fldChar w:fldCharType="separate"/>
      </w:r>
      <w:r w:rsidR="009141B0">
        <w:rPr>
          <w:noProof/>
          <w:sz w:val="22"/>
          <w:szCs w:val="22"/>
        </w:rPr>
        <w:t>16</w:t>
      </w:r>
      <w:r w:rsidRPr="00641F3E">
        <w:rPr>
          <w:noProof/>
          <w:sz w:val="22"/>
          <w:szCs w:val="22"/>
        </w:rPr>
        <w:fldChar w:fldCharType="end"/>
      </w:r>
      <w:r w:rsidRPr="00641F3E">
        <w:rPr>
          <w:noProof/>
          <w:sz w:val="22"/>
          <w:szCs w:val="22"/>
        </w:rPr>
        <w:t xml:space="preserve"> | </w:t>
      </w:r>
      <w:r w:rsidRPr="00641F3E">
        <w:rPr>
          <w:sz w:val="22"/>
          <w:szCs w:val="22"/>
        </w:rPr>
        <w:t>Sensitivity of 2050 agroeconomic and emission implications to labor market assumptions.</w:t>
      </w:r>
      <w:bookmarkEnd w:id="52"/>
      <w:r w:rsidRPr="00641F3E">
        <w:rPr>
          <w:sz w:val="22"/>
          <w:szCs w:val="22"/>
        </w:rPr>
        <w:t xml:space="preserve"> </w:t>
      </w:r>
    </w:p>
    <w:p w14:paraId="04170063" w14:textId="34DBFCCE" w:rsidR="00641F3E" w:rsidRPr="00641F3E" w:rsidRDefault="00641F3E" w:rsidP="00641F3E">
      <w:pPr>
        <w:jc w:val="both"/>
        <w:rPr>
          <w:rFonts w:ascii="Arial" w:hAnsi="Arial" w:cs="Arial"/>
        </w:rPr>
      </w:pPr>
      <w:r w:rsidRPr="00641F3E">
        <w:rPr>
          <w:rFonts w:ascii="Arial" w:hAnsi="Arial" w:cs="Arial"/>
        </w:rPr>
        <w:t xml:space="preserve"> </w:t>
      </w:r>
      <w:r w:rsidRPr="00641F3E">
        <w:rPr>
          <w:rFonts w:ascii="Arial" w:hAnsi="Arial" w:cs="Arial"/>
          <w:sz w:val="20"/>
          <w:szCs w:val="20"/>
        </w:rPr>
        <w:t>Mid-of-century (2050) p</w:t>
      </w:r>
      <w:r w:rsidRPr="00641F3E">
        <w:rPr>
          <w:rFonts w:ascii="Arial" w:hAnsi="Arial" w:cs="Arial"/>
          <w:noProof/>
          <w:sz w:val="20"/>
          <w:szCs w:val="20"/>
        </w:rPr>
        <w:t>rojections from the sensitivity scenario, relative to the Evolving scenario, are presented for agricultural labor (A), wage rate (B), agricultural prices (C), and cumulative (2020 – 2</w:t>
      </w:r>
      <w:r w:rsidR="006B5CA6">
        <w:rPr>
          <w:rFonts w:ascii="Arial" w:hAnsi="Arial" w:cs="Arial"/>
          <w:noProof/>
          <w:sz w:val="20"/>
          <w:szCs w:val="20"/>
        </w:rPr>
        <w:t>05</w:t>
      </w:r>
      <w:r w:rsidRPr="00641F3E">
        <w:rPr>
          <w:rFonts w:ascii="Arial" w:hAnsi="Arial" w:cs="Arial"/>
          <w:noProof/>
          <w:sz w:val="20"/>
          <w:szCs w:val="20"/>
        </w:rPr>
        <w:t>0) emissions from agriculture and LULUCF (D). In all panels, boxplots (Tukey style) depict the median values (line), the interquartile ranges (IRQ; boxes), the minimum/maximum of 1.5 x IRQ ranges and the minimum/maximum values (whiskers) across the IPCC R10 regions, organized by scenario (x-axis and filled color). Points display values for key regions (shape and color). Physical agricultural labor results for the Static scenario are not shown in Panels A and B. Data source: GCAM simulation results.</w:t>
      </w:r>
    </w:p>
    <w:p w14:paraId="4A6E49EE" w14:textId="3497B320" w:rsidR="00641F3E" w:rsidRPr="00E953CD" w:rsidRDefault="006B5CA6" w:rsidP="00641F3E">
      <w:pPr>
        <w:spacing w:line="276" w:lineRule="auto"/>
        <w:jc w:val="both"/>
        <w:rPr>
          <w:rFonts w:ascii="Arial" w:hAnsi="Arial" w:cs="Arial"/>
          <w:sz w:val="20"/>
          <w:szCs w:val="20"/>
        </w:rPr>
      </w:pPr>
      <w:r>
        <w:rPr>
          <w:noProof/>
        </w:rPr>
        <w:lastRenderedPageBreak/>
        <w:drawing>
          <wp:inline distT="0" distB="0" distL="0" distR="0" wp14:anchorId="3ABFA50C" wp14:editId="6A67215F">
            <wp:extent cx="6858000" cy="7385685"/>
            <wp:effectExtent l="0" t="0" r="0" b="5715"/>
            <wp:docPr id="10" name="Graphic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96DAC541-7B7A-43D3-8B79-37D633B846F1}">
                          <asvg:svgBlip xmlns:asvg="http://schemas.microsoft.com/office/drawing/2016/SVG/main" r:embed="rId41"/>
                        </a:ext>
                      </a:extLst>
                    </a:blip>
                    <a:stretch>
                      <a:fillRect/>
                    </a:stretch>
                  </pic:blipFill>
                  <pic:spPr>
                    <a:xfrm>
                      <a:off x="0" y="0"/>
                      <a:ext cx="6858000" cy="7385685"/>
                    </a:xfrm>
                    <a:prstGeom prst="rect">
                      <a:avLst/>
                    </a:prstGeom>
                  </pic:spPr>
                </pic:pic>
              </a:graphicData>
            </a:graphic>
          </wp:inline>
        </w:drawing>
      </w:r>
    </w:p>
    <w:p w14:paraId="044401F8" w14:textId="6C94CFBB" w:rsidR="00D41BD2" w:rsidRPr="007C5734" w:rsidRDefault="00D41BD2" w:rsidP="00641F3E">
      <w:pPr>
        <w:pStyle w:val="Caption"/>
        <w:spacing w:line="276" w:lineRule="auto"/>
        <w:jc w:val="both"/>
        <w:rPr>
          <w:vanish/>
          <w:sz w:val="22"/>
          <w:szCs w:val="22"/>
          <w:specVanish/>
        </w:rPr>
      </w:pPr>
      <w:bookmarkStart w:id="53" w:name="_Toc162998128"/>
      <w:r w:rsidRPr="007C5734">
        <w:rPr>
          <w:sz w:val="22"/>
          <w:szCs w:val="22"/>
        </w:rPr>
        <w:t>Fig. S</w:t>
      </w:r>
      <w:r w:rsidRPr="007C5734">
        <w:rPr>
          <w:sz w:val="22"/>
          <w:szCs w:val="22"/>
        </w:rPr>
        <w:fldChar w:fldCharType="begin"/>
      </w:r>
      <w:r w:rsidRPr="007C5734">
        <w:rPr>
          <w:sz w:val="22"/>
          <w:szCs w:val="22"/>
        </w:rPr>
        <w:instrText xml:space="preserve"> SEQ Fig._S \* ARABIC </w:instrText>
      </w:r>
      <w:r w:rsidRPr="007C5734">
        <w:rPr>
          <w:sz w:val="22"/>
          <w:szCs w:val="22"/>
        </w:rPr>
        <w:fldChar w:fldCharType="separate"/>
      </w:r>
      <w:r w:rsidR="009141B0">
        <w:rPr>
          <w:noProof/>
          <w:sz w:val="22"/>
          <w:szCs w:val="22"/>
        </w:rPr>
        <w:t>17</w:t>
      </w:r>
      <w:r w:rsidRPr="007C5734">
        <w:rPr>
          <w:noProof/>
          <w:sz w:val="22"/>
          <w:szCs w:val="22"/>
        </w:rPr>
        <w:fldChar w:fldCharType="end"/>
      </w:r>
      <w:r w:rsidRPr="007C5734">
        <w:rPr>
          <w:noProof/>
          <w:sz w:val="22"/>
          <w:szCs w:val="22"/>
        </w:rPr>
        <w:t xml:space="preserve"> | </w:t>
      </w:r>
      <w:r w:rsidRPr="007C5734">
        <w:rPr>
          <w:sz w:val="22"/>
          <w:szCs w:val="22"/>
        </w:rPr>
        <w:t xml:space="preserve">Sensitivity of </w:t>
      </w:r>
      <w:r>
        <w:rPr>
          <w:sz w:val="22"/>
          <w:szCs w:val="22"/>
        </w:rPr>
        <w:t>2050</w:t>
      </w:r>
      <w:r w:rsidRPr="007C5734">
        <w:rPr>
          <w:sz w:val="22"/>
          <w:szCs w:val="22"/>
        </w:rPr>
        <w:t xml:space="preserve"> agroeconomic implications to labor market assumptions.</w:t>
      </w:r>
      <w:bookmarkEnd w:id="53"/>
      <w:r w:rsidRPr="007C5734">
        <w:rPr>
          <w:sz w:val="22"/>
          <w:szCs w:val="22"/>
        </w:rPr>
        <w:t xml:space="preserve"> </w:t>
      </w:r>
    </w:p>
    <w:p w14:paraId="3F358BE1" w14:textId="11782244" w:rsidR="00D41BD2" w:rsidRDefault="00D41BD2" w:rsidP="006B5CA6">
      <w:pPr>
        <w:spacing w:line="276" w:lineRule="auto"/>
        <w:jc w:val="both"/>
        <w:rPr>
          <w:rFonts w:ascii="Arial" w:hAnsi="Arial" w:cs="Arial"/>
          <w:noProof/>
          <w:sz w:val="20"/>
          <w:szCs w:val="18"/>
        </w:rPr>
      </w:pPr>
      <w:r>
        <w:rPr>
          <w:rFonts w:ascii="Arial" w:hAnsi="Arial" w:cs="Arial"/>
          <w:sz w:val="20"/>
          <w:szCs w:val="20"/>
        </w:rPr>
        <w:t xml:space="preserve"> Mid</w:t>
      </w:r>
      <w:r w:rsidRPr="00E953CD">
        <w:rPr>
          <w:rFonts w:ascii="Arial" w:hAnsi="Arial" w:cs="Arial"/>
          <w:sz w:val="20"/>
          <w:szCs w:val="20"/>
        </w:rPr>
        <w:t>-of-century (2</w:t>
      </w:r>
      <w:r>
        <w:rPr>
          <w:rFonts w:ascii="Arial" w:hAnsi="Arial" w:cs="Arial"/>
          <w:sz w:val="20"/>
          <w:szCs w:val="20"/>
        </w:rPr>
        <w:t>050</w:t>
      </w:r>
      <w:r w:rsidRPr="00E953CD">
        <w:rPr>
          <w:rFonts w:ascii="Arial" w:hAnsi="Arial" w:cs="Arial"/>
          <w:sz w:val="20"/>
          <w:szCs w:val="20"/>
        </w:rPr>
        <w:t>) p</w:t>
      </w:r>
      <w:r w:rsidRPr="00E953CD">
        <w:rPr>
          <w:rFonts w:ascii="Arial" w:hAnsi="Arial" w:cs="Arial"/>
          <w:noProof/>
          <w:sz w:val="20"/>
          <w:szCs w:val="20"/>
        </w:rPr>
        <w:t xml:space="preserve">rojections from the sensitivity scenario, relative to the Evolving scenario, are presented for agricultural labor (A), agricultural production (B), land allocations (C), nitrogen fertilizer input (D), and agricultural water withdrawal (E). In all panels, boxplots (Tukey style) depict the median values (line), the interquartile ranges (IRQ; boxes), the minimum/maximum of 1.5 x IRQ ranges and the minimum/maximum values (whiskers) across the IPCC R10 regions, organized by scenario (x-axis and filled color). Points display values for key regions (shape and color). </w:t>
      </w:r>
      <w:r w:rsidRPr="00E953CD">
        <w:rPr>
          <w:rFonts w:ascii="Arial" w:hAnsi="Arial" w:cs="Arial"/>
          <w:noProof/>
          <w:sz w:val="20"/>
          <w:szCs w:val="18"/>
        </w:rPr>
        <w:t>Data source: GCAM simulation results.</w:t>
      </w:r>
    </w:p>
    <w:p w14:paraId="724B10AF" w14:textId="63B0FCD4" w:rsidR="00421D83" w:rsidRPr="00421D83" w:rsidRDefault="00421D83" w:rsidP="00421D83">
      <w:pPr>
        <w:pStyle w:val="Caption"/>
        <w:rPr>
          <w:vanish/>
          <w:sz w:val="22"/>
          <w:szCs w:val="22"/>
          <w:specVanish/>
        </w:rPr>
      </w:pPr>
      <w:bookmarkStart w:id="54" w:name="_Ref162828745"/>
      <w:bookmarkStart w:id="55" w:name="_Toc162998110"/>
      <w:r w:rsidRPr="00421D83">
        <w:rPr>
          <w:rFonts w:eastAsiaTheme="minorEastAsia"/>
          <w:sz w:val="22"/>
          <w:szCs w:val="22"/>
        </w:rPr>
        <w:lastRenderedPageBreak/>
        <w:t>Table S</w:t>
      </w:r>
      <w:r w:rsidRPr="00421D83">
        <w:rPr>
          <w:rFonts w:eastAsiaTheme="minorEastAsia"/>
          <w:sz w:val="22"/>
          <w:szCs w:val="22"/>
        </w:rPr>
        <w:fldChar w:fldCharType="begin"/>
      </w:r>
      <w:r w:rsidRPr="00421D83">
        <w:rPr>
          <w:rFonts w:eastAsiaTheme="minorEastAsia"/>
          <w:sz w:val="22"/>
          <w:szCs w:val="22"/>
        </w:rPr>
        <w:instrText xml:space="preserve"> SEQ Table \* ARABIC </w:instrText>
      </w:r>
      <w:r w:rsidRPr="00421D83">
        <w:rPr>
          <w:rFonts w:eastAsiaTheme="minorEastAsia"/>
          <w:sz w:val="22"/>
          <w:szCs w:val="22"/>
        </w:rPr>
        <w:fldChar w:fldCharType="separate"/>
      </w:r>
      <w:r w:rsidRPr="00421D83">
        <w:rPr>
          <w:rFonts w:eastAsiaTheme="minorEastAsia"/>
          <w:noProof/>
          <w:sz w:val="22"/>
          <w:szCs w:val="22"/>
        </w:rPr>
        <w:t>6</w:t>
      </w:r>
      <w:r w:rsidRPr="00421D83">
        <w:rPr>
          <w:rFonts w:eastAsiaTheme="minorEastAsia"/>
          <w:sz w:val="22"/>
          <w:szCs w:val="22"/>
        </w:rPr>
        <w:fldChar w:fldCharType="end"/>
      </w:r>
      <w:bookmarkEnd w:id="54"/>
      <w:r w:rsidRPr="00421D83">
        <w:rPr>
          <w:rFonts w:eastAsiaTheme="minorEastAsia"/>
          <w:bCs/>
          <w:sz w:val="22"/>
          <w:szCs w:val="22"/>
        </w:rPr>
        <w:t xml:space="preserve"> | </w:t>
      </w:r>
      <w:r w:rsidRPr="00421D83">
        <w:rPr>
          <w:sz w:val="22"/>
          <w:szCs w:val="22"/>
        </w:rPr>
        <w:t>Scenario variations in the end-of-century impact of sensitivity scenarios relative to the Evolving scenario on agroeconomic and environmental variables.</w:t>
      </w:r>
      <w:bookmarkEnd w:id="55"/>
      <w:r w:rsidRPr="00421D83">
        <w:rPr>
          <w:sz w:val="22"/>
          <w:szCs w:val="22"/>
        </w:rPr>
        <w:t xml:space="preserve"> </w:t>
      </w:r>
    </w:p>
    <w:p w14:paraId="5A67AE74" w14:textId="39AA6664" w:rsidR="00421D83" w:rsidRPr="007F046B" w:rsidRDefault="00421D83" w:rsidP="00421D83">
      <w:pPr>
        <w:jc w:val="both"/>
        <w:rPr>
          <w:rFonts w:ascii="Arial" w:hAnsi="Arial" w:cs="Arial"/>
        </w:rPr>
      </w:pPr>
      <w:r>
        <w:rPr>
          <w:rFonts w:ascii="Arial" w:hAnsi="Arial" w:cs="Arial"/>
        </w:rPr>
        <w:t xml:space="preserve"> </w:t>
      </w:r>
      <w:r w:rsidRPr="007F046B">
        <w:rPr>
          <w:rFonts w:ascii="Arial" w:hAnsi="Arial" w:cs="Arial"/>
        </w:rPr>
        <w:t xml:space="preserve">Values are computed as the standard deviation of logarithmic differences when the unit is a percentage change and the standard deviation of simple differences when real units are used. This measure is calculated for the variables included in </w:t>
      </w:r>
      <w:r w:rsidRPr="007F046B">
        <w:rPr>
          <w:rFonts w:ascii="Arial" w:hAnsi="Arial" w:cs="Arial"/>
          <w:b/>
          <w:bCs/>
        </w:rPr>
        <w:t>Fig. 5</w:t>
      </w:r>
      <w:r w:rsidRPr="007F046B">
        <w:rPr>
          <w:rFonts w:ascii="Arial" w:hAnsi="Arial" w:cs="Arial"/>
        </w:rPr>
        <w:t xml:space="preserve"> and </w:t>
      </w:r>
      <w:r w:rsidRPr="007F046B">
        <w:rPr>
          <w:rFonts w:ascii="Arial" w:hAnsi="Arial" w:cs="Arial"/>
          <w:b/>
          <w:bCs/>
        </w:rPr>
        <w:t>Fig. S15</w:t>
      </w:r>
      <w:r w:rsidRPr="007F046B">
        <w:rPr>
          <w:rFonts w:ascii="Arial" w:hAnsi="Arial" w:cs="Arial"/>
        </w:rPr>
        <w:t xml:space="preserve">. The number of observations is 7 (scenarios) for regional results and 70 (7 scenarios x 10 regions) for the </w:t>
      </w:r>
      <w:r>
        <w:rPr>
          <w:rFonts w:ascii="Arial" w:hAnsi="Arial" w:cs="Arial"/>
        </w:rPr>
        <w:t>world</w:t>
      </w:r>
      <w:r w:rsidRPr="007F046B">
        <w:rPr>
          <w:rFonts w:ascii="Arial" w:hAnsi="Arial" w:cs="Arial"/>
        </w:rPr>
        <w:t>.</w:t>
      </w:r>
    </w:p>
    <w:p w14:paraId="569C70C8" w14:textId="77777777" w:rsidR="00421D83" w:rsidRDefault="00421D83" w:rsidP="00421D83">
      <w:r w:rsidRPr="00495093">
        <w:rPr>
          <w:noProof/>
        </w:rPr>
        <w:drawing>
          <wp:inline distT="0" distB="0" distL="0" distR="0" wp14:anchorId="41638A42" wp14:editId="22BBE3B7">
            <wp:extent cx="6858000" cy="374269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6858000" cy="3742690"/>
                    </a:xfrm>
                    <a:prstGeom prst="rect">
                      <a:avLst/>
                    </a:prstGeom>
                    <a:noFill/>
                    <a:ln>
                      <a:noFill/>
                    </a:ln>
                  </pic:spPr>
                </pic:pic>
              </a:graphicData>
            </a:graphic>
          </wp:inline>
        </w:drawing>
      </w:r>
    </w:p>
    <w:p w14:paraId="4A9F7DED" w14:textId="77777777" w:rsidR="00421D83" w:rsidRDefault="00421D83" w:rsidP="00421D83"/>
    <w:p w14:paraId="63AEBBB2" w14:textId="77777777" w:rsidR="00421D83" w:rsidRDefault="00421D83" w:rsidP="00421D83">
      <w:pPr>
        <w:rPr>
          <w:rFonts w:ascii="Arial" w:hAnsi="Arial" w:cs="Arial"/>
          <w:b/>
          <w:bCs/>
        </w:rPr>
      </w:pPr>
      <w:r>
        <w:rPr>
          <w:rFonts w:ascii="Arial" w:hAnsi="Arial" w:cs="Arial"/>
          <w:b/>
          <w:bCs/>
        </w:rPr>
        <w:br w:type="page"/>
      </w:r>
    </w:p>
    <w:p w14:paraId="2F93322F" w14:textId="23ED4E57" w:rsidR="00421D83" w:rsidRPr="00421D83" w:rsidRDefault="00421D83" w:rsidP="00421D83">
      <w:pPr>
        <w:pStyle w:val="Caption"/>
        <w:jc w:val="both"/>
        <w:rPr>
          <w:vanish/>
          <w:sz w:val="22"/>
          <w:szCs w:val="22"/>
          <w:specVanish/>
        </w:rPr>
      </w:pPr>
      <w:bookmarkStart w:id="56" w:name="_Ref162828737"/>
      <w:bookmarkStart w:id="57" w:name="_Toc162998111"/>
      <w:r w:rsidRPr="00421D83">
        <w:rPr>
          <w:rFonts w:eastAsiaTheme="minorEastAsia"/>
          <w:sz w:val="22"/>
          <w:szCs w:val="22"/>
        </w:rPr>
        <w:lastRenderedPageBreak/>
        <w:t>Table S</w:t>
      </w:r>
      <w:r w:rsidRPr="00421D83">
        <w:rPr>
          <w:rFonts w:eastAsiaTheme="minorEastAsia"/>
          <w:sz w:val="22"/>
          <w:szCs w:val="22"/>
        </w:rPr>
        <w:fldChar w:fldCharType="begin"/>
      </w:r>
      <w:r w:rsidRPr="00421D83">
        <w:rPr>
          <w:rFonts w:eastAsiaTheme="minorEastAsia"/>
          <w:sz w:val="22"/>
          <w:szCs w:val="22"/>
        </w:rPr>
        <w:instrText xml:space="preserve"> SEQ Table \* ARABIC </w:instrText>
      </w:r>
      <w:r w:rsidRPr="00421D83">
        <w:rPr>
          <w:rFonts w:eastAsiaTheme="minorEastAsia"/>
          <w:sz w:val="22"/>
          <w:szCs w:val="22"/>
        </w:rPr>
        <w:fldChar w:fldCharType="separate"/>
      </w:r>
      <w:r w:rsidRPr="00421D83">
        <w:rPr>
          <w:rFonts w:eastAsiaTheme="minorEastAsia"/>
          <w:noProof/>
          <w:sz w:val="22"/>
          <w:szCs w:val="22"/>
        </w:rPr>
        <w:t>7</w:t>
      </w:r>
      <w:r w:rsidRPr="00421D83">
        <w:rPr>
          <w:rFonts w:eastAsiaTheme="minorEastAsia"/>
          <w:sz w:val="22"/>
          <w:szCs w:val="22"/>
        </w:rPr>
        <w:fldChar w:fldCharType="end"/>
      </w:r>
      <w:bookmarkEnd w:id="56"/>
      <w:r w:rsidRPr="00421D83">
        <w:rPr>
          <w:rFonts w:eastAsiaTheme="minorEastAsia"/>
          <w:bCs/>
          <w:sz w:val="22"/>
          <w:szCs w:val="22"/>
        </w:rPr>
        <w:t xml:space="preserve"> | </w:t>
      </w:r>
      <w:bookmarkStart w:id="58" w:name="_Hlk162827609"/>
      <w:bookmarkStart w:id="59" w:name="_Toc158986641"/>
      <w:r w:rsidRPr="00421D83">
        <w:rPr>
          <w:sz w:val="22"/>
          <w:szCs w:val="22"/>
        </w:rPr>
        <w:t>Relationship between end-of-century agroeconomic or environmental responses and corresponding effective labor shocks</w:t>
      </w:r>
      <w:bookmarkEnd w:id="58"/>
      <w:r w:rsidRPr="00421D83">
        <w:rPr>
          <w:sz w:val="22"/>
          <w:szCs w:val="22"/>
        </w:rPr>
        <w:t>.</w:t>
      </w:r>
      <w:bookmarkEnd w:id="57"/>
      <w:r w:rsidRPr="00421D83">
        <w:rPr>
          <w:sz w:val="22"/>
          <w:szCs w:val="22"/>
        </w:rPr>
        <w:t xml:space="preserve"> </w:t>
      </w:r>
    </w:p>
    <w:p w14:paraId="5F9BA974" w14:textId="0BB84A96" w:rsidR="00421D83" w:rsidRDefault="00421D83" w:rsidP="00421D83">
      <w:pPr>
        <w:jc w:val="both"/>
        <w:rPr>
          <w:rFonts w:ascii="Arial" w:hAnsi="Arial" w:cs="Arial"/>
        </w:rPr>
      </w:pPr>
      <w:r>
        <w:rPr>
          <w:rFonts w:ascii="Arial" w:hAnsi="Arial" w:cs="Arial"/>
        </w:rPr>
        <w:t xml:space="preserve"> </w:t>
      </w:r>
      <w:r w:rsidRPr="009D4CD3">
        <w:rPr>
          <w:rFonts w:ascii="Arial" w:hAnsi="Arial" w:cs="Arial"/>
        </w:rPr>
        <w:t xml:space="preserve">This table presents results from </w:t>
      </w:r>
      <w:bookmarkStart w:id="60" w:name="_Hlk162827808"/>
      <w:r w:rsidRPr="009D4CD3">
        <w:rPr>
          <w:rFonts w:ascii="Arial" w:hAnsi="Arial" w:cs="Arial"/>
        </w:rPr>
        <w:t>Ordinary Least Squares (OLS) regressions</w:t>
      </w:r>
      <w:bookmarkEnd w:id="60"/>
      <w:r w:rsidRPr="009D4CD3">
        <w:rPr>
          <w:rFonts w:ascii="Arial" w:hAnsi="Arial" w:cs="Arial"/>
        </w:rPr>
        <w:t xml:space="preserve"> estimating the relationship </w:t>
      </w:r>
      <w:bookmarkStart w:id="61" w:name="_Hlk162827834"/>
      <w:r w:rsidRPr="009D4CD3">
        <w:rPr>
          <w:rFonts w:ascii="Arial" w:hAnsi="Arial" w:cs="Arial"/>
        </w:rPr>
        <w:t xml:space="preserve">between end-of-century effective labor shocks and agroeconomic and environmental impacts. </w:t>
      </w:r>
      <w:bookmarkEnd w:id="61"/>
      <w:r w:rsidRPr="009D4CD3">
        <w:rPr>
          <w:rFonts w:ascii="Arial" w:hAnsi="Arial" w:cs="Arial"/>
        </w:rPr>
        <w:t>Variables are consistent with those shown in Table S6</w:t>
      </w:r>
      <w:r w:rsidR="00391891">
        <w:rPr>
          <w:rFonts w:ascii="Arial" w:hAnsi="Arial" w:cs="Arial"/>
        </w:rPr>
        <w:t xml:space="preserve"> and log transformation is applied to effective labor and agroeconomic variables</w:t>
      </w:r>
      <w:r w:rsidRPr="009D4CD3">
        <w:rPr>
          <w:rFonts w:ascii="Arial" w:hAnsi="Arial" w:cs="Arial"/>
        </w:rPr>
        <w:t xml:space="preserve">. The dependent variable is the logarithm of regional effective labor between a sensitivity scenario and the Evolving scenario. Each model includes one independent variable, representing the corresponding responses of the agroeconomic or environmental variable, as well as a </w:t>
      </w:r>
      <w:r>
        <w:rPr>
          <w:rFonts w:ascii="Arial" w:hAnsi="Arial" w:cs="Arial"/>
        </w:rPr>
        <w:t>region-fixed</w:t>
      </w:r>
      <w:r w:rsidRPr="009D4CD3">
        <w:rPr>
          <w:rFonts w:ascii="Arial" w:hAnsi="Arial" w:cs="Arial"/>
        </w:rPr>
        <w:t xml:space="preserve"> effect (with AFRICA as the base region). </w:t>
      </w:r>
      <w:r w:rsidRPr="009C73E4">
        <w:rPr>
          <w:rFonts w:ascii="Arial" w:hAnsi="Arial" w:cs="Arial"/>
        </w:rPr>
        <w:t>The table reports the estimated parameter</w:t>
      </w:r>
      <w:r>
        <w:rPr>
          <w:rFonts w:ascii="Arial" w:hAnsi="Arial" w:cs="Arial"/>
        </w:rPr>
        <w:t>s.</w:t>
      </w:r>
      <w:r w:rsidRPr="009C73E4">
        <w:rPr>
          <w:rFonts w:ascii="Arial" w:hAnsi="Arial" w:cs="Arial"/>
        </w:rPr>
        <w:t xml:space="preserve"> </w:t>
      </w:r>
      <w:r w:rsidRPr="00023DEC">
        <w:rPr>
          <w:rFonts w:ascii="Arial" w:hAnsi="Arial" w:cs="Arial"/>
        </w:rPr>
        <w:t>Significance levels are denoted as follows: *** (p &lt; 0.001), ** (p &lt; 0.01), * (p &lt; 0.05), . (p &lt; 0.1), and no symbol (p ≥ 0.1).</w:t>
      </w:r>
    </w:p>
    <w:p w14:paraId="522514C6" w14:textId="46D43492" w:rsidR="00421D83" w:rsidRDefault="00421D83">
      <w:pPr>
        <w:rPr>
          <w:rFonts w:ascii="Arial" w:eastAsia="Cambria" w:hAnsi="Arial" w:cs="Arial"/>
          <w:b/>
          <w:color w:val="000000"/>
          <w:sz w:val="24"/>
        </w:rPr>
      </w:pPr>
      <w:r w:rsidRPr="00BC499B">
        <w:rPr>
          <w:noProof/>
        </w:rPr>
        <w:drawing>
          <wp:inline distT="0" distB="0" distL="0" distR="0" wp14:anchorId="55F1AAB7" wp14:editId="2039C052">
            <wp:extent cx="6858000" cy="3406140"/>
            <wp:effectExtent l="0" t="0" r="0" b="381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6858000" cy="3406140"/>
                    </a:xfrm>
                    <a:prstGeom prst="rect">
                      <a:avLst/>
                    </a:prstGeom>
                    <a:noFill/>
                    <a:ln>
                      <a:noFill/>
                    </a:ln>
                  </pic:spPr>
                </pic:pic>
              </a:graphicData>
            </a:graphic>
          </wp:inline>
        </w:drawing>
      </w:r>
      <w:r>
        <w:br w:type="page"/>
      </w:r>
    </w:p>
    <w:p w14:paraId="652166F4" w14:textId="683EF40A" w:rsidR="001B057F" w:rsidRDefault="001B057F" w:rsidP="00C84D02">
      <w:pPr>
        <w:pStyle w:val="Heading1"/>
        <w:spacing w:after="240" w:line="276" w:lineRule="auto"/>
      </w:pPr>
      <w:bookmarkStart w:id="62" w:name="_Toc162998002"/>
      <w:r w:rsidRPr="005B1301">
        <w:lastRenderedPageBreak/>
        <w:t>Supplementary references</w:t>
      </w:r>
      <w:bookmarkEnd w:id="59"/>
      <w:bookmarkEnd w:id="62"/>
    </w:p>
    <w:p w14:paraId="44B1C18F" w14:textId="77777777" w:rsidR="00E805A4" w:rsidRPr="00E805A4" w:rsidRDefault="00572106" w:rsidP="00E805A4">
      <w:pPr>
        <w:pStyle w:val="Bibliography"/>
        <w:spacing w:line="276" w:lineRule="auto"/>
        <w:rPr>
          <w:rFonts w:ascii="Arial" w:hAnsi="Arial" w:cs="Arial"/>
        </w:rPr>
      </w:pPr>
      <w:r w:rsidRPr="00572106">
        <w:rPr>
          <w:rFonts w:ascii="Arial" w:hAnsi="Arial" w:cs="Arial"/>
        </w:rPr>
        <w:fldChar w:fldCharType="begin"/>
      </w:r>
      <w:r w:rsidR="00E805A4">
        <w:rPr>
          <w:rFonts w:ascii="Arial" w:hAnsi="Arial" w:cs="Arial"/>
        </w:rPr>
        <w:instrText xml:space="preserve"> ADDIN ZOTERO_BIBL {"uncited":[],"omitted":[],"custom":[]} CSL_BIBLIOGRAPHY </w:instrText>
      </w:r>
      <w:r w:rsidRPr="00572106">
        <w:rPr>
          <w:rFonts w:ascii="Arial" w:hAnsi="Arial" w:cs="Arial"/>
        </w:rPr>
        <w:fldChar w:fldCharType="separate"/>
      </w:r>
      <w:r w:rsidR="00E805A4" w:rsidRPr="00E805A4">
        <w:rPr>
          <w:rFonts w:ascii="Arial" w:hAnsi="Arial" w:cs="Arial"/>
        </w:rPr>
        <w:t>1.</w:t>
      </w:r>
      <w:r w:rsidR="00E805A4" w:rsidRPr="00E805A4">
        <w:rPr>
          <w:rFonts w:ascii="Arial" w:hAnsi="Arial" w:cs="Arial"/>
        </w:rPr>
        <w:tab/>
        <w:t xml:space="preserve">O’Neill, B. C. </w:t>
      </w:r>
      <w:r w:rsidR="00E805A4" w:rsidRPr="00E805A4">
        <w:rPr>
          <w:rFonts w:ascii="Arial" w:hAnsi="Arial" w:cs="Arial"/>
          <w:i/>
          <w:iCs/>
        </w:rPr>
        <w:t>et al.</w:t>
      </w:r>
      <w:r w:rsidR="00E805A4" w:rsidRPr="00E805A4">
        <w:rPr>
          <w:rFonts w:ascii="Arial" w:hAnsi="Arial" w:cs="Arial"/>
        </w:rPr>
        <w:t xml:space="preserve"> The roads ahead: Narratives for shared socioeconomic pathways describing world futures in the 21st century. </w:t>
      </w:r>
      <w:r w:rsidR="00E805A4" w:rsidRPr="00E805A4">
        <w:rPr>
          <w:rFonts w:ascii="Arial" w:hAnsi="Arial" w:cs="Arial"/>
          <w:i/>
          <w:iCs/>
        </w:rPr>
        <w:t>Glob. Environ. Change</w:t>
      </w:r>
      <w:r w:rsidR="00E805A4" w:rsidRPr="00E805A4">
        <w:rPr>
          <w:rFonts w:ascii="Arial" w:hAnsi="Arial" w:cs="Arial"/>
        </w:rPr>
        <w:t xml:space="preserve"> </w:t>
      </w:r>
      <w:r w:rsidR="00E805A4" w:rsidRPr="00E805A4">
        <w:rPr>
          <w:rFonts w:ascii="Arial" w:hAnsi="Arial" w:cs="Arial"/>
          <w:b/>
          <w:bCs/>
        </w:rPr>
        <w:t>42</w:t>
      </w:r>
      <w:r w:rsidR="00E805A4" w:rsidRPr="00E805A4">
        <w:rPr>
          <w:rFonts w:ascii="Arial" w:hAnsi="Arial" w:cs="Arial"/>
        </w:rPr>
        <w:t>, 169–180 (2017).</w:t>
      </w:r>
    </w:p>
    <w:p w14:paraId="725B55A6" w14:textId="77777777" w:rsidR="00E805A4" w:rsidRPr="00E805A4" w:rsidRDefault="00E805A4" w:rsidP="00E805A4">
      <w:pPr>
        <w:pStyle w:val="Bibliography"/>
        <w:spacing w:line="276" w:lineRule="auto"/>
        <w:rPr>
          <w:rFonts w:ascii="Arial" w:hAnsi="Arial" w:cs="Arial"/>
        </w:rPr>
      </w:pPr>
      <w:r w:rsidRPr="00E805A4">
        <w:rPr>
          <w:rFonts w:ascii="Arial" w:hAnsi="Arial" w:cs="Arial"/>
        </w:rPr>
        <w:t>2.</w:t>
      </w:r>
      <w:r w:rsidRPr="00E805A4">
        <w:rPr>
          <w:rFonts w:ascii="Arial" w:hAnsi="Arial" w:cs="Arial"/>
        </w:rPr>
        <w:tab/>
        <w:t xml:space="preserve">Reed, P. M. </w:t>
      </w:r>
      <w:r w:rsidRPr="00E805A4">
        <w:rPr>
          <w:rFonts w:ascii="Arial" w:hAnsi="Arial" w:cs="Arial"/>
          <w:i/>
          <w:iCs/>
        </w:rPr>
        <w:t>et al.</w:t>
      </w:r>
      <w:r w:rsidRPr="00E805A4">
        <w:rPr>
          <w:rFonts w:ascii="Arial" w:hAnsi="Arial" w:cs="Arial"/>
        </w:rPr>
        <w:t xml:space="preserve"> Multisector Dynamics: Advancing the Science of Complex Adaptive Human-Earth Systems. </w:t>
      </w:r>
      <w:r w:rsidRPr="00E805A4">
        <w:rPr>
          <w:rFonts w:ascii="Arial" w:hAnsi="Arial" w:cs="Arial"/>
          <w:i/>
          <w:iCs/>
        </w:rPr>
        <w:t>Earths Future</w:t>
      </w:r>
      <w:r w:rsidRPr="00E805A4">
        <w:rPr>
          <w:rFonts w:ascii="Arial" w:hAnsi="Arial" w:cs="Arial"/>
        </w:rPr>
        <w:t xml:space="preserve"> </w:t>
      </w:r>
      <w:r w:rsidRPr="00E805A4">
        <w:rPr>
          <w:rFonts w:ascii="Arial" w:hAnsi="Arial" w:cs="Arial"/>
          <w:b/>
          <w:bCs/>
        </w:rPr>
        <w:t>10</w:t>
      </w:r>
      <w:r w:rsidRPr="00E805A4">
        <w:rPr>
          <w:rFonts w:ascii="Arial" w:hAnsi="Arial" w:cs="Arial"/>
        </w:rPr>
        <w:t>, e2021EF002621 (2022).</w:t>
      </w:r>
    </w:p>
    <w:p w14:paraId="34F1C52E" w14:textId="77777777" w:rsidR="00E805A4" w:rsidRPr="00E805A4" w:rsidRDefault="00E805A4" w:rsidP="00E805A4">
      <w:pPr>
        <w:pStyle w:val="Bibliography"/>
        <w:spacing w:line="276" w:lineRule="auto"/>
        <w:rPr>
          <w:rFonts w:ascii="Arial" w:hAnsi="Arial" w:cs="Arial"/>
        </w:rPr>
      </w:pPr>
      <w:r w:rsidRPr="00E805A4">
        <w:rPr>
          <w:rFonts w:ascii="Arial" w:hAnsi="Arial" w:cs="Arial"/>
        </w:rPr>
        <w:t>3.</w:t>
      </w:r>
      <w:r w:rsidRPr="00E805A4">
        <w:rPr>
          <w:rFonts w:ascii="Arial" w:hAnsi="Arial" w:cs="Arial"/>
        </w:rPr>
        <w:tab/>
        <w:t xml:space="preserve">Doelman, J. C. </w:t>
      </w:r>
      <w:r w:rsidRPr="00E805A4">
        <w:rPr>
          <w:rFonts w:ascii="Arial" w:hAnsi="Arial" w:cs="Arial"/>
          <w:i/>
          <w:iCs/>
        </w:rPr>
        <w:t>et al.</w:t>
      </w:r>
      <w:r w:rsidRPr="00E805A4">
        <w:rPr>
          <w:rFonts w:ascii="Arial" w:hAnsi="Arial" w:cs="Arial"/>
        </w:rPr>
        <w:t xml:space="preserve"> Quantifying synergies and trade-offs in the global water-land-food-climate nexus using a multi-model scenario approach. </w:t>
      </w:r>
      <w:r w:rsidRPr="00E805A4">
        <w:rPr>
          <w:rFonts w:ascii="Arial" w:hAnsi="Arial" w:cs="Arial"/>
          <w:i/>
          <w:iCs/>
        </w:rPr>
        <w:t>Environ. Res. Lett.</w:t>
      </w:r>
      <w:r w:rsidRPr="00E805A4">
        <w:rPr>
          <w:rFonts w:ascii="Arial" w:hAnsi="Arial" w:cs="Arial"/>
        </w:rPr>
        <w:t xml:space="preserve"> </w:t>
      </w:r>
      <w:r w:rsidRPr="00E805A4">
        <w:rPr>
          <w:rFonts w:ascii="Arial" w:hAnsi="Arial" w:cs="Arial"/>
          <w:b/>
          <w:bCs/>
        </w:rPr>
        <w:t>17</w:t>
      </w:r>
      <w:r w:rsidRPr="00E805A4">
        <w:rPr>
          <w:rFonts w:ascii="Arial" w:hAnsi="Arial" w:cs="Arial"/>
        </w:rPr>
        <w:t>, 045004 (2022).</w:t>
      </w:r>
    </w:p>
    <w:p w14:paraId="3A264390" w14:textId="77777777" w:rsidR="00E805A4" w:rsidRPr="00E805A4" w:rsidRDefault="00E805A4" w:rsidP="00E805A4">
      <w:pPr>
        <w:pStyle w:val="Bibliography"/>
        <w:spacing w:line="276" w:lineRule="auto"/>
        <w:rPr>
          <w:rFonts w:ascii="Arial" w:hAnsi="Arial" w:cs="Arial"/>
        </w:rPr>
      </w:pPr>
      <w:r w:rsidRPr="00E805A4">
        <w:rPr>
          <w:rFonts w:ascii="Arial" w:hAnsi="Arial" w:cs="Arial"/>
        </w:rPr>
        <w:t>4.</w:t>
      </w:r>
      <w:r w:rsidRPr="00E805A4">
        <w:rPr>
          <w:rFonts w:ascii="Arial" w:hAnsi="Arial" w:cs="Arial"/>
        </w:rPr>
        <w:tab/>
        <w:t xml:space="preserve">Haqiqi, I., Grogan, D. S., Hertel, T. W. &amp; Schlenker, W. Quantifying the impacts of compound extremes on agriculture. </w:t>
      </w:r>
      <w:r w:rsidRPr="00E805A4">
        <w:rPr>
          <w:rFonts w:ascii="Arial" w:hAnsi="Arial" w:cs="Arial"/>
          <w:i/>
          <w:iCs/>
        </w:rPr>
        <w:t>Hydrol. Earth Syst. Sci.</w:t>
      </w:r>
      <w:r w:rsidRPr="00E805A4">
        <w:rPr>
          <w:rFonts w:ascii="Arial" w:hAnsi="Arial" w:cs="Arial"/>
        </w:rPr>
        <w:t xml:space="preserve"> </w:t>
      </w:r>
      <w:r w:rsidRPr="00E805A4">
        <w:rPr>
          <w:rFonts w:ascii="Arial" w:hAnsi="Arial" w:cs="Arial"/>
          <w:b/>
          <w:bCs/>
        </w:rPr>
        <w:t>25</w:t>
      </w:r>
      <w:r w:rsidRPr="00E805A4">
        <w:rPr>
          <w:rFonts w:ascii="Arial" w:hAnsi="Arial" w:cs="Arial"/>
        </w:rPr>
        <w:t>, 551–564 (2021).</w:t>
      </w:r>
    </w:p>
    <w:p w14:paraId="68FABA96" w14:textId="77777777" w:rsidR="00E805A4" w:rsidRPr="00E805A4" w:rsidRDefault="00E805A4" w:rsidP="00E805A4">
      <w:pPr>
        <w:pStyle w:val="Bibliography"/>
        <w:spacing w:line="276" w:lineRule="auto"/>
        <w:rPr>
          <w:rFonts w:ascii="Arial" w:hAnsi="Arial" w:cs="Arial"/>
        </w:rPr>
      </w:pPr>
      <w:r w:rsidRPr="00E805A4">
        <w:rPr>
          <w:rFonts w:ascii="Arial" w:hAnsi="Arial" w:cs="Arial"/>
        </w:rPr>
        <w:t>5.</w:t>
      </w:r>
      <w:r w:rsidRPr="00E805A4">
        <w:rPr>
          <w:rFonts w:ascii="Arial" w:hAnsi="Arial" w:cs="Arial"/>
        </w:rPr>
        <w:tab/>
        <w:t xml:space="preserve">Zhao, X., Calvin, K. V., Wise, M. A. &amp; Iyer, G. The role of global agricultural market integration in multiregional economic modeling: Using hindcast experiments to validate an Armington model. </w:t>
      </w:r>
      <w:r w:rsidRPr="00E805A4">
        <w:rPr>
          <w:rFonts w:ascii="Arial" w:hAnsi="Arial" w:cs="Arial"/>
          <w:i/>
          <w:iCs/>
        </w:rPr>
        <w:t>Econ. Anal. Policy</w:t>
      </w:r>
      <w:r w:rsidRPr="00E805A4">
        <w:rPr>
          <w:rFonts w:ascii="Arial" w:hAnsi="Arial" w:cs="Arial"/>
        </w:rPr>
        <w:t xml:space="preserve"> </w:t>
      </w:r>
      <w:r w:rsidRPr="00E805A4">
        <w:rPr>
          <w:rFonts w:ascii="Arial" w:hAnsi="Arial" w:cs="Arial"/>
          <w:b/>
          <w:bCs/>
        </w:rPr>
        <w:t>72</w:t>
      </w:r>
      <w:r w:rsidRPr="00E805A4">
        <w:rPr>
          <w:rFonts w:ascii="Arial" w:hAnsi="Arial" w:cs="Arial"/>
        </w:rPr>
        <w:t>, 1–17 (2021).</w:t>
      </w:r>
    </w:p>
    <w:p w14:paraId="75D4ED12" w14:textId="77777777" w:rsidR="00E805A4" w:rsidRPr="00E805A4" w:rsidRDefault="00E805A4" w:rsidP="00E805A4">
      <w:pPr>
        <w:pStyle w:val="Bibliography"/>
        <w:spacing w:line="276" w:lineRule="auto"/>
        <w:rPr>
          <w:rFonts w:ascii="Arial" w:hAnsi="Arial" w:cs="Arial"/>
        </w:rPr>
      </w:pPr>
      <w:r w:rsidRPr="00E805A4">
        <w:rPr>
          <w:rFonts w:ascii="Arial" w:hAnsi="Arial" w:cs="Arial"/>
        </w:rPr>
        <w:t>6.</w:t>
      </w:r>
      <w:r w:rsidRPr="00E805A4">
        <w:rPr>
          <w:rFonts w:ascii="Arial" w:hAnsi="Arial" w:cs="Arial"/>
        </w:rPr>
        <w:tab/>
        <w:t xml:space="preserve">Zhao, X., Calvin, K. V. &amp; Wise, M. A. The critical role of conversion cost and comparative advantage in modeling agricultural land use change. </w:t>
      </w:r>
      <w:r w:rsidRPr="00E805A4">
        <w:rPr>
          <w:rFonts w:ascii="Arial" w:hAnsi="Arial" w:cs="Arial"/>
          <w:i/>
          <w:iCs/>
        </w:rPr>
        <w:t>Clim. Change Econ.</w:t>
      </w:r>
      <w:r w:rsidRPr="00E805A4">
        <w:rPr>
          <w:rFonts w:ascii="Arial" w:hAnsi="Arial" w:cs="Arial"/>
        </w:rPr>
        <w:t xml:space="preserve"> </w:t>
      </w:r>
      <w:r w:rsidRPr="00E805A4">
        <w:rPr>
          <w:rFonts w:ascii="Arial" w:hAnsi="Arial" w:cs="Arial"/>
          <w:b/>
          <w:bCs/>
        </w:rPr>
        <w:t>11</w:t>
      </w:r>
      <w:r w:rsidRPr="00E805A4">
        <w:rPr>
          <w:rFonts w:ascii="Arial" w:hAnsi="Arial" w:cs="Arial"/>
        </w:rPr>
        <w:t>, 2050004 (2020).</w:t>
      </w:r>
    </w:p>
    <w:p w14:paraId="0497D0EA" w14:textId="77777777" w:rsidR="00E805A4" w:rsidRPr="00E805A4" w:rsidRDefault="00E805A4" w:rsidP="00E805A4">
      <w:pPr>
        <w:pStyle w:val="Bibliography"/>
        <w:spacing w:line="276" w:lineRule="auto"/>
        <w:rPr>
          <w:rFonts w:ascii="Arial" w:hAnsi="Arial" w:cs="Arial"/>
        </w:rPr>
      </w:pPr>
      <w:r w:rsidRPr="00E805A4">
        <w:rPr>
          <w:rFonts w:ascii="Arial" w:hAnsi="Arial" w:cs="Arial"/>
        </w:rPr>
        <w:t>7.</w:t>
      </w:r>
      <w:r w:rsidRPr="00E805A4">
        <w:rPr>
          <w:rFonts w:ascii="Arial" w:hAnsi="Arial" w:cs="Arial"/>
        </w:rPr>
        <w:tab/>
        <w:t xml:space="preserve">Hertel, T. W., Baldos, U. L. C. &amp; Van Der Mensbrugghe, D. Predicting Long-Term Food Demand, Cropland Use, and Prices. </w:t>
      </w:r>
      <w:r w:rsidRPr="00E805A4">
        <w:rPr>
          <w:rFonts w:ascii="Arial" w:hAnsi="Arial" w:cs="Arial"/>
          <w:i/>
          <w:iCs/>
        </w:rPr>
        <w:t>Annu. Rev. Resour. Econ.</w:t>
      </w:r>
      <w:r w:rsidRPr="00E805A4">
        <w:rPr>
          <w:rFonts w:ascii="Arial" w:hAnsi="Arial" w:cs="Arial"/>
        </w:rPr>
        <w:t xml:space="preserve"> </w:t>
      </w:r>
      <w:r w:rsidRPr="00E805A4">
        <w:rPr>
          <w:rFonts w:ascii="Arial" w:hAnsi="Arial" w:cs="Arial"/>
          <w:b/>
          <w:bCs/>
        </w:rPr>
        <w:t>8</w:t>
      </w:r>
      <w:r w:rsidRPr="00E805A4">
        <w:rPr>
          <w:rFonts w:ascii="Arial" w:hAnsi="Arial" w:cs="Arial"/>
        </w:rPr>
        <w:t>, 417–441 (2016).</w:t>
      </w:r>
    </w:p>
    <w:p w14:paraId="4F3660C5" w14:textId="77777777" w:rsidR="00E805A4" w:rsidRPr="00E805A4" w:rsidRDefault="00E805A4" w:rsidP="00E805A4">
      <w:pPr>
        <w:pStyle w:val="Bibliography"/>
        <w:spacing w:line="276" w:lineRule="auto"/>
        <w:rPr>
          <w:rFonts w:ascii="Arial" w:hAnsi="Arial" w:cs="Arial"/>
        </w:rPr>
      </w:pPr>
      <w:r w:rsidRPr="00E805A4">
        <w:rPr>
          <w:rFonts w:ascii="Arial" w:hAnsi="Arial" w:cs="Arial"/>
        </w:rPr>
        <w:t>8.</w:t>
      </w:r>
      <w:r w:rsidRPr="00E805A4">
        <w:rPr>
          <w:rFonts w:ascii="Arial" w:hAnsi="Arial" w:cs="Arial"/>
        </w:rPr>
        <w:tab/>
        <w:t xml:space="preserve">von Lampe, M. </w:t>
      </w:r>
      <w:r w:rsidRPr="00E805A4">
        <w:rPr>
          <w:rFonts w:ascii="Arial" w:hAnsi="Arial" w:cs="Arial"/>
          <w:i/>
          <w:iCs/>
        </w:rPr>
        <w:t>et al.</w:t>
      </w:r>
      <w:r w:rsidRPr="00E805A4">
        <w:rPr>
          <w:rFonts w:ascii="Arial" w:hAnsi="Arial" w:cs="Arial"/>
        </w:rPr>
        <w:t xml:space="preserve"> Why do global long-term scenarios for agriculture differ? An overview of the AgMIP Global Economic Model Intercomparison. </w:t>
      </w:r>
      <w:r w:rsidRPr="00E805A4">
        <w:rPr>
          <w:rFonts w:ascii="Arial" w:hAnsi="Arial" w:cs="Arial"/>
          <w:i/>
          <w:iCs/>
        </w:rPr>
        <w:t>Agric. Econ.</w:t>
      </w:r>
      <w:r w:rsidRPr="00E805A4">
        <w:rPr>
          <w:rFonts w:ascii="Arial" w:hAnsi="Arial" w:cs="Arial"/>
        </w:rPr>
        <w:t xml:space="preserve"> </w:t>
      </w:r>
      <w:r w:rsidRPr="00E805A4">
        <w:rPr>
          <w:rFonts w:ascii="Arial" w:hAnsi="Arial" w:cs="Arial"/>
          <w:b/>
          <w:bCs/>
        </w:rPr>
        <w:t>45</w:t>
      </w:r>
      <w:r w:rsidRPr="00E805A4">
        <w:rPr>
          <w:rFonts w:ascii="Arial" w:hAnsi="Arial" w:cs="Arial"/>
        </w:rPr>
        <w:t>, 3–20 (2014).</w:t>
      </w:r>
    </w:p>
    <w:p w14:paraId="742B5582" w14:textId="77777777" w:rsidR="00E805A4" w:rsidRPr="00E805A4" w:rsidRDefault="00E805A4" w:rsidP="00E805A4">
      <w:pPr>
        <w:pStyle w:val="Bibliography"/>
        <w:spacing w:line="276" w:lineRule="auto"/>
        <w:rPr>
          <w:rFonts w:ascii="Arial" w:hAnsi="Arial" w:cs="Arial"/>
        </w:rPr>
      </w:pPr>
      <w:r w:rsidRPr="00E805A4">
        <w:rPr>
          <w:rFonts w:ascii="Arial" w:hAnsi="Arial" w:cs="Arial"/>
        </w:rPr>
        <w:t>9.</w:t>
      </w:r>
      <w:r w:rsidRPr="00E805A4">
        <w:rPr>
          <w:rFonts w:ascii="Arial" w:hAnsi="Arial" w:cs="Arial"/>
        </w:rPr>
        <w:tab/>
        <w:t xml:space="preserve">Boeters, S. &amp; Savard, L. Chapter 26 - The Labor Market in Computable General Equilibrium Models. in </w:t>
      </w:r>
      <w:r w:rsidRPr="00E805A4">
        <w:rPr>
          <w:rFonts w:ascii="Arial" w:hAnsi="Arial" w:cs="Arial"/>
          <w:i/>
          <w:iCs/>
        </w:rPr>
        <w:t>Handbook of Computable General Equilibrium Modeling</w:t>
      </w:r>
      <w:r w:rsidRPr="00E805A4">
        <w:rPr>
          <w:rFonts w:ascii="Arial" w:hAnsi="Arial" w:cs="Arial"/>
        </w:rPr>
        <w:t xml:space="preserve"> (eds. Dixon, P. B. &amp; Jorgenson, D. W.) vol. 1 1645–1718 (Elsevier, 2013).</w:t>
      </w:r>
    </w:p>
    <w:p w14:paraId="3D7C444D" w14:textId="77777777" w:rsidR="00E805A4" w:rsidRPr="00E805A4" w:rsidRDefault="00E805A4" w:rsidP="00E805A4">
      <w:pPr>
        <w:pStyle w:val="Bibliography"/>
        <w:spacing w:line="276" w:lineRule="auto"/>
        <w:rPr>
          <w:rFonts w:ascii="Arial" w:hAnsi="Arial" w:cs="Arial"/>
        </w:rPr>
      </w:pPr>
      <w:r w:rsidRPr="00E805A4">
        <w:rPr>
          <w:rFonts w:ascii="Arial" w:hAnsi="Arial" w:cs="Arial"/>
        </w:rPr>
        <w:t>10.</w:t>
      </w:r>
      <w:r w:rsidRPr="00E805A4">
        <w:rPr>
          <w:rFonts w:ascii="Arial" w:hAnsi="Arial" w:cs="Arial"/>
        </w:rPr>
        <w:tab/>
        <w:t xml:space="preserve">Robinson, S. </w:t>
      </w:r>
      <w:r w:rsidRPr="00E805A4">
        <w:rPr>
          <w:rFonts w:ascii="Arial" w:hAnsi="Arial" w:cs="Arial"/>
          <w:i/>
          <w:iCs/>
        </w:rPr>
        <w:t>et al.</w:t>
      </w:r>
      <w:r w:rsidRPr="00E805A4">
        <w:rPr>
          <w:rFonts w:ascii="Arial" w:hAnsi="Arial" w:cs="Arial"/>
        </w:rPr>
        <w:t xml:space="preserve"> Comparing supply-side specifications in models of global agriculture and the food system. </w:t>
      </w:r>
      <w:r w:rsidRPr="00E805A4">
        <w:rPr>
          <w:rFonts w:ascii="Arial" w:hAnsi="Arial" w:cs="Arial"/>
          <w:i/>
          <w:iCs/>
        </w:rPr>
        <w:t>Agric. Econ.</w:t>
      </w:r>
      <w:r w:rsidRPr="00E805A4">
        <w:rPr>
          <w:rFonts w:ascii="Arial" w:hAnsi="Arial" w:cs="Arial"/>
        </w:rPr>
        <w:t xml:space="preserve"> </w:t>
      </w:r>
      <w:r w:rsidRPr="00E805A4">
        <w:rPr>
          <w:rFonts w:ascii="Arial" w:hAnsi="Arial" w:cs="Arial"/>
          <w:b/>
          <w:bCs/>
        </w:rPr>
        <w:t>45</w:t>
      </w:r>
      <w:r w:rsidRPr="00E805A4">
        <w:rPr>
          <w:rFonts w:ascii="Arial" w:hAnsi="Arial" w:cs="Arial"/>
        </w:rPr>
        <w:t>, 21–35 (2014).</w:t>
      </w:r>
    </w:p>
    <w:p w14:paraId="63552359" w14:textId="77777777" w:rsidR="00E805A4" w:rsidRPr="00E805A4" w:rsidRDefault="00E805A4" w:rsidP="00E805A4">
      <w:pPr>
        <w:pStyle w:val="Bibliography"/>
        <w:spacing w:line="276" w:lineRule="auto"/>
        <w:rPr>
          <w:rFonts w:ascii="Arial" w:hAnsi="Arial" w:cs="Arial"/>
        </w:rPr>
      </w:pPr>
      <w:r w:rsidRPr="00E805A4">
        <w:rPr>
          <w:rFonts w:ascii="Arial" w:hAnsi="Arial" w:cs="Arial"/>
        </w:rPr>
        <w:t>11.</w:t>
      </w:r>
      <w:r w:rsidRPr="00E805A4">
        <w:rPr>
          <w:rFonts w:ascii="Arial" w:hAnsi="Arial" w:cs="Arial"/>
        </w:rPr>
        <w:tab/>
        <w:t xml:space="preserve">Zhao, X., Van Der Mensbrugghe, D. Y., Keeney, R. M. &amp; Tyner, W. E. Improving the way land use change is handled in economic models. </w:t>
      </w:r>
      <w:r w:rsidRPr="00E805A4">
        <w:rPr>
          <w:rFonts w:ascii="Arial" w:hAnsi="Arial" w:cs="Arial"/>
          <w:i/>
          <w:iCs/>
        </w:rPr>
        <w:t>Econ. Model.</w:t>
      </w:r>
      <w:r w:rsidRPr="00E805A4">
        <w:rPr>
          <w:rFonts w:ascii="Arial" w:hAnsi="Arial" w:cs="Arial"/>
        </w:rPr>
        <w:t xml:space="preserve"> </w:t>
      </w:r>
      <w:r w:rsidRPr="00E805A4">
        <w:rPr>
          <w:rFonts w:ascii="Arial" w:hAnsi="Arial" w:cs="Arial"/>
          <w:b/>
          <w:bCs/>
        </w:rPr>
        <w:t>84</w:t>
      </w:r>
      <w:r w:rsidRPr="00E805A4">
        <w:rPr>
          <w:rFonts w:ascii="Arial" w:hAnsi="Arial" w:cs="Arial"/>
        </w:rPr>
        <w:t>, 13–26 (2020).</w:t>
      </w:r>
    </w:p>
    <w:p w14:paraId="543A0451" w14:textId="77777777" w:rsidR="00E805A4" w:rsidRPr="00E805A4" w:rsidRDefault="00E805A4" w:rsidP="00E805A4">
      <w:pPr>
        <w:pStyle w:val="Bibliography"/>
        <w:spacing w:line="276" w:lineRule="auto"/>
        <w:rPr>
          <w:rFonts w:ascii="Arial" w:hAnsi="Arial" w:cs="Arial"/>
        </w:rPr>
      </w:pPr>
      <w:r w:rsidRPr="00E805A4">
        <w:rPr>
          <w:rFonts w:ascii="Arial" w:hAnsi="Arial" w:cs="Arial"/>
        </w:rPr>
        <w:t>12.</w:t>
      </w:r>
      <w:r w:rsidRPr="00E805A4">
        <w:rPr>
          <w:rFonts w:ascii="Arial" w:hAnsi="Arial" w:cs="Arial"/>
        </w:rPr>
        <w:tab/>
        <w:t xml:space="preserve">Zhao, X. </w:t>
      </w:r>
      <w:r w:rsidRPr="00E805A4">
        <w:rPr>
          <w:rFonts w:ascii="Arial" w:hAnsi="Arial" w:cs="Arial"/>
          <w:i/>
          <w:iCs/>
        </w:rPr>
        <w:t>et al.</w:t>
      </w:r>
      <w:r w:rsidRPr="00E805A4">
        <w:rPr>
          <w:rFonts w:ascii="Arial" w:hAnsi="Arial" w:cs="Arial"/>
        </w:rPr>
        <w:t xml:space="preserve"> Global agricultural responses to interannual climate and biophysical variability. </w:t>
      </w:r>
      <w:r w:rsidRPr="00E805A4">
        <w:rPr>
          <w:rFonts w:ascii="Arial" w:hAnsi="Arial" w:cs="Arial"/>
          <w:i/>
          <w:iCs/>
        </w:rPr>
        <w:t>Environ. Res. Lett.</w:t>
      </w:r>
      <w:r w:rsidRPr="00E805A4">
        <w:rPr>
          <w:rFonts w:ascii="Arial" w:hAnsi="Arial" w:cs="Arial"/>
        </w:rPr>
        <w:t xml:space="preserve"> </w:t>
      </w:r>
      <w:r w:rsidRPr="00E805A4">
        <w:rPr>
          <w:rFonts w:ascii="Arial" w:hAnsi="Arial" w:cs="Arial"/>
          <w:b/>
          <w:bCs/>
        </w:rPr>
        <w:t>16</w:t>
      </w:r>
      <w:r w:rsidRPr="00E805A4">
        <w:rPr>
          <w:rFonts w:ascii="Arial" w:hAnsi="Arial" w:cs="Arial"/>
        </w:rPr>
        <w:t>, 104037 (2021).</w:t>
      </w:r>
    </w:p>
    <w:p w14:paraId="50C48259" w14:textId="77777777" w:rsidR="00E805A4" w:rsidRPr="00E805A4" w:rsidRDefault="00E805A4" w:rsidP="00E805A4">
      <w:pPr>
        <w:pStyle w:val="Bibliography"/>
        <w:spacing w:line="276" w:lineRule="auto"/>
        <w:rPr>
          <w:rFonts w:ascii="Arial" w:hAnsi="Arial" w:cs="Arial"/>
        </w:rPr>
      </w:pPr>
      <w:r w:rsidRPr="00E805A4">
        <w:rPr>
          <w:rFonts w:ascii="Arial" w:hAnsi="Arial" w:cs="Arial"/>
        </w:rPr>
        <w:t>13.</w:t>
      </w:r>
      <w:r w:rsidRPr="00E805A4">
        <w:rPr>
          <w:rFonts w:ascii="Arial" w:hAnsi="Arial" w:cs="Arial"/>
        </w:rPr>
        <w:tab/>
        <w:t xml:space="preserve">Fuhrman, J. </w:t>
      </w:r>
      <w:r w:rsidRPr="00E805A4">
        <w:rPr>
          <w:rFonts w:ascii="Arial" w:hAnsi="Arial" w:cs="Arial"/>
          <w:i/>
          <w:iCs/>
        </w:rPr>
        <w:t>et al.</w:t>
      </w:r>
      <w:r w:rsidRPr="00E805A4">
        <w:rPr>
          <w:rFonts w:ascii="Arial" w:hAnsi="Arial" w:cs="Arial"/>
        </w:rPr>
        <w:t xml:space="preserve"> Diverse carbon dioxide removal approaches could reduce impacts on the energy–water–land system. </w:t>
      </w:r>
      <w:r w:rsidRPr="00E805A4">
        <w:rPr>
          <w:rFonts w:ascii="Arial" w:hAnsi="Arial" w:cs="Arial"/>
          <w:i/>
          <w:iCs/>
        </w:rPr>
        <w:t>Nat. Clim. Change</w:t>
      </w:r>
      <w:r w:rsidRPr="00E805A4">
        <w:rPr>
          <w:rFonts w:ascii="Arial" w:hAnsi="Arial" w:cs="Arial"/>
        </w:rPr>
        <w:t xml:space="preserve"> 1–10 (2023) doi:10.1038/s41558-023-01604-9.</w:t>
      </w:r>
    </w:p>
    <w:p w14:paraId="1DC971E4" w14:textId="77777777" w:rsidR="00E805A4" w:rsidRPr="00E805A4" w:rsidRDefault="00E805A4" w:rsidP="00E805A4">
      <w:pPr>
        <w:pStyle w:val="Bibliography"/>
        <w:spacing w:line="276" w:lineRule="auto"/>
        <w:rPr>
          <w:rFonts w:ascii="Arial" w:hAnsi="Arial" w:cs="Arial"/>
        </w:rPr>
      </w:pPr>
      <w:r w:rsidRPr="00E805A4">
        <w:rPr>
          <w:rFonts w:ascii="Arial" w:hAnsi="Arial" w:cs="Arial"/>
        </w:rPr>
        <w:t>14.</w:t>
      </w:r>
      <w:r w:rsidRPr="00E805A4">
        <w:rPr>
          <w:rFonts w:ascii="Arial" w:hAnsi="Arial" w:cs="Arial"/>
        </w:rPr>
        <w:tab/>
        <w:t xml:space="preserve">McJeon, H. </w:t>
      </w:r>
      <w:r w:rsidRPr="00E805A4">
        <w:rPr>
          <w:rFonts w:ascii="Arial" w:hAnsi="Arial" w:cs="Arial"/>
          <w:i/>
          <w:iCs/>
        </w:rPr>
        <w:t>et al.</w:t>
      </w:r>
      <w:r w:rsidRPr="00E805A4">
        <w:rPr>
          <w:rFonts w:ascii="Arial" w:hAnsi="Arial" w:cs="Arial"/>
        </w:rPr>
        <w:t xml:space="preserve"> Fossil energy deployment through midcentury consistent with 2°C climate stabilization. </w:t>
      </w:r>
      <w:r w:rsidRPr="00E805A4">
        <w:rPr>
          <w:rFonts w:ascii="Arial" w:hAnsi="Arial" w:cs="Arial"/>
          <w:i/>
          <w:iCs/>
        </w:rPr>
        <w:t>Energy Clim. Change</w:t>
      </w:r>
      <w:r w:rsidRPr="00E805A4">
        <w:rPr>
          <w:rFonts w:ascii="Arial" w:hAnsi="Arial" w:cs="Arial"/>
        </w:rPr>
        <w:t xml:space="preserve"> </w:t>
      </w:r>
      <w:r w:rsidRPr="00E805A4">
        <w:rPr>
          <w:rFonts w:ascii="Arial" w:hAnsi="Arial" w:cs="Arial"/>
          <w:b/>
          <w:bCs/>
        </w:rPr>
        <w:t>2</w:t>
      </w:r>
      <w:r w:rsidRPr="00E805A4">
        <w:rPr>
          <w:rFonts w:ascii="Arial" w:hAnsi="Arial" w:cs="Arial"/>
        </w:rPr>
        <w:t>, 100034 (2021).</w:t>
      </w:r>
    </w:p>
    <w:p w14:paraId="5422FE56" w14:textId="77777777" w:rsidR="00E805A4" w:rsidRPr="00E805A4" w:rsidRDefault="00E805A4" w:rsidP="00E805A4">
      <w:pPr>
        <w:pStyle w:val="Bibliography"/>
        <w:spacing w:line="276" w:lineRule="auto"/>
        <w:rPr>
          <w:rFonts w:ascii="Arial" w:hAnsi="Arial" w:cs="Arial"/>
        </w:rPr>
      </w:pPr>
      <w:r w:rsidRPr="00E805A4">
        <w:rPr>
          <w:rFonts w:ascii="Arial" w:hAnsi="Arial" w:cs="Arial"/>
        </w:rPr>
        <w:t>15.</w:t>
      </w:r>
      <w:r w:rsidRPr="00E805A4">
        <w:rPr>
          <w:rFonts w:ascii="Arial" w:hAnsi="Arial" w:cs="Arial"/>
        </w:rPr>
        <w:tab/>
        <w:t xml:space="preserve">Iyer, G. </w:t>
      </w:r>
      <w:r w:rsidRPr="00E805A4">
        <w:rPr>
          <w:rFonts w:ascii="Arial" w:hAnsi="Arial" w:cs="Arial"/>
          <w:i/>
          <w:iCs/>
        </w:rPr>
        <w:t>et al.</w:t>
      </w:r>
      <w:r w:rsidRPr="00E805A4">
        <w:rPr>
          <w:rFonts w:ascii="Arial" w:hAnsi="Arial" w:cs="Arial"/>
        </w:rPr>
        <w:t xml:space="preserve"> Ratcheting of climate pledges needed to limit peak global warming. </w:t>
      </w:r>
      <w:r w:rsidRPr="00E805A4">
        <w:rPr>
          <w:rFonts w:ascii="Arial" w:hAnsi="Arial" w:cs="Arial"/>
          <w:i/>
          <w:iCs/>
        </w:rPr>
        <w:t>Nat. Clim. Change</w:t>
      </w:r>
      <w:r w:rsidRPr="00E805A4">
        <w:rPr>
          <w:rFonts w:ascii="Arial" w:hAnsi="Arial" w:cs="Arial"/>
        </w:rPr>
        <w:t xml:space="preserve"> 1–7 (2022) doi:10.1038/s41558-022-01508-0.</w:t>
      </w:r>
    </w:p>
    <w:p w14:paraId="5D840028" w14:textId="77777777" w:rsidR="00E805A4" w:rsidRPr="00E805A4" w:rsidRDefault="00E805A4" w:rsidP="00E805A4">
      <w:pPr>
        <w:pStyle w:val="Bibliography"/>
        <w:spacing w:line="276" w:lineRule="auto"/>
        <w:rPr>
          <w:rFonts w:ascii="Arial" w:hAnsi="Arial" w:cs="Arial"/>
        </w:rPr>
      </w:pPr>
      <w:r w:rsidRPr="00E805A4">
        <w:rPr>
          <w:rFonts w:ascii="Arial" w:hAnsi="Arial" w:cs="Arial"/>
        </w:rPr>
        <w:t>16.</w:t>
      </w:r>
      <w:r w:rsidRPr="00E805A4">
        <w:rPr>
          <w:rFonts w:ascii="Arial" w:hAnsi="Arial" w:cs="Arial"/>
        </w:rPr>
        <w:tab/>
        <w:t xml:space="preserve">Ou, Y. </w:t>
      </w:r>
      <w:r w:rsidRPr="00E805A4">
        <w:rPr>
          <w:rFonts w:ascii="Arial" w:hAnsi="Arial" w:cs="Arial"/>
          <w:i/>
          <w:iCs/>
        </w:rPr>
        <w:t>et al.</w:t>
      </w:r>
      <w:r w:rsidRPr="00E805A4">
        <w:rPr>
          <w:rFonts w:ascii="Arial" w:hAnsi="Arial" w:cs="Arial"/>
        </w:rPr>
        <w:t xml:space="preserve"> Can updated climate pledges limit warming well below 2°C? </w:t>
      </w:r>
      <w:r w:rsidRPr="00E805A4">
        <w:rPr>
          <w:rFonts w:ascii="Arial" w:hAnsi="Arial" w:cs="Arial"/>
          <w:i/>
          <w:iCs/>
        </w:rPr>
        <w:t>Science</w:t>
      </w:r>
      <w:r w:rsidRPr="00E805A4">
        <w:rPr>
          <w:rFonts w:ascii="Arial" w:hAnsi="Arial" w:cs="Arial"/>
        </w:rPr>
        <w:t xml:space="preserve"> </w:t>
      </w:r>
      <w:r w:rsidRPr="00E805A4">
        <w:rPr>
          <w:rFonts w:ascii="Arial" w:hAnsi="Arial" w:cs="Arial"/>
          <w:b/>
          <w:bCs/>
        </w:rPr>
        <w:t>374</w:t>
      </w:r>
      <w:r w:rsidRPr="00E805A4">
        <w:rPr>
          <w:rFonts w:ascii="Arial" w:hAnsi="Arial" w:cs="Arial"/>
        </w:rPr>
        <w:t>, 693–695 (2021).</w:t>
      </w:r>
    </w:p>
    <w:p w14:paraId="2C06F359" w14:textId="77777777" w:rsidR="00E805A4" w:rsidRPr="00E805A4" w:rsidRDefault="00E805A4" w:rsidP="00E805A4">
      <w:pPr>
        <w:pStyle w:val="Bibliography"/>
        <w:spacing w:line="276" w:lineRule="auto"/>
        <w:rPr>
          <w:rFonts w:ascii="Arial" w:hAnsi="Arial" w:cs="Arial"/>
        </w:rPr>
      </w:pPr>
      <w:r w:rsidRPr="00E805A4">
        <w:rPr>
          <w:rFonts w:ascii="Arial" w:hAnsi="Arial" w:cs="Arial"/>
        </w:rPr>
        <w:t>17.</w:t>
      </w:r>
      <w:r w:rsidRPr="00E805A4">
        <w:rPr>
          <w:rFonts w:ascii="Arial" w:hAnsi="Arial" w:cs="Arial"/>
        </w:rPr>
        <w:tab/>
        <w:t xml:space="preserve">Yarlagadda, B. </w:t>
      </w:r>
      <w:r w:rsidRPr="00E805A4">
        <w:rPr>
          <w:rFonts w:ascii="Arial" w:hAnsi="Arial" w:cs="Arial"/>
          <w:i/>
          <w:iCs/>
        </w:rPr>
        <w:t>et al.</w:t>
      </w:r>
      <w:r w:rsidRPr="00E805A4">
        <w:rPr>
          <w:rFonts w:ascii="Arial" w:hAnsi="Arial" w:cs="Arial"/>
        </w:rPr>
        <w:t xml:space="preserve"> Trade and Climate Mitigation Interactions Create Agro-Economic Opportunities With Social and Environmental Trade-Offs in Latin America and the Caribbean. </w:t>
      </w:r>
      <w:r w:rsidRPr="00E805A4">
        <w:rPr>
          <w:rFonts w:ascii="Arial" w:hAnsi="Arial" w:cs="Arial"/>
          <w:i/>
          <w:iCs/>
        </w:rPr>
        <w:t>Earths Future</w:t>
      </w:r>
      <w:r w:rsidRPr="00E805A4">
        <w:rPr>
          <w:rFonts w:ascii="Arial" w:hAnsi="Arial" w:cs="Arial"/>
        </w:rPr>
        <w:t xml:space="preserve"> </w:t>
      </w:r>
      <w:r w:rsidRPr="00E805A4">
        <w:rPr>
          <w:rFonts w:ascii="Arial" w:hAnsi="Arial" w:cs="Arial"/>
          <w:b/>
          <w:bCs/>
        </w:rPr>
        <w:t>11</w:t>
      </w:r>
      <w:r w:rsidRPr="00E805A4">
        <w:rPr>
          <w:rFonts w:ascii="Arial" w:hAnsi="Arial" w:cs="Arial"/>
        </w:rPr>
        <w:t>, e2022EF003063 (2023).</w:t>
      </w:r>
    </w:p>
    <w:p w14:paraId="21B257A1" w14:textId="77777777" w:rsidR="00E805A4" w:rsidRPr="00E805A4" w:rsidRDefault="00E805A4" w:rsidP="00E805A4">
      <w:pPr>
        <w:pStyle w:val="Bibliography"/>
        <w:spacing w:line="276" w:lineRule="auto"/>
        <w:rPr>
          <w:rFonts w:ascii="Arial" w:hAnsi="Arial" w:cs="Arial"/>
        </w:rPr>
      </w:pPr>
      <w:r w:rsidRPr="00E805A4">
        <w:rPr>
          <w:rFonts w:ascii="Arial" w:hAnsi="Arial" w:cs="Arial"/>
        </w:rPr>
        <w:t>18.</w:t>
      </w:r>
      <w:r w:rsidRPr="00E805A4">
        <w:rPr>
          <w:rFonts w:ascii="Arial" w:hAnsi="Arial" w:cs="Arial"/>
        </w:rPr>
        <w:tab/>
        <w:t xml:space="preserve">Graham, N. T. </w:t>
      </w:r>
      <w:r w:rsidRPr="00E805A4">
        <w:rPr>
          <w:rFonts w:ascii="Arial" w:hAnsi="Arial" w:cs="Arial"/>
          <w:i/>
          <w:iCs/>
        </w:rPr>
        <w:t>et al.</w:t>
      </w:r>
      <w:r w:rsidRPr="00E805A4">
        <w:rPr>
          <w:rFonts w:ascii="Arial" w:hAnsi="Arial" w:cs="Arial"/>
        </w:rPr>
        <w:t xml:space="preserve"> Humans drive future water scarcity changes across all Shared Socioeconomic Pathways. </w:t>
      </w:r>
      <w:r w:rsidRPr="00E805A4">
        <w:rPr>
          <w:rFonts w:ascii="Arial" w:hAnsi="Arial" w:cs="Arial"/>
          <w:i/>
          <w:iCs/>
        </w:rPr>
        <w:t>Environ. Res. Lett.</w:t>
      </w:r>
      <w:r w:rsidRPr="00E805A4">
        <w:rPr>
          <w:rFonts w:ascii="Arial" w:hAnsi="Arial" w:cs="Arial"/>
        </w:rPr>
        <w:t xml:space="preserve"> </w:t>
      </w:r>
      <w:r w:rsidRPr="00E805A4">
        <w:rPr>
          <w:rFonts w:ascii="Arial" w:hAnsi="Arial" w:cs="Arial"/>
          <w:b/>
          <w:bCs/>
        </w:rPr>
        <w:t>15</w:t>
      </w:r>
      <w:r w:rsidRPr="00E805A4">
        <w:rPr>
          <w:rFonts w:ascii="Arial" w:hAnsi="Arial" w:cs="Arial"/>
        </w:rPr>
        <w:t>, 014007 (2020).</w:t>
      </w:r>
    </w:p>
    <w:p w14:paraId="51D87B1A" w14:textId="77777777" w:rsidR="00E805A4" w:rsidRPr="00E805A4" w:rsidRDefault="00E805A4" w:rsidP="00E805A4">
      <w:pPr>
        <w:pStyle w:val="Bibliography"/>
        <w:spacing w:line="276" w:lineRule="auto"/>
        <w:rPr>
          <w:rFonts w:ascii="Arial" w:hAnsi="Arial" w:cs="Arial"/>
        </w:rPr>
      </w:pPr>
      <w:r w:rsidRPr="00E805A4">
        <w:rPr>
          <w:rFonts w:ascii="Arial" w:hAnsi="Arial" w:cs="Arial"/>
        </w:rPr>
        <w:t>19.</w:t>
      </w:r>
      <w:r w:rsidRPr="00E805A4">
        <w:rPr>
          <w:rFonts w:ascii="Arial" w:hAnsi="Arial" w:cs="Arial"/>
        </w:rPr>
        <w:tab/>
        <w:t xml:space="preserve">Di Vittorio, A. V., Narayan, K. B., Patel, P., Calvin, K. &amp; Vernon, C. R. Doubling protected land area may be inefficient at preserving the extent of undeveloped land and could cause substantial regional shifts in land use. </w:t>
      </w:r>
      <w:r w:rsidRPr="00E805A4">
        <w:rPr>
          <w:rFonts w:ascii="Arial" w:hAnsi="Arial" w:cs="Arial"/>
          <w:i/>
          <w:iCs/>
        </w:rPr>
        <w:t>GCB Bioenergy</w:t>
      </w:r>
      <w:r w:rsidRPr="00E805A4">
        <w:rPr>
          <w:rFonts w:ascii="Arial" w:hAnsi="Arial" w:cs="Arial"/>
        </w:rPr>
        <w:t xml:space="preserve"> </w:t>
      </w:r>
      <w:r w:rsidRPr="00E805A4">
        <w:rPr>
          <w:rFonts w:ascii="Arial" w:hAnsi="Arial" w:cs="Arial"/>
          <w:b/>
          <w:bCs/>
        </w:rPr>
        <w:t>15</w:t>
      </w:r>
      <w:r w:rsidRPr="00E805A4">
        <w:rPr>
          <w:rFonts w:ascii="Arial" w:hAnsi="Arial" w:cs="Arial"/>
        </w:rPr>
        <w:t>, 185–207 (2023).</w:t>
      </w:r>
    </w:p>
    <w:p w14:paraId="78F77673" w14:textId="77777777" w:rsidR="00E805A4" w:rsidRPr="00E805A4" w:rsidRDefault="00E805A4" w:rsidP="00E805A4">
      <w:pPr>
        <w:pStyle w:val="Bibliography"/>
        <w:spacing w:line="276" w:lineRule="auto"/>
        <w:rPr>
          <w:rFonts w:ascii="Arial" w:hAnsi="Arial" w:cs="Arial"/>
        </w:rPr>
      </w:pPr>
      <w:r w:rsidRPr="00E805A4">
        <w:rPr>
          <w:rFonts w:ascii="Arial" w:hAnsi="Arial" w:cs="Arial"/>
        </w:rPr>
        <w:t>20.</w:t>
      </w:r>
      <w:r w:rsidRPr="00E805A4">
        <w:rPr>
          <w:rFonts w:ascii="Arial" w:hAnsi="Arial" w:cs="Arial"/>
        </w:rPr>
        <w:tab/>
        <w:t xml:space="preserve">Zhao, X. &amp; Wise, M. </w:t>
      </w:r>
      <w:r w:rsidRPr="00E805A4">
        <w:rPr>
          <w:rFonts w:ascii="Arial" w:hAnsi="Arial" w:cs="Arial"/>
          <w:i/>
          <w:iCs/>
        </w:rPr>
        <w:t>GCAM Agriculture and Land Use (AgLU) Data and Method Updates: Connecting Land Hectares to Food Calories</w:t>
      </w:r>
      <w:r w:rsidRPr="00E805A4">
        <w:rPr>
          <w:rFonts w:ascii="Arial" w:hAnsi="Arial" w:cs="Arial"/>
        </w:rPr>
        <w:t>. https://jgcri.github.io/gcam-doc/cmp/CMP_360-AgLU_data_method_updates.pdf (2023).</w:t>
      </w:r>
    </w:p>
    <w:p w14:paraId="48880A18" w14:textId="77777777" w:rsidR="00E805A4" w:rsidRPr="00E805A4" w:rsidRDefault="00E805A4" w:rsidP="00E805A4">
      <w:pPr>
        <w:pStyle w:val="Bibliography"/>
        <w:spacing w:line="276" w:lineRule="auto"/>
        <w:rPr>
          <w:rFonts w:ascii="Arial" w:hAnsi="Arial" w:cs="Arial"/>
        </w:rPr>
      </w:pPr>
      <w:r w:rsidRPr="00E805A4">
        <w:rPr>
          <w:rFonts w:ascii="Arial" w:hAnsi="Arial" w:cs="Arial"/>
        </w:rPr>
        <w:lastRenderedPageBreak/>
        <w:t>21.</w:t>
      </w:r>
      <w:r w:rsidRPr="00E805A4">
        <w:rPr>
          <w:rFonts w:ascii="Arial" w:hAnsi="Arial" w:cs="Arial"/>
        </w:rPr>
        <w:tab/>
        <w:t xml:space="preserve">Patel, P. </w:t>
      </w:r>
      <w:r w:rsidRPr="00E805A4">
        <w:rPr>
          <w:rFonts w:ascii="Arial" w:hAnsi="Arial" w:cs="Arial"/>
          <w:i/>
          <w:iCs/>
        </w:rPr>
        <w:t>et al.</w:t>
      </w:r>
      <w:r w:rsidRPr="00E805A4">
        <w:rPr>
          <w:rFonts w:ascii="Arial" w:hAnsi="Arial" w:cs="Arial"/>
        </w:rPr>
        <w:t xml:space="preserve"> </w:t>
      </w:r>
      <w:r w:rsidRPr="00E805A4">
        <w:rPr>
          <w:rFonts w:ascii="Arial" w:hAnsi="Arial" w:cs="Arial"/>
          <w:i/>
          <w:iCs/>
        </w:rPr>
        <w:t>Core Model Proposal# 332: GCAM Macro-Economic Module (KLEM Version)</w:t>
      </w:r>
      <w:r w:rsidRPr="00E805A4">
        <w:rPr>
          <w:rFonts w:ascii="Arial" w:hAnsi="Arial" w:cs="Arial"/>
        </w:rPr>
        <w:t>. https://jgcri.github.io/gcam-doc/cmp/332-GCAM_Macro_Economic_Module_KLEM.pdf (2023).</w:t>
      </w:r>
    </w:p>
    <w:p w14:paraId="25F81F59" w14:textId="77777777" w:rsidR="00E805A4" w:rsidRPr="00E805A4" w:rsidRDefault="00E805A4" w:rsidP="00E805A4">
      <w:pPr>
        <w:pStyle w:val="Bibliography"/>
        <w:spacing w:line="276" w:lineRule="auto"/>
        <w:rPr>
          <w:rFonts w:ascii="Arial" w:hAnsi="Arial" w:cs="Arial"/>
        </w:rPr>
      </w:pPr>
      <w:r w:rsidRPr="00E805A4">
        <w:rPr>
          <w:rFonts w:ascii="Arial" w:hAnsi="Arial" w:cs="Arial"/>
        </w:rPr>
        <w:t>22.</w:t>
      </w:r>
      <w:r w:rsidRPr="00E805A4">
        <w:rPr>
          <w:rFonts w:ascii="Arial" w:hAnsi="Arial" w:cs="Arial"/>
        </w:rPr>
        <w:tab/>
        <w:t xml:space="preserve">Fujimori, S., Hasegawa, T. &amp; Masui, T. AIM/CGE V2.0: Basic Feature of the Model. in </w:t>
      </w:r>
      <w:r w:rsidRPr="00E805A4">
        <w:rPr>
          <w:rFonts w:ascii="Arial" w:hAnsi="Arial" w:cs="Arial"/>
          <w:i/>
          <w:iCs/>
        </w:rPr>
        <w:t>Post-2020 Climate Action</w:t>
      </w:r>
      <w:r w:rsidRPr="00E805A4">
        <w:rPr>
          <w:rFonts w:ascii="Arial" w:hAnsi="Arial" w:cs="Arial"/>
        </w:rPr>
        <w:t xml:space="preserve"> (eds. Fujimori, S., Kainuma, M. &amp; Masui, T.) 305–328 (Springer Singapore, Singapore, 2017). doi:10.1007/978-981-10-3869-3_13.</w:t>
      </w:r>
    </w:p>
    <w:p w14:paraId="3AD77100" w14:textId="77777777" w:rsidR="00E805A4" w:rsidRPr="00E805A4" w:rsidRDefault="00E805A4" w:rsidP="00E805A4">
      <w:pPr>
        <w:pStyle w:val="Bibliography"/>
        <w:spacing w:line="276" w:lineRule="auto"/>
        <w:rPr>
          <w:rFonts w:ascii="Arial" w:hAnsi="Arial" w:cs="Arial"/>
        </w:rPr>
      </w:pPr>
      <w:r w:rsidRPr="00E805A4">
        <w:rPr>
          <w:rFonts w:ascii="Arial" w:hAnsi="Arial" w:cs="Arial"/>
        </w:rPr>
        <w:t>23.</w:t>
      </w:r>
      <w:r w:rsidRPr="00E805A4">
        <w:rPr>
          <w:rFonts w:ascii="Arial" w:hAnsi="Arial" w:cs="Arial"/>
        </w:rPr>
        <w:tab/>
        <w:t>van der Mensbrugghe, D. ENVISAGE10.01_Documentation.pdf. (2019).</w:t>
      </w:r>
    </w:p>
    <w:p w14:paraId="7616D467" w14:textId="77777777" w:rsidR="00E805A4" w:rsidRPr="00E805A4" w:rsidRDefault="00E805A4" w:rsidP="00E805A4">
      <w:pPr>
        <w:pStyle w:val="Bibliography"/>
        <w:spacing w:line="276" w:lineRule="auto"/>
        <w:rPr>
          <w:rFonts w:ascii="Arial" w:hAnsi="Arial" w:cs="Arial"/>
        </w:rPr>
      </w:pPr>
      <w:r w:rsidRPr="00E805A4">
        <w:rPr>
          <w:rFonts w:ascii="Arial" w:hAnsi="Arial" w:cs="Arial"/>
        </w:rPr>
        <w:t>24.</w:t>
      </w:r>
      <w:r w:rsidRPr="00E805A4">
        <w:rPr>
          <w:rFonts w:ascii="Arial" w:hAnsi="Arial" w:cs="Arial"/>
        </w:rPr>
        <w:tab/>
        <w:t>Chen, Y.-H. H., Paltsev, S., Gurgel, A., Reilly, J. M. &amp; Morris, J. The MIT EPPA7: A Multisectoral Dynamic Model for Energy, Economic, and Climate Scenario Analysis. (2022).</w:t>
      </w:r>
    </w:p>
    <w:p w14:paraId="64DF7797" w14:textId="77777777" w:rsidR="00E805A4" w:rsidRPr="00E805A4" w:rsidRDefault="00E805A4" w:rsidP="00E805A4">
      <w:pPr>
        <w:pStyle w:val="Bibliography"/>
        <w:spacing w:line="276" w:lineRule="auto"/>
        <w:rPr>
          <w:rFonts w:ascii="Arial" w:hAnsi="Arial" w:cs="Arial"/>
        </w:rPr>
      </w:pPr>
      <w:r w:rsidRPr="00E805A4">
        <w:rPr>
          <w:rFonts w:ascii="Arial" w:hAnsi="Arial" w:cs="Arial"/>
        </w:rPr>
        <w:t>25.</w:t>
      </w:r>
      <w:r w:rsidRPr="00E805A4">
        <w:rPr>
          <w:rFonts w:ascii="Arial" w:hAnsi="Arial" w:cs="Arial"/>
        </w:rPr>
        <w:tab/>
        <w:t>Sands, R. D., Jones, C. A. &amp; Marshall, E. Global Drivers of Agricultural Demand and Supply. (2014).</w:t>
      </w:r>
    </w:p>
    <w:p w14:paraId="6BFBC594" w14:textId="77777777" w:rsidR="00E805A4" w:rsidRPr="00E805A4" w:rsidRDefault="00E805A4" w:rsidP="00E805A4">
      <w:pPr>
        <w:pStyle w:val="Bibliography"/>
        <w:spacing w:line="276" w:lineRule="auto"/>
        <w:rPr>
          <w:rFonts w:ascii="Arial" w:hAnsi="Arial" w:cs="Arial"/>
        </w:rPr>
      </w:pPr>
      <w:r w:rsidRPr="00E805A4">
        <w:rPr>
          <w:rFonts w:ascii="Arial" w:hAnsi="Arial" w:cs="Arial"/>
        </w:rPr>
        <w:t>26.</w:t>
      </w:r>
      <w:r w:rsidRPr="00E805A4">
        <w:rPr>
          <w:rFonts w:ascii="Arial" w:hAnsi="Arial" w:cs="Arial"/>
        </w:rPr>
        <w:tab/>
        <w:t>Woltjer, G. &amp; Kuiper, M. The MAGNET Model: Module description. (2014).</w:t>
      </w:r>
    </w:p>
    <w:p w14:paraId="34D7A3EB" w14:textId="77777777" w:rsidR="00E805A4" w:rsidRPr="00E805A4" w:rsidRDefault="00E805A4" w:rsidP="00E805A4">
      <w:pPr>
        <w:pStyle w:val="Bibliography"/>
        <w:spacing w:line="276" w:lineRule="auto"/>
        <w:rPr>
          <w:rFonts w:ascii="Arial" w:hAnsi="Arial" w:cs="Arial"/>
        </w:rPr>
      </w:pPr>
      <w:r w:rsidRPr="00E805A4">
        <w:rPr>
          <w:rFonts w:ascii="Arial" w:hAnsi="Arial" w:cs="Arial"/>
        </w:rPr>
        <w:t>27.</w:t>
      </w:r>
      <w:r w:rsidRPr="00E805A4">
        <w:rPr>
          <w:rFonts w:ascii="Arial" w:hAnsi="Arial" w:cs="Arial"/>
        </w:rPr>
        <w:tab/>
        <w:t xml:space="preserve">Stehfest, E., van Vuuren, D., Bouwman, L. &amp; Kram, T. </w:t>
      </w:r>
      <w:r w:rsidRPr="00E805A4">
        <w:rPr>
          <w:rFonts w:ascii="Arial" w:hAnsi="Arial" w:cs="Arial"/>
          <w:i/>
          <w:iCs/>
        </w:rPr>
        <w:t>Integrated Assessment of Global Environmental Change with IMAGE 3.0: Model Description and Policy Applications</w:t>
      </w:r>
      <w:r w:rsidRPr="00E805A4">
        <w:rPr>
          <w:rFonts w:ascii="Arial" w:hAnsi="Arial" w:cs="Arial"/>
        </w:rPr>
        <w:t>. (Netherlands Environmental Assessment Agency (PBL), 2014).</w:t>
      </w:r>
    </w:p>
    <w:p w14:paraId="4FB8509A" w14:textId="77777777" w:rsidR="00E805A4" w:rsidRPr="00E805A4" w:rsidRDefault="00E805A4" w:rsidP="00E805A4">
      <w:pPr>
        <w:pStyle w:val="Bibliography"/>
        <w:spacing w:line="276" w:lineRule="auto"/>
        <w:rPr>
          <w:rFonts w:ascii="Arial" w:hAnsi="Arial" w:cs="Arial"/>
        </w:rPr>
      </w:pPr>
      <w:r w:rsidRPr="00E805A4">
        <w:rPr>
          <w:rFonts w:ascii="Arial" w:hAnsi="Arial" w:cs="Arial"/>
        </w:rPr>
        <w:t>28.</w:t>
      </w:r>
      <w:r w:rsidRPr="00E805A4">
        <w:rPr>
          <w:rFonts w:ascii="Arial" w:hAnsi="Arial" w:cs="Arial"/>
        </w:rPr>
        <w:tab/>
        <w:t xml:space="preserve">Robinson, S. </w:t>
      </w:r>
      <w:r w:rsidRPr="00E805A4">
        <w:rPr>
          <w:rFonts w:ascii="Arial" w:hAnsi="Arial" w:cs="Arial"/>
          <w:i/>
          <w:iCs/>
        </w:rPr>
        <w:t>et al.</w:t>
      </w:r>
      <w:r w:rsidRPr="00E805A4">
        <w:rPr>
          <w:rFonts w:ascii="Arial" w:hAnsi="Arial" w:cs="Arial"/>
        </w:rPr>
        <w:t xml:space="preserve"> The International Model for Policy Analysis of Agricultural Commodities and Trade (IMPACT): Model Description for Version 3. </w:t>
      </w:r>
      <w:r w:rsidRPr="00E805A4">
        <w:rPr>
          <w:rFonts w:ascii="Arial" w:hAnsi="Arial" w:cs="Arial"/>
          <w:i/>
          <w:iCs/>
        </w:rPr>
        <w:t>SSRN Electron. J.</w:t>
      </w:r>
      <w:r w:rsidRPr="00E805A4">
        <w:rPr>
          <w:rFonts w:ascii="Arial" w:hAnsi="Arial" w:cs="Arial"/>
        </w:rPr>
        <w:t xml:space="preserve"> (2015) doi:10.2139/ssrn.2741234.</w:t>
      </w:r>
    </w:p>
    <w:p w14:paraId="6CF902CD" w14:textId="77777777" w:rsidR="00E805A4" w:rsidRPr="00E805A4" w:rsidRDefault="00E805A4" w:rsidP="00E805A4">
      <w:pPr>
        <w:pStyle w:val="Bibliography"/>
        <w:spacing w:line="276" w:lineRule="auto"/>
        <w:rPr>
          <w:rFonts w:ascii="Arial" w:hAnsi="Arial" w:cs="Arial"/>
        </w:rPr>
      </w:pPr>
      <w:r w:rsidRPr="00E805A4">
        <w:rPr>
          <w:rFonts w:ascii="Arial" w:hAnsi="Arial" w:cs="Arial"/>
        </w:rPr>
        <w:t>29.</w:t>
      </w:r>
      <w:r w:rsidRPr="00E805A4">
        <w:rPr>
          <w:rFonts w:ascii="Arial" w:hAnsi="Arial" w:cs="Arial"/>
        </w:rPr>
        <w:tab/>
        <w:t>IIASA. Documentation for the GLOBIOM model. (2018).</w:t>
      </w:r>
    </w:p>
    <w:p w14:paraId="27ED7107" w14:textId="77777777" w:rsidR="00E805A4" w:rsidRPr="00E805A4" w:rsidRDefault="00E805A4" w:rsidP="00E805A4">
      <w:pPr>
        <w:pStyle w:val="Bibliography"/>
        <w:spacing w:line="276" w:lineRule="auto"/>
        <w:rPr>
          <w:rFonts w:ascii="Arial" w:hAnsi="Arial" w:cs="Arial"/>
        </w:rPr>
      </w:pPr>
      <w:r w:rsidRPr="00E805A4">
        <w:rPr>
          <w:rFonts w:ascii="Arial" w:hAnsi="Arial" w:cs="Arial"/>
        </w:rPr>
        <w:t>30.</w:t>
      </w:r>
      <w:r w:rsidRPr="00E805A4">
        <w:rPr>
          <w:rFonts w:ascii="Arial" w:hAnsi="Arial" w:cs="Arial"/>
        </w:rPr>
        <w:tab/>
        <w:t>Dietrich, J., Bodirsky, B., Weindl, I. &amp; Humpenöder, F. MAgPIE - An Open Source land-use modeling framework - Version 4.6.0. (2022).</w:t>
      </w:r>
    </w:p>
    <w:p w14:paraId="5B15EB70" w14:textId="77777777" w:rsidR="00E805A4" w:rsidRPr="00E805A4" w:rsidRDefault="00E805A4" w:rsidP="00E805A4">
      <w:pPr>
        <w:pStyle w:val="Bibliography"/>
        <w:spacing w:line="276" w:lineRule="auto"/>
        <w:rPr>
          <w:rFonts w:ascii="Arial" w:hAnsi="Arial" w:cs="Arial"/>
        </w:rPr>
      </w:pPr>
      <w:r w:rsidRPr="00E805A4">
        <w:rPr>
          <w:rFonts w:ascii="Arial" w:hAnsi="Arial" w:cs="Arial"/>
        </w:rPr>
        <w:t>31.</w:t>
      </w:r>
      <w:r w:rsidRPr="00E805A4">
        <w:rPr>
          <w:rFonts w:ascii="Arial" w:hAnsi="Arial" w:cs="Arial"/>
        </w:rPr>
        <w:tab/>
        <w:t xml:space="preserve">Calvin, K. </w:t>
      </w:r>
      <w:r w:rsidRPr="00E805A4">
        <w:rPr>
          <w:rFonts w:ascii="Arial" w:hAnsi="Arial" w:cs="Arial"/>
          <w:i/>
          <w:iCs/>
        </w:rPr>
        <w:t>et al.</w:t>
      </w:r>
      <w:r w:rsidRPr="00E805A4">
        <w:rPr>
          <w:rFonts w:ascii="Arial" w:hAnsi="Arial" w:cs="Arial"/>
        </w:rPr>
        <w:t xml:space="preserve"> GCAM v5.1: representing the linkages between energy, water, land, climate, and economic systems. </w:t>
      </w:r>
      <w:r w:rsidRPr="00E805A4">
        <w:rPr>
          <w:rFonts w:ascii="Arial" w:hAnsi="Arial" w:cs="Arial"/>
          <w:i/>
          <w:iCs/>
        </w:rPr>
        <w:t>Geosci. Model Dev.</w:t>
      </w:r>
      <w:r w:rsidRPr="00E805A4">
        <w:rPr>
          <w:rFonts w:ascii="Arial" w:hAnsi="Arial" w:cs="Arial"/>
        </w:rPr>
        <w:t xml:space="preserve"> </w:t>
      </w:r>
      <w:r w:rsidRPr="00E805A4">
        <w:rPr>
          <w:rFonts w:ascii="Arial" w:hAnsi="Arial" w:cs="Arial"/>
          <w:b/>
          <w:bCs/>
        </w:rPr>
        <w:t>12</w:t>
      </w:r>
      <w:r w:rsidRPr="00E805A4">
        <w:rPr>
          <w:rFonts w:ascii="Arial" w:hAnsi="Arial" w:cs="Arial"/>
        </w:rPr>
        <w:t>, 677–698 (2019).</w:t>
      </w:r>
    </w:p>
    <w:p w14:paraId="72F615FB" w14:textId="77777777" w:rsidR="00E805A4" w:rsidRPr="00E805A4" w:rsidRDefault="00E805A4" w:rsidP="00E805A4">
      <w:pPr>
        <w:pStyle w:val="Bibliography"/>
        <w:spacing w:line="276" w:lineRule="auto"/>
        <w:rPr>
          <w:rFonts w:ascii="Arial" w:hAnsi="Arial" w:cs="Arial"/>
        </w:rPr>
      </w:pPr>
      <w:r w:rsidRPr="00E805A4">
        <w:rPr>
          <w:rFonts w:ascii="Arial" w:hAnsi="Arial" w:cs="Arial"/>
        </w:rPr>
        <w:t>32.</w:t>
      </w:r>
      <w:r w:rsidRPr="00E805A4">
        <w:rPr>
          <w:rFonts w:ascii="Arial" w:hAnsi="Arial" w:cs="Arial"/>
        </w:rPr>
        <w:tab/>
        <w:t xml:space="preserve">Wise, M., Calvin, K., Kyle, G. P., Luckow, P. &amp; Edmonds, J. ECONOMIC AND PHYSICAL MODELING OF LAND USE IN GCAM 3.0 AND AN APPLICATION TO AGRICULTURAL PRODUCTIVITY, LAND, AND TERRESTRIAL CARBON. </w:t>
      </w:r>
      <w:r w:rsidRPr="00E805A4">
        <w:rPr>
          <w:rFonts w:ascii="Arial" w:hAnsi="Arial" w:cs="Arial"/>
          <w:i/>
          <w:iCs/>
        </w:rPr>
        <w:t>Clim. Change Econ.</w:t>
      </w:r>
      <w:r w:rsidRPr="00E805A4">
        <w:rPr>
          <w:rFonts w:ascii="Arial" w:hAnsi="Arial" w:cs="Arial"/>
        </w:rPr>
        <w:t xml:space="preserve"> </w:t>
      </w:r>
      <w:r w:rsidRPr="00E805A4">
        <w:rPr>
          <w:rFonts w:ascii="Arial" w:hAnsi="Arial" w:cs="Arial"/>
          <w:b/>
          <w:bCs/>
        </w:rPr>
        <w:t>5</w:t>
      </w:r>
      <w:r w:rsidRPr="00E805A4">
        <w:rPr>
          <w:rFonts w:ascii="Arial" w:hAnsi="Arial" w:cs="Arial"/>
        </w:rPr>
        <w:t>, 1–22 (2014).</w:t>
      </w:r>
    </w:p>
    <w:p w14:paraId="65B62668" w14:textId="77777777" w:rsidR="00E805A4" w:rsidRPr="00E805A4" w:rsidRDefault="00E805A4" w:rsidP="00E805A4">
      <w:pPr>
        <w:pStyle w:val="Bibliography"/>
        <w:spacing w:line="276" w:lineRule="auto"/>
        <w:rPr>
          <w:rFonts w:ascii="Arial" w:hAnsi="Arial" w:cs="Arial"/>
        </w:rPr>
      </w:pPr>
      <w:r w:rsidRPr="00E805A4">
        <w:rPr>
          <w:rFonts w:ascii="Arial" w:hAnsi="Arial" w:cs="Arial"/>
        </w:rPr>
        <w:t>33.</w:t>
      </w:r>
      <w:r w:rsidRPr="00E805A4">
        <w:rPr>
          <w:rFonts w:ascii="Arial" w:hAnsi="Arial" w:cs="Arial"/>
        </w:rPr>
        <w:tab/>
        <w:t xml:space="preserve">Zhao, X., Mignone, B. K., Wise, M. A. &amp; McJeon, H. C. Trade-offs in land-based carbon removal measures under 1.5 °C and 2 °C futures. </w:t>
      </w:r>
      <w:r w:rsidRPr="00E805A4">
        <w:rPr>
          <w:rFonts w:ascii="Arial" w:hAnsi="Arial" w:cs="Arial"/>
          <w:i/>
          <w:iCs/>
        </w:rPr>
        <w:t>Nat. Commun.</w:t>
      </w:r>
      <w:r w:rsidRPr="00E805A4">
        <w:rPr>
          <w:rFonts w:ascii="Arial" w:hAnsi="Arial" w:cs="Arial"/>
        </w:rPr>
        <w:t xml:space="preserve"> </w:t>
      </w:r>
      <w:r w:rsidRPr="00E805A4">
        <w:rPr>
          <w:rFonts w:ascii="Arial" w:hAnsi="Arial" w:cs="Arial"/>
          <w:b/>
          <w:bCs/>
        </w:rPr>
        <w:t>15</w:t>
      </w:r>
      <w:r w:rsidRPr="00E805A4">
        <w:rPr>
          <w:rFonts w:ascii="Arial" w:hAnsi="Arial" w:cs="Arial"/>
        </w:rPr>
        <w:t>, 2297 (2024).</w:t>
      </w:r>
    </w:p>
    <w:p w14:paraId="17EC5719" w14:textId="77777777" w:rsidR="00E805A4" w:rsidRPr="00E805A4" w:rsidRDefault="00E805A4" w:rsidP="00E805A4">
      <w:pPr>
        <w:pStyle w:val="Bibliography"/>
        <w:spacing w:line="276" w:lineRule="auto"/>
        <w:rPr>
          <w:rFonts w:ascii="Arial" w:hAnsi="Arial" w:cs="Arial"/>
        </w:rPr>
      </w:pPr>
      <w:r w:rsidRPr="00E805A4">
        <w:rPr>
          <w:rFonts w:ascii="Arial" w:hAnsi="Arial" w:cs="Arial"/>
        </w:rPr>
        <w:t>34.</w:t>
      </w:r>
      <w:r w:rsidRPr="00E805A4">
        <w:rPr>
          <w:rFonts w:ascii="Arial" w:hAnsi="Arial" w:cs="Arial"/>
        </w:rPr>
        <w:tab/>
        <w:t xml:space="preserve">Edmonds, J. A., Link, R., Waldhoff, S. T. &amp; Cui, R. A global food demand model for the assessment of complex human-earth systems. </w:t>
      </w:r>
      <w:r w:rsidRPr="00E805A4">
        <w:rPr>
          <w:rFonts w:ascii="Arial" w:hAnsi="Arial" w:cs="Arial"/>
          <w:i/>
          <w:iCs/>
        </w:rPr>
        <w:t>Clim. Change Econ.</w:t>
      </w:r>
      <w:r w:rsidRPr="00E805A4">
        <w:rPr>
          <w:rFonts w:ascii="Arial" w:hAnsi="Arial" w:cs="Arial"/>
        </w:rPr>
        <w:t xml:space="preserve"> </w:t>
      </w:r>
      <w:r w:rsidRPr="00E805A4">
        <w:rPr>
          <w:rFonts w:ascii="Arial" w:hAnsi="Arial" w:cs="Arial"/>
          <w:b/>
          <w:bCs/>
        </w:rPr>
        <w:t>08</w:t>
      </w:r>
      <w:r w:rsidRPr="00E805A4">
        <w:rPr>
          <w:rFonts w:ascii="Arial" w:hAnsi="Arial" w:cs="Arial"/>
        </w:rPr>
        <w:t>, 1750012 (2017).</w:t>
      </w:r>
    </w:p>
    <w:p w14:paraId="60D62276" w14:textId="77777777" w:rsidR="00E805A4" w:rsidRPr="00E805A4" w:rsidRDefault="00E805A4" w:rsidP="00E805A4">
      <w:pPr>
        <w:pStyle w:val="Bibliography"/>
        <w:spacing w:line="276" w:lineRule="auto"/>
        <w:rPr>
          <w:rFonts w:ascii="Arial" w:hAnsi="Arial" w:cs="Arial"/>
        </w:rPr>
      </w:pPr>
      <w:r w:rsidRPr="00E805A4">
        <w:rPr>
          <w:rFonts w:ascii="Arial" w:hAnsi="Arial" w:cs="Arial"/>
        </w:rPr>
        <w:t>35.</w:t>
      </w:r>
      <w:r w:rsidRPr="00E805A4">
        <w:rPr>
          <w:rFonts w:ascii="Arial" w:hAnsi="Arial" w:cs="Arial"/>
        </w:rPr>
        <w:tab/>
        <w:t xml:space="preserve">Zhao, X. </w:t>
      </w:r>
      <w:r w:rsidRPr="00E805A4">
        <w:rPr>
          <w:rFonts w:ascii="Arial" w:hAnsi="Arial" w:cs="Arial"/>
          <w:i/>
          <w:iCs/>
        </w:rPr>
        <w:t>et al.</w:t>
      </w:r>
      <w:r w:rsidRPr="00E805A4">
        <w:rPr>
          <w:rFonts w:ascii="Arial" w:hAnsi="Arial" w:cs="Arial"/>
        </w:rPr>
        <w:t xml:space="preserve"> </w:t>
      </w:r>
      <w:r w:rsidRPr="00E805A4">
        <w:rPr>
          <w:rFonts w:ascii="Arial" w:hAnsi="Arial" w:cs="Arial"/>
          <w:i/>
          <w:iCs/>
        </w:rPr>
        <w:t>Gcamfaostat: An R Prepare, Process, and Synthesize FAOSTAT Data for Global Agroeconomic and Multisector Dynamic Modeling</w:t>
      </w:r>
      <w:r w:rsidRPr="00E805A4">
        <w:rPr>
          <w:rFonts w:ascii="Arial" w:hAnsi="Arial" w:cs="Arial"/>
        </w:rPr>
        <w:t>. https://jgcri.github.io/gcamfaostat (2024).</w:t>
      </w:r>
    </w:p>
    <w:p w14:paraId="11F4F48B" w14:textId="77777777" w:rsidR="00E805A4" w:rsidRPr="00E805A4" w:rsidRDefault="00E805A4" w:rsidP="00E805A4">
      <w:pPr>
        <w:pStyle w:val="Bibliography"/>
        <w:spacing w:line="276" w:lineRule="auto"/>
        <w:rPr>
          <w:rFonts w:ascii="Arial" w:hAnsi="Arial" w:cs="Arial"/>
        </w:rPr>
      </w:pPr>
      <w:r w:rsidRPr="00E805A4">
        <w:rPr>
          <w:rFonts w:ascii="Arial" w:hAnsi="Arial" w:cs="Arial"/>
        </w:rPr>
        <w:t>36.</w:t>
      </w:r>
      <w:r w:rsidRPr="00E805A4">
        <w:rPr>
          <w:rFonts w:ascii="Arial" w:hAnsi="Arial" w:cs="Arial"/>
        </w:rPr>
        <w:tab/>
        <w:t>USDA. TFP indices and components for countries, regions, countries grouped by income level, and the world, 1961–2020. (2022).</w:t>
      </w:r>
    </w:p>
    <w:p w14:paraId="7D562CA5" w14:textId="77777777" w:rsidR="00E805A4" w:rsidRPr="00E805A4" w:rsidRDefault="00E805A4" w:rsidP="00E805A4">
      <w:pPr>
        <w:pStyle w:val="Bibliography"/>
        <w:spacing w:line="276" w:lineRule="auto"/>
        <w:rPr>
          <w:rFonts w:ascii="Arial" w:hAnsi="Arial" w:cs="Arial"/>
        </w:rPr>
      </w:pPr>
      <w:r w:rsidRPr="00E805A4">
        <w:rPr>
          <w:rFonts w:ascii="Arial" w:hAnsi="Arial" w:cs="Arial"/>
        </w:rPr>
        <w:t>37.</w:t>
      </w:r>
      <w:r w:rsidRPr="00E805A4">
        <w:rPr>
          <w:rFonts w:ascii="Arial" w:hAnsi="Arial" w:cs="Arial"/>
        </w:rPr>
        <w:tab/>
        <w:t>ILO. ILOSTAT. (2022).</w:t>
      </w:r>
    </w:p>
    <w:p w14:paraId="6DFB9FF6" w14:textId="77777777" w:rsidR="00E805A4" w:rsidRPr="00E805A4" w:rsidRDefault="00E805A4" w:rsidP="00E805A4">
      <w:pPr>
        <w:pStyle w:val="Bibliography"/>
        <w:spacing w:line="276" w:lineRule="auto"/>
        <w:rPr>
          <w:rFonts w:ascii="Arial" w:hAnsi="Arial" w:cs="Arial"/>
        </w:rPr>
      </w:pPr>
      <w:r w:rsidRPr="00E805A4">
        <w:rPr>
          <w:rFonts w:ascii="Arial" w:hAnsi="Arial" w:cs="Arial"/>
        </w:rPr>
        <w:t>38.</w:t>
      </w:r>
      <w:r w:rsidRPr="00E805A4">
        <w:rPr>
          <w:rFonts w:ascii="Arial" w:hAnsi="Arial" w:cs="Arial"/>
        </w:rPr>
        <w:tab/>
        <w:t xml:space="preserve">Aguiar, A., Chepeliev, M., Corong, E. L., McDougall, R. &amp; Mensbrugghe, D. van der. The GTAP Data Base: Version 10. </w:t>
      </w:r>
      <w:r w:rsidRPr="00E805A4">
        <w:rPr>
          <w:rFonts w:ascii="Arial" w:hAnsi="Arial" w:cs="Arial"/>
          <w:i/>
          <w:iCs/>
        </w:rPr>
        <w:t>J. Glob. Econ. Anal.</w:t>
      </w:r>
      <w:r w:rsidRPr="00E805A4">
        <w:rPr>
          <w:rFonts w:ascii="Arial" w:hAnsi="Arial" w:cs="Arial"/>
        </w:rPr>
        <w:t xml:space="preserve"> </w:t>
      </w:r>
      <w:r w:rsidRPr="00E805A4">
        <w:rPr>
          <w:rFonts w:ascii="Arial" w:hAnsi="Arial" w:cs="Arial"/>
          <w:b/>
          <w:bCs/>
        </w:rPr>
        <w:t>4</w:t>
      </w:r>
      <w:r w:rsidRPr="00E805A4">
        <w:rPr>
          <w:rFonts w:ascii="Arial" w:hAnsi="Arial" w:cs="Arial"/>
        </w:rPr>
        <w:t>, 1–27 (2019).</w:t>
      </w:r>
    </w:p>
    <w:p w14:paraId="6934A177" w14:textId="77777777" w:rsidR="00E805A4" w:rsidRPr="00E805A4" w:rsidRDefault="00E805A4" w:rsidP="00E805A4">
      <w:pPr>
        <w:pStyle w:val="Bibliography"/>
        <w:spacing w:line="276" w:lineRule="auto"/>
        <w:rPr>
          <w:rFonts w:ascii="Arial" w:hAnsi="Arial" w:cs="Arial"/>
        </w:rPr>
      </w:pPr>
      <w:r w:rsidRPr="00E805A4">
        <w:rPr>
          <w:rFonts w:ascii="Arial" w:hAnsi="Arial" w:cs="Arial"/>
        </w:rPr>
        <w:t>39.</w:t>
      </w:r>
      <w:r w:rsidRPr="00E805A4">
        <w:rPr>
          <w:rFonts w:ascii="Arial" w:hAnsi="Arial" w:cs="Arial"/>
        </w:rPr>
        <w:tab/>
        <w:t>Donckt, V. THE NEW FAO GLOBAL DATABASE ON AGRICULTURE INVESTMENT AND CAPITAL STOCK.</w:t>
      </w:r>
    </w:p>
    <w:p w14:paraId="2323513C" w14:textId="77777777" w:rsidR="00E805A4" w:rsidRPr="00E805A4" w:rsidRDefault="00E805A4" w:rsidP="00E805A4">
      <w:pPr>
        <w:pStyle w:val="Bibliography"/>
        <w:spacing w:line="276" w:lineRule="auto"/>
        <w:rPr>
          <w:rFonts w:ascii="Arial" w:hAnsi="Arial" w:cs="Arial"/>
        </w:rPr>
      </w:pPr>
      <w:r w:rsidRPr="00E805A4">
        <w:rPr>
          <w:rFonts w:ascii="Arial" w:hAnsi="Arial" w:cs="Arial"/>
        </w:rPr>
        <w:t>40.</w:t>
      </w:r>
      <w:r w:rsidRPr="00E805A4">
        <w:rPr>
          <w:rFonts w:ascii="Arial" w:hAnsi="Arial" w:cs="Arial"/>
        </w:rPr>
        <w:tab/>
        <w:t xml:space="preserve">Nelson, G. C. </w:t>
      </w:r>
      <w:r w:rsidRPr="00E805A4">
        <w:rPr>
          <w:rFonts w:ascii="Arial" w:hAnsi="Arial" w:cs="Arial"/>
          <w:i/>
          <w:iCs/>
        </w:rPr>
        <w:t>et al.</w:t>
      </w:r>
      <w:r w:rsidRPr="00E805A4">
        <w:rPr>
          <w:rFonts w:ascii="Arial" w:hAnsi="Arial" w:cs="Arial"/>
        </w:rPr>
        <w:t xml:space="preserve"> Climate change effects on agriculture: Economic responses to biophysical shocks. </w:t>
      </w:r>
      <w:r w:rsidRPr="00E805A4">
        <w:rPr>
          <w:rFonts w:ascii="Arial" w:hAnsi="Arial" w:cs="Arial"/>
          <w:i/>
          <w:iCs/>
        </w:rPr>
        <w:t>Proc. Natl. Acad. Sci.</w:t>
      </w:r>
      <w:r w:rsidRPr="00E805A4">
        <w:rPr>
          <w:rFonts w:ascii="Arial" w:hAnsi="Arial" w:cs="Arial"/>
        </w:rPr>
        <w:t xml:space="preserve"> </w:t>
      </w:r>
      <w:r w:rsidRPr="00E805A4">
        <w:rPr>
          <w:rFonts w:ascii="Arial" w:hAnsi="Arial" w:cs="Arial"/>
          <w:b/>
          <w:bCs/>
        </w:rPr>
        <w:t>111</w:t>
      </w:r>
      <w:r w:rsidRPr="00E805A4">
        <w:rPr>
          <w:rFonts w:ascii="Arial" w:hAnsi="Arial" w:cs="Arial"/>
        </w:rPr>
        <w:t>, 3274–3279 (2014).</w:t>
      </w:r>
    </w:p>
    <w:p w14:paraId="7CE7B59C" w14:textId="47D69AC7" w:rsidR="00572106" w:rsidRDefault="00572106" w:rsidP="00E805A4">
      <w:pPr>
        <w:spacing w:line="276" w:lineRule="auto"/>
      </w:pPr>
      <w:r w:rsidRPr="00572106">
        <w:rPr>
          <w:rFonts w:ascii="Arial" w:hAnsi="Arial" w:cs="Arial"/>
        </w:rPr>
        <w:fldChar w:fldCharType="end"/>
      </w:r>
    </w:p>
    <w:p w14:paraId="0BDFD85E" w14:textId="77777777" w:rsidR="00572106" w:rsidRDefault="00572106" w:rsidP="00572106"/>
    <w:sectPr w:rsidR="00572106" w:rsidSect="00572106">
      <w:pgSz w:w="12240" w:h="15840"/>
      <w:pgMar w:top="115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9B2CF3" w14:textId="77777777" w:rsidR="004C2581" w:rsidRDefault="004C2581" w:rsidP="000704F5">
      <w:pPr>
        <w:spacing w:after="0" w:line="240" w:lineRule="auto"/>
      </w:pPr>
      <w:r>
        <w:separator/>
      </w:r>
    </w:p>
  </w:endnote>
  <w:endnote w:type="continuationSeparator" w:id="0">
    <w:p w14:paraId="3277E68F" w14:textId="77777777" w:rsidR="004C2581" w:rsidRDefault="004C2581" w:rsidP="000704F5">
      <w:pPr>
        <w:spacing w:after="0" w:line="240" w:lineRule="auto"/>
      </w:pPr>
      <w:r>
        <w:continuationSeparator/>
      </w:r>
    </w:p>
  </w:endnote>
  <w:endnote w:type="continuationNotice" w:id="1">
    <w:p w14:paraId="47CAA9B7" w14:textId="77777777" w:rsidR="004C2581" w:rsidRDefault="004C25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2416356"/>
      <w:docPartObj>
        <w:docPartGallery w:val="Page Numbers (Bottom of Page)"/>
        <w:docPartUnique/>
      </w:docPartObj>
    </w:sdtPr>
    <w:sdtEndPr>
      <w:rPr>
        <w:rFonts w:ascii="Arial" w:hAnsi="Arial" w:cs="Arial"/>
        <w:noProof/>
      </w:rPr>
    </w:sdtEndPr>
    <w:sdtContent>
      <w:p w14:paraId="62F48E0E" w14:textId="493AC10A" w:rsidR="009C4A32" w:rsidRPr="009C4A32" w:rsidRDefault="009C4A32">
        <w:pPr>
          <w:pStyle w:val="Footer"/>
          <w:jc w:val="center"/>
          <w:rPr>
            <w:rFonts w:ascii="Arial" w:hAnsi="Arial" w:cs="Arial"/>
          </w:rPr>
        </w:pPr>
        <w:r w:rsidRPr="009C4A32">
          <w:rPr>
            <w:rFonts w:ascii="Arial" w:hAnsi="Arial" w:cs="Arial"/>
          </w:rPr>
          <w:fldChar w:fldCharType="begin"/>
        </w:r>
        <w:r w:rsidRPr="009C4A32">
          <w:rPr>
            <w:rFonts w:ascii="Arial" w:hAnsi="Arial" w:cs="Arial"/>
          </w:rPr>
          <w:instrText xml:space="preserve"> PAGE   \* MERGEFORMAT </w:instrText>
        </w:r>
        <w:r w:rsidRPr="009C4A32">
          <w:rPr>
            <w:rFonts w:ascii="Arial" w:hAnsi="Arial" w:cs="Arial"/>
          </w:rPr>
          <w:fldChar w:fldCharType="separate"/>
        </w:r>
        <w:r w:rsidRPr="009C4A32">
          <w:rPr>
            <w:rFonts w:ascii="Arial" w:hAnsi="Arial" w:cs="Arial"/>
            <w:noProof/>
          </w:rPr>
          <w:t>2</w:t>
        </w:r>
        <w:r w:rsidRPr="009C4A32">
          <w:rPr>
            <w:rFonts w:ascii="Arial" w:hAnsi="Arial" w:cs="Arial"/>
            <w:noProof/>
          </w:rPr>
          <w:fldChar w:fldCharType="end"/>
        </w:r>
      </w:p>
    </w:sdtContent>
  </w:sdt>
  <w:p w14:paraId="00EE5918" w14:textId="77777777" w:rsidR="00184EB9" w:rsidRDefault="00184E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73440715"/>
      <w:docPartObj>
        <w:docPartGallery w:val="Page Numbers (Bottom of Page)"/>
        <w:docPartUnique/>
      </w:docPartObj>
    </w:sdtPr>
    <w:sdtEndPr>
      <w:rPr>
        <w:rFonts w:ascii="Arial" w:hAnsi="Arial" w:cs="Arial"/>
        <w:noProof/>
      </w:rPr>
    </w:sdtEndPr>
    <w:sdtContent>
      <w:p w14:paraId="5337E03F" w14:textId="77777777" w:rsidR="00572106" w:rsidRPr="009C4A32" w:rsidRDefault="00572106">
        <w:pPr>
          <w:pStyle w:val="Footer"/>
          <w:jc w:val="center"/>
          <w:rPr>
            <w:rFonts w:ascii="Arial" w:hAnsi="Arial" w:cs="Arial"/>
          </w:rPr>
        </w:pPr>
        <w:r w:rsidRPr="009C4A32">
          <w:rPr>
            <w:rFonts w:ascii="Arial" w:hAnsi="Arial" w:cs="Arial"/>
          </w:rPr>
          <w:fldChar w:fldCharType="begin"/>
        </w:r>
        <w:r w:rsidRPr="009C4A32">
          <w:rPr>
            <w:rFonts w:ascii="Arial" w:hAnsi="Arial" w:cs="Arial"/>
          </w:rPr>
          <w:instrText xml:space="preserve"> PAGE   \* MERGEFORMAT </w:instrText>
        </w:r>
        <w:r w:rsidRPr="009C4A32">
          <w:rPr>
            <w:rFonts w:ascii="Arial" w:hAnsi="Arial" w:cs="Arial"/>
          </w:rPr>
          <w:fldChar w:fldCharType="separate"/>
        </w:r>
        <w:r w:rsidRPr="009C4A32">
          <w:rPr>
            <w:rFonts w:ascii="Arial" w:hAnsi="Arial" w:cs="Arial"/>
            <w:noProof/>
          </w:rPr>
          <w:t>2</w:t>
        </w:r>
        <w:r w:rsidRPr="009C4A32">
          <w:rPr>
            <w:rFonts w:ascii="Arial" w:hAnsi="Arial" w:cs="Arial"/>
            <w:noProof/>
          </w:rPr>
          <w:fldChar w:fldCharType="end"/>
        </w:r>
      </w:p>
    </w:sdtContent>
  </w:sdt>
  <w:p w14:paraId="21A2A3D6" w14:textId="77777777" w:rsidR="00572106" w:rsidRDefault="005721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619C4C" w14:textId="77777777" w:rsidR="004C2581" w:rsidRDefault="004C2581" w:rsidP="000704F5">
      <w:pPr>
        <w:spacing w:after="0" w:line="240" w:lineRule="auto"/>
      </w:pPr>
      <w:r>
        <w:separator/>
      </w:r>
    </w:p>
  </w:footnote>
  <w:footnote w:type="continuationSeparator" w:id="0">
    <w:p w14:paraId="7472F3CC" w14:textId="77777777" w:rsidR="004C2581" w:rsidRDefault="004C2581" w:rsidP="000704F5">
      <w:pPr>
        <w:spacing w:after="0" w:line="240" w:lineRule="auto"/>
      </w:pPr>
      <w:r>
        <w:continuationSeparator/>
      </w:r>
    </w:p>
  </w:footnote>
  <w:footnote w:type="continuationNotice" w:id="1">
    <w:p w14:paraId="078BE30E" w14:textId="77777777" w:rsidR="004C2581" w:rsidRDefault="004C258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1C7697" w14:textId="77777777" w:rsidR="00572106" w:rsidRDefault="005721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283DF4"/>
    <w:multiLevelType w:val="multilevel"/>
    <w:tmpl w:val="32486E38"/>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 w15:restartNumberingAfterBreak="0">
    <w:nsid w:val="727B1E2B"/>
    <w:multiLevelType w:val="multilevel"/>
    <w:tmpl w:val="A64C464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7B966B40"/>
    <w:multiLevelType w:val="hybridMultilevel"/>
    <w:tmpl w:val="AB544D6E"/>
    <w:lvl w:ilvl="0" w:tplc="0C64D83A">
      <w:start w:val="1"/>
      <w:numFmt w:val="bullet"/>
      <w:lvlText w:val=""/>
      <w:lvlJc w:val="left"/>
      <w:pPr>
        <w:tabs>
          <w:tab w:val="num" w:pos="720"/>
        </w:tabs>
        <w:ind w:left="720" w:hanging="360"/>
      </w:pPr>
      <w:rPr>
        <w:rFonts w:ascii="Wingdings" w:hAnsi="Wingdings" w:hint="default"/>
      </w:rPr>
    </w:lvl>
    <w:lvl w:ilvl="1" w:tplc="B5B4702E">
      <w:start w:val="1"/>
      <w:numFmt w:val="bullet"/>
      <w:lvlText w:val=""/>
      <w:lvlJc w:val="left"/>
      <w:pPr>
        <w:tabs>
          <w:tab w:val="num" w:pos="1440"/>
        </w:tabs>
        <w:ind w:left="1440" w:hanging="360"/>
      </w:pPr>
      <w:rPr>
        <w:rFonts w:ascii="Wingdings" w:hAnsi="Wingdings" w:hint="default"/>
      </w:rPr>
    </w:lvl>
    <w:lvl w:ilvl="2" w:tplc="16DC6462" w:tentative="1">
      <w:start w:val="1"/>
      <w:numFmt w:val="bullet"/>
      <w:lvlText w:val=""/>
      <w:lvlJc w:val="left"/>
      <w:pPr>
        <w:tabs>
          <w:tab w:val="num" w:pos="2160"/>
        </w:tabs>
        <w:ind w:left="2160" w:hanging="360"/>
      </w:pPr>
      <w:rPr>
        <w:rFonts w:ascii="Wingdings" w:hAnsi="Wingdings" w:hint="default"/>
      </w:rPr>
    </w:lvl>
    <w:lvl w:ilvl="3" w:tplc="6A28D896" w:tentative="1">
      <w:start w:val="1"/>
      <w:numFmt w:val="bullet"/>
      <w:lvlText w:val=""/>
      <w:lvlJc w:val="left"/>
      <w:pPr>
        <w:tabs>
          <w:tab w:val="num" w:pos="2880"/>
        </w:tabs>
        <w:ind w:left="2880" w:hanging="360"/>
      </w:pPr>
      <w:rPr>
        <w:rFonts w:ascii="Wingdings" w:hAnsi="Wingdings" w:hint="default"/>
      </w:rPr>
    </w:lvl>
    <w:lvl w:ilvl="4" w:tplc="7D102E1C" w:tentative="1">
      <w:start w:val="1"/>
      <w:numFmt w:val="bullet"/>
      <w:lvlText w:val=""/>
      <w:lvlJc w:val="left"/>
      <w:pPr>
        <w:tabs>
          <w:tab w:val="num" w:pos="3600"/>
        </w:tabs>
        <w:ind w:left="3600" w:hanging="360"/>
      </w:pPr>
      <w:rPr>
        <w:rFonts w:ascii="Wingdings" w:hAnsi="Wingdings" w:hint="default"/>
      </w:rPr>
    </w:lvl>
    <w:lvl w:ilvl="5" w:tplc="5F82588A" w:tentative="1">
      <w:start w:val="1"/>
      <w:numFmt w:val="bullet"/>
      <w:lvlText w:val=""/>
      <w:lvlJc w:val="left"/>
      <w:pPr>
        <w:tabs>
          <w:tab w:val="num" w:pos="4320"/>
        </w:tabs>
        <w:ind w:left="4320" w:hanging="360"/>
      </w:pPr>
      <w:rPr>
        <w:rFonts w:ascii="Wingdings" w:hAnsi="Wingdings" w:hint="default"/>
      </w:rPr>
    </w:lvl>
    <w:lvl w:ilvl="6" w:tplc="1E643610" w:tentative="1">
      <w:start w:val="1"/>
      <w:numFmt w:val="bullet"/>
      <w:lvlText w:val=""/>
      <w:lvlJc w:val="left"/>
      <w:pPr>
        <w:tabs>
          <w:tab w:val="num" w:pos="5040"/>
        </w:tabs>
        <w:ind w:left="5040" w:hanging="360"/>
      </w:pPr>
      <w:rPr>
        <w:rFonts w:ascii="Wingdings" w:hAnsi="Wingdings" w:hint="default"/>
      </w:rPr>
    </w:lvl>
    <w:lvl w:ilvl="7" w:tplc="8DC0839C" w:tentative="1">
      <w:start w:val="1"/>
      <w:numFmt w:val="bullet"/>
      <w:lvlText w:val=""/>
      <w:lvlJc w:val="left"/>
      <w:pPr>
        <w:tabs>
          <w:tab w:val="num" w:pos="5760"/>
        </w:tabs>
        <w:ind w:left="5760" w:hanging="360"/>
      </w:pPr>
      <w:rPr>
        <w:rFonts w:ascii="Wingdings" w:hAnsi="Wingdings" w:hint="default"/>
      </w:rPr>
    </w:lvl>
    <w:lvl w:ilvl="8" w:tplc="6BF068C6"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7D1D04C0"/>
    <w:multiLevelType w:val="multilevel"/>
    <w:tmpl w:val="E600163C"/>
    <w:lvl w:ilvl="0">
      <w:start w:val="1"/>
      <w:numFmt w:val="decimal"/>
      <w:lvlText w:val="%1"/>
      <w:lvlJc w:val="left"/>
      <w:pPr>
        <w:ind w:left="0" w:firstLine="0"/>
      </w:pPr>
      <w:rPr>
        <w:rFonts w:ascii="Cambria" w:eastAsia="Cambria" w:hAnsi="Cambria" w:cs="Cambria"/>
        <w:b/>
        <w:bCs/>
        <w:i w:val="0"/>
        <w:strike w:val="0"/>
        <w:dstrike w:val="0"/>
        <w:color w:val="000000"/>
        <w:sz w:val="24"/>
        <w:szCs w:val="24"/>
        <w:u w:val="none" w:color="000000"/>
        <w:effect w:val="none"/>
        <w:bdr w:val="none" w:sz="0" w:space="0" w:color="auto" w:frame="1"/>
        <w:vertAlign w:val="baseline"/>
      </w:rPr>
    </w:lvl>
    <w:lvl w:ilvl="1">
      <w:start w:val="1"/>
      <w:numFmt w:val="decimal"/>
      <w:lvlText w:val="%1.%2"/>
      <w:lvlJc w:val="left"/>
      <w:pPr>
        <w:ind w:left="0" w:firstLine="0"/>
      </w:pPr>
      <w:rPr>
        <w:rFonts w:ascii="Cambria" w:eastAsia="Cambria" w:hAnsi="Cambria" w:cs="Cambria"/>
        <w:b/>
        <w:bCs/>
        <w:i w:val="0"/>
        <w:strike w:val="0"/>
        <w:dstrike w:val="0"/>
        <w:color w:val="000000"/>
        <w:sz w:val="20"/>
        <w:szCs w:val="20"/>
        <w:u w:val="none" w:color="000000"/>
        <w:effect w:val="none"/>
        <w:bdr w:val="none" w:sz="0" w:space="0" w:color="auto" w:frame="1"/>
        <w:vertAlign w:val="baseline"/>
      </w:rPr>
    </w:lvl>
    <w:lvl w:ilvl="2">
      <w:start w:val="1"/>
      <w:numFmt w:val="lowerRoman"/>
      <w:lvlText w:val="%3"/>
      <w:lvlJc w:val="left"/>
      <w:pPr>
        <w:ind w:left="1080" w:firstLine="0"/>
      </w:pPr>
      <w:rPr>
        <w:rFonts w:ascii="Cambria" w:eastAsia="Cambria" w:hAnsi="Cambria" w:cs="Cambria"/>
        <w:b/>
        <w:bCs/>
        <w:i w:val="0"/>
        <w:strike w:val="0"/>
        <w:dstrike w:val="0"/>
        <w:color w:val="000000"/>
        <w:sz w:val="20"/>
        <w:szCs w:val="20"/>
        <w:u w:val="none" w:color="000000"/>
        <w:effect w:val="none"/>
        <w:bdr w:val="none" w:sz="0" w:space="0" w:color="auto" w:frame="1"/>
        <w:vertAlign w:val="baseline"/>
      </w:rPr>
    </w:lvl>
    <w:lvl w:ilvl="3">
      <w:start w:val="1"/>
      <w:numFmt w:val="decimal"/>
      <w:lvlText w:val="%4"/>
      <w:lvlJc w:val="left"/>
      <w:pPr>
        <w:ind w:left="1800" w:firstLine="0"/>
      </w:pPr>
      <w:rPr>
        <w:rFonts w:ascii="Cambria" w:eastAsia="Cambria" w:hAnsi="Cambria" w:cs="Cambria"/>
        <w:b/>
        <w:bCs/>
        <w:i w:val="0"/>
        <w:strike w:val="0"/>
        <w:dstrike w:val="0"/>
        <w:color w:val="000000"/>
        <w:sz w:val="20"/>
        <w:szCs w:val="20"/>
        <w:u w:val="none" w:color="000000"/>
        <w:effect w:val="none"/>
        <w:bdr w:val="none" w:sz="0" w:space="0" w:color="auto" w:frame="1"/>
        <w:vertAlign w:val="baseline"/>
      </w:rPr>
    </w:lvl>
    <w:lvl w:ilvl="4">
      <w:start w:val="1"/>
      <w:numFmt w:val="lowerLetter"/>
      <w:lvlText w:val="%5"/>
      <w:lvlJc w:val="left"/>
      <w:pPr>
        <w:ind w:left="2520" w:firstLine="0"/>
      </w:pPr>
      <w:rPr>
        <w:rFonts w:ascii="Cambria" w:eastAsia="Cambria" w:hAnsi="Cambria" w:cs="Cambria"/>
        <w:b/>
        <w:bCs/>
        <w:i w:val="0"/>
        <w:strike w:val="0"/>
        <w:dstrike w:val="0"/>
        <w:color w:val="000000"/>
        <w:sz w:val="20"/>
        <w:szCs w:val="20"/>
        <w:u w:val="none" w:color="000000"/>
        <w:effect w:val="none"/>
        <w:bdr w:val="none" w:sz="0" w:space="0" w:color="auto" w:frame="1"/>
        <w:vertAlign w:val="baseline"/>
      </w:rPr>
    </w:lvl>
    <w:lvl w:ilvl="5">
      <w:start w:val="1"/>
      <w:numFmt w:val="lowerRoman"/>
      <w:lvlText w:val="%6"/>
      <w:lvlJc w:val="left"/>
      <w:pPr>
        <w:ind w:left="3240" w:firstLine="0"/>
      </w:pPr>
      <w:rPr>
        <w:rFonts w:ascii="Cambria" w:eastAsia="Cambria" w:hAnsi="Cambria" w:cs="Cambria"/>
        <w:b/>
        <w:bCs/>
        <w:i w:val="0"/>
        <w:strike w:val="0"/>
        <w:dstrike w:val="0"/>
        <w:color w:val="000000"/>
        <w:sz w:val="20"/>
        <w:szCs w:val="20"/>
        <w:u w:val="none" w:color="000000"/>
        <w:effect w:val="none"/>
        <w:bdr w:val="none" w:sz="0" w:space="0" w:color="auto" w:frame="1"/>
        <w:vertAlign w:val="baseline"/>
      </w:rPr>
    </w:lvl>
    <w:lvl w:ilvl="6">
      <w:start w:val="1"/>
      <w:numFmt w:val="decimal"/>
      <w:lvlText w:val="%7"/>
      <w:lvlJc w:val="left"/>
      <w:pPr>
        <w:ind w:left="3960" w:firstLine="0"/>
      </w:pPr>
      <w:rPr>
        <w:rFonts w:ascii="Cambria" w:eastAsia="Cambria" w:hAnsi="Cambria" w:cs="Cambria"/>
        <w:b/>
        <w:bCs/>
        <w:i w:val="0"/>
        <w:strike w:val="0"/>
        <w:dstrike w:val="0"/>
        <w:color w:val="000000"/>
        <w:sz w:val="20"/>
        <w:szCs w:val="20"/>
        <w:u w:val="none" w:color="000000"/>
        <w:effect w:val="none"/>
        <w:bdr w:val="none" w:sz="0" w:space="0" w:color="auto" w:frame="1"/>
        <w:vertAlign w:val="baseline"/>
      </w:rPr>
    </w:lvl>
    <w:lvl w:ilvl="7">
      <w:start w:val="1"/>
      <w:numFmt w:val="lowerLetter"/>
      <w:lvlText w:val="%8"/>
      <w:lvlJc w:val="left"/>
      <w:pPr>
        <w:ind w:left="4680" w:firstLine="0"/>
      </w:pPr>
      <w:rPr>
        <w:rFonts w:ascii="Cambria" w:eastAsia="Cambria" w:hAnsi="Cambria" w:cs="Cambria"/>
        <w:b/>
        <w:bCs/>
        <w:i w:val="0"/>
        <w:strike w:val="0"/>
        <w:dstrike w:val="0"/>
        <w:color w:val="000000"/>
        <w:sz w:val="20"/>
        <w:szCs w:val="20"/>
        <w:u w:val="none" w:color="000000"/>
        <w:effect w:val="none"/>
        <w:bdr w:val="none" w:sz="0" w:space="0" w:color="auto" w:frame="1"/>
        <w:vertAlign w:val="baseline"/>
      </w:rPr>
    </w:lvl>
    <w:lvl w:ilvl="8">
      <w:start w:val="1"/>
      <w:numFmt w:val="lowerRoman"/>
      <w:lvlText w:val="%9"/>
      <w:lvlJc w:val="left"/>
      <w:pPr>
        <w:ind w:left="5400" w:firstLine="0"/>
      </w:pPr>
      <w:rPr>
        <w:rFonts w:ascii="Cambria" w:eastAsia="Cambria" w:hAnsi="Cambria" w:cs="Cambria"/>
        <w:b/>
        <w:bCs/>
        <w:i w:val="0"/>
        <w:strike w:val="0"/>
        <w:dstrike w:val="0"/>
        <w:color w:val="000000"/>
        <w:sz w:val="20"/>
        <w:szCs w:val="20"/>
        <w:u w:val="none" w:color="000000"/>
        <w:effect w:val="none"/>
        <w:bdr w:val="none" w:sz="0" w:space="0" w:color="auto" w:frame="1"/>
        <w:vertAlign w:val="baseline"/>
      </w:rPr>
    </w:lvl>
  </w:abstractNum>
  <w:num w:numId="1" w16cid:durableId="632712556">
    <w:abstractNumId w:val="1"/>
  </w:num>
  <w:num w:numId="2" w16cid:durableId="76534517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6527046">
    <w:abstractNumId w:val="0"/>
  </w:num>
  <w:num w:numId="4" w16cid:durableId="13867551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c2MDQzMbI0NzKyMDRV0lEKTi0uzszPAykwtqgFAEiJ/KgtAAAA"/>
  </w:docVars>
  <w:rsids>
    <w:rsidRoot w:val="00580211"/>
    <w:rsid w:val="00000CC6"/>
    <w:rsid w:val="00001435"/>
    <w:rsid w:val="00002A18"/>
    <w:rsid w:val="00005C06"/>
    <w:rsid w:val="000101E9"/>
    <w:rsid w:val="000146BF"/>
    <w:rsid w:val="00014962"/>
    <w:rsid w:val="00014D43"/>
    <w:rsid w:val="0001539E"/>
    <w:rsid w:val="0001702C"/>
    <w:rsid w:val="00022FEF"/>
    <w:rsid w:val="000241EB"/>
    <w:rsid w:val="00024728"/>
    <w:rsid w:val="00027B45"/>
    <w:rsid w:val="000303E4"/>
    <w:rsid w:val="000311AD"/>
    <w:rsid w:val="000334DF"/>
    <w:rsid w:val="00034255"/>
    <w:rsid w:val="00034DF9"/>
    <w:rsid w:val="000357D3"/>
    <w:rsid w:val="00035F0C"/>
    <w:rsid w:val="00037104"/>
    <w:rsid w:val="00042686"/>
    <w:rsid w:val="0004372E"/>
    <w:rsid w:val="00045C1E"/>
    <w:rsid w:val="000466B5"/>
    <w:rsid w:val="00046AC8"/>
    <w:rsid w:val="0004714C"/>
    <w:rsid w:val="0005154A"/>
    <w:rsid w:val="00051FD8"/>
    <w:rsid w:val="00052BD2"/>
    <w:rsid w:val="00061845"/>
    <w:rsid w:val="00064802"/>
    <w:rsid w:val="000666C5"/>
    <w:rsid w:val="00066EBF"/>
    <w:rsid w:val="000704F5"/>
    <w:rsid w:val="0007252C"/>
    <w:rsid w:val="00072806"/>
    <w:rsid w:val="0007461E"/>
    <w:rsid w:val="0007750E"/>
    <w:rsid w:val="000811C3"/>
    <w:rsid w:val="000850D5"/>
    <w:rsid w:val="00085583"/>
    <w:rsid w:val="000859A1"/>
    <w:rsid w:val="000868CD"/>
    <w:rsid w:val="00086D36"/>
    <w:rsid w:val="00087090"/>
    <w:rsid w:val="00087CFC"/>
    <w:rsid w:val="00087DBE"/>
    <w:rsid w:val="0009020C"/>
    <w:rsid w:val="00091B5C"/>
    <w:rsid w:val="00091E38"/>
    <w:rsid w:val="00092B02"/>
    <w:rsid w:val="00092BA7"/>
    <w:rsid w:val="00096A58"/>
    <w:rsid w:val="000A27D3"/>
    <w:rsid w:val="000A37AD"/>
    <w:rsid w:val="000A514D"/>
    <w:rsid w:val="000A51A9"/>
    <w:rsid w:val="000A62F8"/>
    <w:rsid w:val="000B244B"/>
    <w:rsid w:val="000B4A8C"/>
    <w:rsid w:val="000B5E71"/>
    <w:rsid w:val="000B7C2E"/>
    <w:rsid w:val="000C05E0"/>
    <w:rsid w:val="000C416B"/>
    <w:rsid w:val="000C5040"/>
    <w:rsid w:val="000C5C5B"/>
    <w:rsid w:val="000C5F3A"/>
    <w:rsid w:val="000C68A2"/>
    <w:rsid w:val="000C6CE8"/>
    <w:rsid w:val="000C7FFE"/>
    <w:rsid w:val="000D210E"/>
    <w:rsid w:val="000D402E"/>
    <w:rsid w:val="000D40E1"/>
    <w:rsid w:val="000D5F0C"/>
    <w:rsid w:val="000D688D"/>
    <w:rsid w:val="000D7F2B"/>
    <w:rsid w:val="000E19FA"/>
    <w:rsid w:val="000E2072"/>
    <w:rsid w:val="000E2ED1"/>
    <w:rsid w:val="000E385E"/>
    <w:rsid w:val="000E3CCF"/>
    <w:rsid w:val="000E421C"/>
    <w:rsid w:val="000E4271"/>
    <w:rsid w:val="000E481F"/>
    <w:rsid w:val="000E537C"/>
    <w:rsid w:val="000E6933"/>
    <w:rsid w:val="000E7682"/>
    <w:rsid w:val="000F2236"/>
    <w:rsid w:val="000F2679"/>
    <w:rsid w:val="000F307D"/>
    <w:rsid w:val="000F34A9"/>
    <w:rsid w:val="000F4B34"/>
    <w:rsid w:val="000F6FE8"/>
    <w:rsid w:val="000F77D1"/>
    <w:rsid w:val="00104079"/>
    <w:rsid w:val="0010724C"/>
    <w:rsid w:val="00111856"/>
    <w:rsid w:val="00114679"/>
    <w:rsid w:val="00114FD2"/>
    <w:rsid w:val="00115D6D"/>
    <w:rsid w:val="001168CF"/>
    <w:rsid w:val="001207AF"/>
    <w:rsid w:val="00120D03"/>
    <w:rsid w:val="00121D8B"/>
    <w:rsid w:val="00124703"/>
    <w:rsid w:val="00125C79"/>
    <w:rsid w:val="00130E56"/>
    <w:rsid w:val="0013389C"/>
    <w:rsid w:val="00136D4A"/>
    <w:rsid w:val="001419E0"/>
    <w:rsid w:val="00142604"/>
    <w:rsid w:val="00142FFC"/>
    <w:rsid w:val="0014470B"/>
    <w:rsid w:val="0014525E"/>
    <w:rsid w:val="001463BE"/>
    <w:rsid w:val="00153822"/>
    <w:rsid w:val="00154BA0"/>
    <w:rsid w:val="0015584F"/>
    <w:rsid w:val="001563BD"/>
    <w:rsid w:val="00160808"/>
    <w:rsid w:val="00162D83"/>
    <w:rsid w:val="00166BB7"/>
    <w:rsid w:val="001679F3"/>
    <w:rsid w:val="00170764"/>
    <w:rsid w:val="0017134F"/>
    <w:rsid w:val="00171629"/>
    <w:rsid w:val="00172B65"/>
    <w:rsid w:val="00174E25"/>
    <w:rsid w:val="00177204"/>
    <w:rsid w:val="00177670"/>
    <w:rsid w:val="00182CA1"/>
    <w:rsid w:val="00183196"/>
    <w:rsid w:val="001845B7"/>
    <w:rsid w:val="00184EB9"/>
    <w:rsid w:val="00185D69"/>
    <w:rsid w:val="00190FD3"/>
    <w:rsid w:val="00192E8A"/>
    <w:rsid w:val="00193A08"/>
    <w:rsid w:val="001A2AEE"/>
    <w:rsid w:val="001A33E8"/>
    <w:rsid w:val="001A7F2C"/>
    <w:rsid w:val="001B057F"/>
    <w:rsid w:val="001B1216"/>
    <w:rsid w:val="001B2087"/>
    <w:rsid w:val="001B29F2"/>
    <w:rsid w:val="001B308C"/>
    <w:rsid w:val="001B4F0B"/>
    <w:rsid w:val="001B6224"/>
    <w:rsid w:val="001B6280"/>
    <w:rsid w:val="001B636B"/>
    <w:rsid w:val="001B6544"/>
    <w:rsid w:val="001B67A0"/>
    <w:rsid w:val="001C7973"/>
    <w:rsid w:val="001D1340"/>
    <w:rsid w:val="001D20C3"/>
    <w:rsid w:val="001D38E8"/>
    <w:rsid w:val="001D5242"/>
    <w:rsid w:val="001D5F41"/>
    <w:rsid w:val="001D5F87"/>
    <w:rsid w:val="001D6296"/>
    <w:rsid w:val="001E36B9"/>
    <w:rsid w:val="001E4CA2"/>
    <w:rsid w:val="001E6E4E"/>
    <w:rsid w:val="001F3622"/>
    <w:rsid w:val="001F3766"/>
    <w:rsid w:val="001F610E"/>
    <w:rsid w:val="0020080E"/>
    <w:rsid w:val="00200E2B"/>
    <w:rsid w:val="00201B98"/>
    <w:rsid w:val="00202AA9"/>
    <w:rsid w:val="00202B2B"/>
    <w:rsid w:val="00203492"/>
    <w:rsid w:val="00204A21"/>
    <w:rsid w:val="0020537F"/>
    <w:rsid w:val="002073FB"/>
    <w:rsid w:val="00210151"/>
    <w:rsid w:val="0021081C"/>
    <w:rsid w:val="00210AEA"/>
    <w:rsid w:val="002122E5"/>
    <w:rsid w:val="002128CF"/>
    <w:rsid w:val="00216EA2"/>
    <w:rsid w:val="00217E24"/>
    <w:rsid w:val="00223A13"/>
    <w:rsid w:val="00223FA9"/>
    <w:rsid w:val="00224642"/>
    <w:rsid w:val="00224E08"/>
    <w:rsid w:val="00226B13"/>
    <w:rsid w:val="00230640"/>
    <w:rsid w:val="00231A67"/>
    <w:rsid w:val="00231ED6"/>
    <w:rsid w:val="002332D5"/>
    <w:rsid w:val="00233777"/>
    <w:rsid w:val="00235961"/>
    <w:rsid w:val="00241ACA"/>
    <w:rsid w:val="002441E5"/>
    <w:rsid w:val="00244E5D"/>
    <w:rsid w:val="00247101"/>
    <w:rsid w:val="00251234"/>
    <w:rsid w:val="002535B8"/>
    <w:rsid w:val="0025380C"/>
    <w:rsid w:val="00255AA5"/>
    <w:rsid w:val="002565B5"/>
    <w:rsid w:val="00256E60"/>
    <w:rsid w:val="002573E2"/>
    <w:rsid w:val="00263361"/>
    <w:rsid w:val="002637E0"/>
    <w:rsid w:val="00264D33"/>
    <w:rsid w:val="00264F10"/>
    <w:rsid w:val="002650C7"/>
    <w:rsid w:val="0026619B"/>
    <w:rsid w:val="002734E7"/>
    <w:rsid w:val="0027607D"/>
    <w:rsid w:val="00281835"/>
    <w:rsid w:val="00285ED4"/>
    <w:rsid w:val="00286D1F"/>
    <w:rsid w:val="002929F4"/>
    <w:rsid w:val="00292B38"/>
    <w:rsid w:val="00293EF5"/>
    <w:rsid w:val="00294355"/>
    <w:rsid w:val="0029573B"/>
    <w:rsid w:val="002A1832"/>
    <w:rsid w:val="002A3CB3"/>
    <w:rsid w:val="002A40F0"/>
    <w:rsid w:val="002A4B1C"/>
    <w:rsid w:val="002B0E8A"/>
    <w:rsid w:val="002B1A29"/>
    <w:rsid w:val="002B1FB3"/>
    <w:rsid w:val="002C067B"/>
    <w:rsid w:val="002C11CC"/>
    <w:rsid w:val="002C6488"/>
    <w:rsid w:val="002C70C7"/>
    <w:rsid w:val="002D1B70"/>
    <w:rsid w:val="002D27C0"/>
    <w:rsid w:val="002D5B42"/>
    <w:rsid w:val="002D72D7"/>
    <w:rsid w:val="002D7780"/>
    <w:rsid w:val="002E2A29"/>
    <w:rsid w:val="002E3041"/>
    <w:rsid w:val="002E3195"/>
    <w:rsid w:val="002E34DA"/>
    <w:rsid w:val="002E3F1C"/>
    <w:rsid w:val="002E5293"/>
    <w:rsid w:val="002E5D41"/>
    <w:rsid w:val="002F0690"/>
    <w:rsid w:val="002F0D41"/>
    <w:rsid w:val="002F3E35"/>
    <w:rsid w:val="002F4A17"/>
    <w:rsid w:val="002F646A"/>
    <w:rsid w:val="002F7339"/>
    <w:rsid w:val="00301212"/>
    <w:rsid w:val="0030179D"/>
    <w:rsid w:val="00301AF4"/>
    <w:rsid w:val="003022AD"/>
    <w:rsid w:val="003039AE"/>
    <w:rsid w:val="00304E10"/>
    <w:rsid w:val="00305197"/>
    <w:rsid w:val="0030529D"/>
    <w:rsid w:val="00306414"/>
    <w:rsid w:val="00306513"/>
    <w:rsid w:val="00307BD5"/>
    <w:rsid w:val="00313A1F"/>
    <w:rsid w:val="00315512"/>
    <w:rsid w:val="00316FEE"/>
    <w:rsid w:val="00317FF5"/>
    <w:rsid w:val="003208CA"/>
    <w:rsid w:val="00322519"/>
    <w:rsid w:val="00322DE7"/>
    <w:rsid w:val="00323277"/>
    <w:rsid w:val="00323E15"/>
    <w:rsid w:val="00324160"/>
    <w:rsid w:val="00324337"/>
    <w:rsid w:val="00325544"/>
    <w:rsid w:val="00325D48"/>
    <w:rsid w:val="00334B40"/>
    <w:rsid w:val="00334D11"/>
    <w:rsid w:val="00335149"/>
    <w:rsid w:val="00335460"/>
    <w:rsid w:val="00340611"/>
    <w:rsid w:val="00340E54"/>
    <w:rsid w:val="0034160C"/>
    <w:rsid w:val="0034183C"/>
    <w:rsid w:val="00345473"/>
    <w:rsid w:val="00346FA5"/>
    <w:rsid w:val="00347F08"/>
    <w:rsid w:val="00350FC1"/>
    <w:rsid w:val="003518C9"/>
    <w:rsid w:val="00352DE3"/>
    <w:rsid w:val="00352FD0"/>
    <w:rsid w:val="00353879"/>
    <w:rsid w:val="00356A52"/>
    <w:rsid w:val="00356FC1"/>
    <w:rsid w:val="003572AB"/>
    <w:rsid w:val="00361030"/>
    <w:rsid w:val="00362CE4"/>
    <w:rsid w:val="003654B9"/>
    <w:rsid w:val="00365E54"/>
    <w:rsid w:val="00366DF1"/>
    <w:rsid w:val="00373645"/>
    <w:rsid w:val="00373F1D"/>
    <w:rsid w:val="003755AC"/>
    <w:rsid w:val="00375D5D"/>
    <w:rsid w:val="003824DA"/>
    <w:rsid w:val="003869CB"/>
    <w:rsid w:val="00386FBD"/>
    <w:rsid w:val="003901B8"/>
    <w:rsid w:val="00391891"/>
    <w:rsid w:val="00392BAE"/>
    <w:rsid w:val="0039367B"/>
    <w:rsid w:val="00393A14"/>
    <w:rsid w:val="00393E8E"/>
    <w:rsid w:val="00394801"/>
    <w:rsid w:val="00396A7A"/>
    <w:rsid w:val="00397F2F"/>
    <w:rsid w:val="003A0B31"/>
    <w:rsid w:val="003A1213"/>
    <w:rsid w:val="003A22C3"/>
    <w:rsid w:val="003A534C"/>
    <w:rsid w:val="003B0750"/>
    <w:rsid w:val="003B297B"/>
    <w:rsid w:val="003B5A0D"/>
    <w:rsid w:val="003B5E58"/>
    <w:rsid w:val="003C182E"/>
    <w:rsid w:val="003C562E"/>
    <w:rsid w:val="003C6111"/>
    <w:rsid w:val="003C7752"/>
    <w:rsid w:val="003C7A6E"/>
    <w:rsid w:val="003D145A"/>
    <w:rsid w:val="003D2C5E"/>
    <w:rsid w:val="003D5A66"/>
    <w:rsid w:val="003D6504"/>
    <w:rsid w:val="003D66F2"/>
    <w:rsid w:val="003D6A29"/>
    <w:rsid w:val="003D7721"/>
    <w:rsid w:val="003E0ED6"/>
    <w:rsid w:val="003E2A3F"/>
    <w:rsid w:val="003E41B6"/>
    <w:rsid w:val="003E59AB"/>
    <w:rsid w:val="003E5ECD"/>
    <w:rsid w:val="003E611F"/>
    <w:rsid w:val="003E6EFE"/>
    <w:rsid w:val="003F23F0"/>
    <w:rsid w:val="003F241C"/>
    <w:rsid w:val="003F3CA3"/>
    <w:rsid w:val="003F42C0"/>
    <w:rsid w:val="003F6B78"/>
    <w:rsid w:val="00403E67"/>
    <w:rsid w:val="0040424F"/>
    <w:rsid w:val="004050A5"/>
    <w:rsid w:val="0041050A"/>
    <w:rsid w:val="0041143E"/>
    <w:rsid w:val="004124FF"/>
    <w:rsid w:val="0041262A"/>
    <w:rsid w:val="00412662"/>
    <w:rsid w:val="00413281"/>
    <w:rsid w:val="00414916"/>
    <w:rsid w:val="00420B04"/>
    <w:rsid w:val="00421D83"/>
    <w:rsid w:val="004250C5"/>
    <w:rsid w:val="0042636E"/>
    <w:rsid w:val="00427DC2"/>
    <w:rsid w:val="00431653"/>
    <w:rsid w:val="004325AD"/>
    <w:rsid w:val="00433A25"/>
    <w:rsid w:val="00433A36"/>
    <w:rsid w:val="004432A6"/>
    <w:rsid w:val="0044543A"/>
    <w:rsid w:val="0044649D"/>
    <w:rsid w:val="00450154"/>
    <w:rsid w:val="00452395"/>
    <w:rsid w:val="004544EB"/>
    <w:rsid w:val="004548DA"/>
    <w:rsid w:val="0045500F"/>
    <w:rsid w:val="004579A2"/>
    <w:rsid w:val="00457E86"/>
    <w:rsid w:val="00460CA0"/>
    <w:rsid w:val="004611B2"/>
    <w:rsid w:val="00461ED7"/>
    <w:rsid w:val="00462186"/>
    <w:rsid w:val="00462AB6"/>
    <w:rsid w:val="00463FB9"/>
    <w:rsid w:val="00465E55"/>
    <w:rsid w:val="00466E7F"/>
    <w:rsid w:val="004679E5"/>
    <w:rsid w:val="0047002A"/>
    <w:rsid w:val="004708D7"/>
    <w:rsid w:val="00472A90"/>
    <w:rsid w:val="00476503"/>
    <w:rsid w:val="00476685"/>
    <w:rsid w:val="00485842"/>
    <w:rsid w:val="004905D1"/>
    <w:rsid w:val="00490F64"/>
    <w:rsid w:val="00491E95"/>
    <w:rsid w:val="00492FAA"/>
    <w:rsid w:val="00494165"/>
    <w:rsid w:val="0049521D"/>
    <w:rsid w:val="004A1CC1"/>
    <w:rsid w:val="004A3E67"/>
    <w:rsid w:val="004A666C"/>
    <w:rsid w:val="004B057E"/>
    <w:rsid w:val="004B07AE"/>
    <w:rsid w:val="004B2A76"/>
    <w:rsid w:val="004B318F"/>
    <w:rsid w:val="004B4FF2"/>
    <w:rsid w:val="004B55F7"/>
    <w:rsid w:val="004B5C14"/>
    <w:rsid w:val="004B6333"/>
    <w:rsid w:val="004B65E8"/>
    <w:rsid w:val="004B7FE2"/>
    <w:rsid w:val="004C1588"/>
    <w:rsid w:val="004C2581"/>
    <w:rsid w:val="004C3107"/>
    <w:rsid w:val="004C3917"/>
    <w:rsid w:val="004C5D69"/>
    <w:rsid w:val="004C6C22"/>
    <w:rsid w:val="004D41C5"/>
    <w:rsid w:val="004D46EE"/>
    <w:rsid w:val="004D5946"/>
    <w:rsid w:val="004D7B36"/>
    <w:rsid w:val="004E0D50"/>
    <w:rsid w:val="004E0E70"/>
    <w:rsid w:val="004E2C5E"/>
    <w:rsid w:val="004E3723"/>
    <w:rsid w:val="004E40E1"/>
    <w:rsid w:val="004E463B"/>
    <w:rsid w:val="004E4FB7"/>
    <w:rsid w:val="004E5A22"/>
    <w:rsid w:val="004E6EB0"/>
    <w:rsid w:val="004F036B"/>
    <w:rsid w:val="004F26B2"/>
    <w:rsid w:val="004F618C"/>
    <w:rsid w:val="00501389"/>
    <w:rsid w:val="0050442D"/>
    <w:rsid w:val="00504C5A"/>
    <w:rsid w:val="0050572C"/>
    <w:rsid w:val="00506D23"/>
    <w:rsid w:val="0051338E"/>
    <w:rsid w:val="00517588"/>
    <w:rsid w:val="00517C70"/>
    <w:rsid w:val="005240AC"/>
    <w:rsid w:val="005241C9"/>
    <w:rsid w:val="00527E9B"/>
    <w:rsid w:val="00531E51"/>
    <w:rsid w:val="00532E70"/>
    <w:rsid w:val="0053544E"/>
    <w:rsid w:val="0053610B"/>
    <w:rsid w:val="00536E66"/>
    <w:rsid w:val="0053758A"/>
    <w:rsid w:val="00540B23"/>
    <w:rsid w:val="005427CB"/>
    <w:rsid w:val="00545088"/>
    <w:rsid w:val="005456DB"/>
    <w:rsid w:val="005459C2"/>
    <w:rsid w:val="0054684B"/>
    <w:rsid w:val="005477EA"/>
    <w:rsid w:val="00551474"/>
    <w:rsid w:val="00552346"/>
    <w:rsid w:val="00556B0D"/>
    <w:rsid w:val="00560EE0"/>
    <w:rsid w:val="00563CFC"/>
    <w:rsid w:val="00563D20"/>
    <w:rsid w:val="0056653C"/>
    <w:rsid w:val="00566F90"/>
    <w:rsid w:val="00567D0F"/>
    <w:rsid w:val="00571DEF"/>
    <w:rsid w:val="00572106"/>
    <w:rsid w:val="005750D2"/>
    <w:rsid w:val="00575A45"/>
    <w:rsid w:val="00580211"/>
    <w:rsid w:val="00581156"/>
    <w:rsid w:val="00581D89"/>
    <w:rsid w:val="005823D5"/>
    <w:rsid w:val="00582B0E"/>
    <w:rsid w:val="00584680"/>
    <w:rsid w:val="0058584A"/>
    <w:rsid w:val="00586D06"/>
    <w:rsid w:val="00586D8D"/>
    <w:rsid w:val="005903F0"/>
    <w:rsid w:val="005948B5"/>
    <w:rsid w:val="00595EA5"/>
    <w:rsid w:val="00596436"/>
    <w:rsid w:val="005A0598"/>
    <w:rsid w:val="005A15E4"/>
    <w:rsid w:val="005A231A"/>
    <w:rsid w:val="005A36CF"/>
    <w:rsid w:val="005A39E3"/>
    <w:rsid w:val="005A3FE2"/>
    <w:rsid w:val="005A7B4B"/>
    <w:rsid w:val="005B08D0"/>
    <w:rsid w:val="005B1301"/>
    <w:rsid w:val="005B175F"/>
    <w:rsid w:val="005B1E64"/>
    <w:rsid w:val="005B28FE"/>
    <w:rsid w:val="005B69F0"/>
    <w:rsid w:val="005C0104"/>
    <w:rsid w:val="005C2DE6"/>
    <w:rsid w:val="005C6128"/>
    <w:rsid w:val="005C6E2F"/>
    <w:rsid w:val="005D0AA5"/>
    <w:rsid w:val="005D150B"/>
    <w:rsid w:val="005D2742"/>
    <w:rsid w:val="005D395B"/>
    <w:rsid w:val="005D54B1"/>
    <w:rsid w:val="005E053A"/>
    <w:rsid w:val="005E084B"/>
    <w:rsid w:val="005E5C09"/>
    <w:rsid w:val="005F3AC2"/>
    <w:rsid w:val="005F7848"/>
    <w:rsid w:val="00602380"/>
    <w:rsid w:val="00603BDF"/>
    <w:rsid w:val="00603C6F"/>
    <w:rsid w:val="00611DC0"/>
    <w:rsid w:val="00621C6C"/>
    <w:rsid w:val="00624D4D"/>
    <w:rsid w:val="00626221"/>
    <w:rsid w:val="0062632E"/>
    <w:rsid w:val="00630B41"/>
    <w:rsid w:val="00631764"/>
    <w:rsid w:val="006329EB"/>
    <w:rsid w:val="006334AD"/>
    <w:rsid w:val="00636176"/>
    <w:rsid w:val="0063785A"/>
    <w:rsid w:val="00637A91"/>
    <w:rsid w:val="0064046F"/>
    <w:rsid w:val="00641F3E"/>
    <w:rsid w:val="00642CE7"/>
    <w:rsid w:val="006457E6"/>
    <w:rsid w:val="006470CA"/>
    <w:rsid w:val="00650AF6"/>
    <w:rsid w:val="006517CC"/>
    <w:rsid w:val="00653343"/>
    <w:rsid w:val="00653DB7"/>
    <w:rsid w:val="0065516B"/>
    <w:rsid w:val="00656EBA"/>
    <w:rsid w:val="006609DA"/>
    <w:rsid w:val="0066221B"/>
    <w:rsid w:val="006630B0"/>
    <w:rsid w:val="0066398E"/>
    <w:rsid w:val="00666C43"/>
    <w:rsid w:val="006703D3"/>
    <w:rsid w:val="00671DF0"/>
    <w:rsid w:val="006720BA"/>
    <w:rsid w:val="00675AB0"/>
    <w:rsid w:val="00676468"/>
    <w:rsid w:val="00676ECF"/>
    <w:rsid w:val="00677DB6"/>
    <w:rsid w:val="00684DB4"/>
    <w:rsid w:val="006873AB"/>
    <w:rsid w:val="006875C4"/>
    <w:rsid w:val="00693553"/>
    <w:rsid w:val="006958E8"/>
    <w:rsid w:val="006975FE"/>
    <w:rsid w:val="0069792C"/>
    <w:rsid w:val="006A030A"/>
    <w:rsid w:val="006A10D6"/>
    <w:rsid w:val="006A49E4"/>
    <w:rsid w:val="006A6FB0"/>
    <w:rsid w:val="006B15D2"/>
    <w:rsid w:val="006B5CA6"/>
    <w:rsid w:val="006C4901"/>
    <w:rsid w:val="006C6191"/>
    <w:rsid w:val="006C687A"/>
    <w:rsid w:val="006D0FC7"/>
    <w:rsid w:val="006D1271"/>
    <w:rsid w:val="006D12C0"/>
    <w:rsid w:val="006D4618"/>
    <w:rsid w:val="006D46F5"/>
    <w:rsid w:val="006D6E68"/>
    <w:rsid w:val="006E4C79"/>
    <w:rsid w:val="006E7843"/>
    <w:rsid w:val="006F1519"/>
    <w:rsid w:val="006F35A7"/>
    <w:rsid w:val="006F3D42"/>
    <w:rsid w:val="006F69E4"/>
    <w:rsid w:val="006F72A3"/>
    <w:rsid w:val="006F7D9E"/>
    <w:rsid w:val="00702792"/>
    <w:rsid w:val="00703B7A"/>
    <w:rsid w:val="0070496E"/>
    <w:rsid w:val="00706215"/>
    <w:rsid w:val="007074BA"/>
    <w:rsid w:val="0071195F"/>
    <w:rsid w:val="00712FDD"/>
    <w:rsid w:val="00714617"/>
    <w:rsid w:val="00715B40"/>
    <w:rsid w:val="0072001A"/>
    <w:rsid w:val="00720AB8"/>
    <w:rsid w:val="00723482"/>
    <w:rsid w:val="00723AC0"/>
    <w:rsid w:val="007252D4"/>
    <w:rsid w:val="007256CE"/>
    <w:rsid w:val="00725FAE"/>
    <w:rsid w:val="007314D4"/>
    <w:rsid w:val="00735A57"/>
    <w:rsid w:val="0074138F"/>
    <w:rsid w:val="00741C5D"/>
    <w:rsid w:val="00742C8A"/>
    <w:rsid w:val="00742E5C"/>
    <w:rsid w:val="0074353C"/>
    <w:rsid w:val="00745E24"/>
    <w:rsid w:val="0074774F"/>
    <w:rsid w:val="00747FF5"/>
    <w:rsid w:val="00750134"/>
    <w:rsid w:val="0075064C"/>
    <w:rsid w:val="00750F1B"/>
    <w:rsid w:val="00754A1F"/>
    <w:rsid w:val="00754F47"/>
    <w:rsid w:val="0075540B"/>
    <w:rsid w:val="00755CF4"/>
    <w:rsid w:val="0075610B"/>
    <w:rsid w:val="007564E2"/>
    <w:rsid w:val="007579BD"/>
    <w:rsid w:val="00761FAA"/>
    <w:rsid w:val="0076235A"/>
    <w:rsid w:val="00764860"/>
    <w:rsid w:val="00764DE0"/>
    <w:rsid w:val="007665CB"/>
    <w:rsid w:val="00770A94"/>
    <w:rsid w:val="00770CA7"/>
    <w:rsid w:val="00770F11"/>
    <w:rsid w:val="00771C01"/>
    <w:rsid w:val="007765A2"/>
    <w:rsid w:val="007852F5"/>
    <w:rsid w:val="00786530"/>
    <w:rsid w:val="0078658F"/>
    <w:rsid w:val="00786B21"/>
    <w:rsid w:val="0079202F"/>
    <w:rsid w:val="0079293B"/>
    <w:rsid w:val="00794417"/>
    <w:rsid w:val="00794F95"/>
    <w:rsid w:val="007962DB"/>
    <w:rsid w:val="007A154F"/>
    <w:rsid w:val="007A3414"/>
    <w:rsid w:val="007A3BC9"/>
    <w:rsid w:val="007A4805"/>
    <w:rsid w:val="007A4B0E"/>
    <w:rsid w:val="007A660C"/>
    <w:rsid w:val="007A6984"/>
    <w:rsid w:val="007B0E5E"/>
    <w:rsid w:val="007B3079"/>
    <w:rsid w:val="007B3607"/>
    <w:rsid w:val="007B3887"/>
    <w:rsid w:val="007C1B7C"/>
    <w:rsid w:val="007C2BEB"/>
    <w:rsid w:val="007C2CA1"/>
    <w:rsid w:val="007C316E"/>
    <w:rsid w:val="007C5734"/>
    <w:rsid w:val="007C664E"/>
    <w:rsid w:val="007C6D29"/>
    <w:rsid w:val="007D0105"/>
    <w:rsid w:val="007D2707"/>
    <w:rsid w:val="007D4E69"/>
    <w:rsid w:val="007D5C56"/>
    <w:rsid w:val="007D7336"/>
    <w:rsid w:val="007E028F"/>
    <w:rsid w:val="007E1229"/>
    <w:rsid w:val="007E1F12"/>
    <w:rsid w:val="007E6522"/>
    <w:rsid w:val="007E6AB2"/>
    <w:rsid w:val="007E7862"/>
    <w:rsid w:val="007F1B2B"/>
    <w:rsid w:val="007F1FB0"/>
    <w:rsid w:val="007F51DA"/>
    <w:rsid w:val="007F5651"/>
    <w:rsid w:val="007F6451"/>
    <w:rsid w:val="007F6BCC"/>
    <w:rsid w:val="008041D4"/>
    <w:rsid w:val="008050A5"/>
    <w:rsid w:val="008057D9"/>
    <w:rsid w:val="00811C3C"/>
    <w:rsid w:val="00813F65"/>
    <w:rsid w:val="00814044"/>
    <w:rsid w:val="00814AF4"/>
    <w:rsid w:val="00814D3C"/>
    <w:rsid w:val="00815815"/>
    <w:rsid w:val="00823342"/>
    <w:rsid w:val="008235CD"/>
    <w:rsid w:val="008249C3"/>
    <w:rsid w:val="00825231"/>
    <w:rsid w:val="00825BF2"/>
    <w:rsid w:val="00827861"/>
    <w:rsid w:val="00832EB4"/>
    <w:rsid w:val="00833634"/>
    <w:rsid w:val="008372AA"/>
    <w:rsid w:val="008446FD"/>
    <w:rsid w:val="00845856"/>
    <w:rsid w:val="008459DC"/>
    <w:rsid w:val="008463C7"/>
    <w:rsid w:val="00847B8F"/>
    <w:rsid w:val="00850FD5"/>
    <w:rsid w:val="00852050"/>
    <w:rsid w:val="00852481"/>
    <w:rsid w:val="008524A2"/>
    <w:rsid w:val="008524D1"/>
    <w:rsid w:val="00852B5E"/>
    <w:rsid w:val="00852C45"/>
    <w:rsid w:val="008530F8"/>
    <w:rsid w:val="00854A64"/>
    <w:rsid w:val="00857F62"/>
    <w:rsid w:val="00860F82"/>
    <w:rsid w:val="008612A1"/>
    <w:rsid w:val="00862E16"/>
    <w:rsid w:val="008633F6"/>
    <w:rsid w:val="00864D25"/>
    <w:rsid w:val="00865ABF"/>
    <w:rsid w:val="008719F2"/>
    <w:rsid w:val="00871EDE"/>
    <w:rsid w:val="00872EDD"/>
    <w:rsid w:val="008743B7"/>
    <w:rsid w:val="00874C88"/>
    <w:rsid w:val="0087592A"/>
    <w:rsid w:val="00876B3A"/>
    <w:rsid w:val="0088024E"/>
    <w:rsid w:val="008804EA"/>
    <w:rsid w:val="008823BF"/>
    <w:rsid w:val="0088395C"/>
    <w:rsid w:val="00883A09"/>
    <w:rsid w:val="00886486"/>
    <w:rsid w:val="00890BFE"/>
    <w:rsid w:val="00890F9F"/>
    <w:rsid w:val="00891835"/>
    <w:rsid w:val="0089371F"/>
    <w:rsid w:val="0089379A"/>
    <w:rsid w:val="00895C7C"/>
    <w:rsid w:val="00896A24"/>
    <w:rsid w:val="00897BF9"/>
    <w:rsid w:val="008A021A"/>
    <w:rsid w:val="008A02C2"/>
    <w:rsid w:val="008A1B3D"/>
    <w:rsid w:val="008A21C4"/>
    <w:rsid w:val="008A2F63"/>
    <w:rsid w:val="008A3681"/>
    <w:rsid w:val="008A465A"/>
    <w:rsid w:val="008A661D"/>
    <w:rsid w:val="008A6C82"/>
    <w:rsid w:val="008B0303"/>
    <w:rsid w:val="008B4807"/>
    <w:rsid w:val="008B72AF"/>
    <w:rsid w:val="008C0F51"/>
    <w:rsid w:val="008C2CDA"/>
    <w:rsid w:val="008C41EE"/>
    <w:rsid w:val="008D1892"/>
    <w:rsid w:val="008D2D3A"/>
    <w:rsid w:val="008D577A"/>
    <w:rsid w:val="008E0408"/>
    <w:rsid w:val="008E0ECF"/>
    <w:rsid w:val="008E39E5"/>
    <w:rsid w:val="008E4D32"/>
    <w:rsid w:val="008E6B6E"/>
    <w:rsid w:val="008E77C9"/>
    <w:rsid w:val="008F119E"/>
    <w:rsid w:val="008F15D6"/>
    <w:rsid w:val="008F3FA2"/>
    <w:rsid w:val="008F61BC"/>
    <w:rsid w:val="0090203B"/>
    <w:rsid w:val="00903EB4"/>
    <w:rsid w:val="00904D29"/>
    <w:rsid w:val="009061A7"/>
    <w:rsid w:val="009141B0"/>
    <w:rsid w:val="009178AF"/>
    <w:rsid w:val="00917F3F"/>
    <w:rsid w:val="00922453"/>
    <w:rsid w:val="00923BAB"/>
    <w:rsid w:val="00925A14"/>
    <w:rsid w:val="0093231D"/>
    <w:rsid w:val="00932BD5"/>
    <w:rsid w:val="009347DB"/>
    <w:rsid w:val="00940CEF"/>
    <w:rsid w:val="009410BE"/>
    <w:rsid w:val="009412CB"/>
    <w:rsid w:val="00942319"/>
    <w:rsid w:val="00942F17"/>
    <w:rsid w:val="00944A9E"/>
    <w:rsid w:val="00945EC5"/>
    <w:rsid w:val="009517C8"/>
    <w:rsid w:val="00951BE7"/>
    <w:rsid w:val="0095358A"/>
    <w:rsid w:val="00955512"/>
    <w:rsid w:val="00955703"/>
    <w:rsid w:val="00956119"/>
    <w:rsid w:val="00957D8C"/>
    <w:rsid w:val="00957FBB"/>
    <w:rsid w:val="00963CE8"/>
    <w:rsid w:val="009648EB"/>
    <w:rsid w:val="00966754"/>
    <w:rsid w:val="009670B1"/>
    <w:rsid w:val="00967ABB"/>
    <w:rsid w:val="00967D3A"/>
    <w:rsid w:val="00972E5E"/>
    <w:rsid w:val="009732AB"/>
    <w:rsid w:val="0097367B"/>
    <w:rsid w:val="009747A5"/>
    <w:rsid w:val="00974FA6"/>
    <w:rsid w:val="00976690"/>
    <w:rsid w:val="00977A42"/>
    <w:rsid w:val="00980FAE"/>
    <w:rsid w:val="009812EE"/>
    <w:rsid w:val="00981F2C"/>
    <w:rsid w:val="009827B5"/>
    <w:rsid w:val="009829BE"/>
    <w:rsid w:val="009853EA"/>
    <w:rsid w:val="0098572C"/>
    <w:rsid w:val="0099012B"/>
    <w:rsid w:val="009A4C91"/>
    <w:rsid w:val="009A59B7"/>
    <w:rsid w:val="009B0B26"/>
    <w:rsid w:val="009B16B9"/>
    <w:rsid w:val="009B3540"/>
    <w:rsid w:val="009B3F97"/>
    <w:rsid w:val="009B4358"/>
    <w:rsid w:val="009B47B1"/>
    <w:rsid w:val="009C1710"/>
    <w:rsid w:val="009C24DB"/>
    <w:rsid w:val="009C49C9"/>
    <w:rsid w:val="009C4A32"/>
    <w:rsid w:val="009C57F3"/>
    <w:rsid w:val="009C670E"/>
    <w:rsid w:val="009D0BD8"/>
    <w:rsid w:val="009D759F"/>
    <w:rsid w:val="009E086D"/>
    <w:rsid w:val="009E426B"/>
    <w:rsid w:val="009E7039"/>
    <w:rsid w:val="009E73C7"/>
    <w:rsid w:val="009F20F0"/>
    <w:rsid w:val="009F29B7"/>
    <w:rsid w:val="009F3A54"/>
    <w:rsid w:val="009F51C9"/>
    <w:rsid w:val="00A031F7"/>
    <w:rsid w:val="00A03D4D"/>
    <w:rsid w:val="00A05876"/>
    <w:rsid w:val="00A06922"/>
    <w:rsid w:val="00A06F58"/>
    <w:rsid w:val="00A10782"/>
    <w:rsid w:val="00A10FB4"/>
    <w:rsid w:val="00A117A3"/>
    <w:rsid w:val="00A120F9"/>
    <w:rsid w:val="00A12C1D"/>
    <w:rsid w:val="00A14520"/>
    <w:rsid w:val="00A14EC3"/>
    <w:rsid w:val="00A21139"/>
    <w:rsid w:val="00A23827"/>
    <w:rsid w:val="00A24EA8"/>
    <w:rsid w:val="00A332EF"/>
    <w:rsid w:val="00A3679F"/>
    <w:rsid w:val="00A3733A"/>
    <w:rsid w:val="00A37444"/>
    <w:rsid w:val="00A379E4"/>
    <w:rsid w:val="00A4666F"/>
    <w:rsid w:val="00A46B05"/>
    <w:rsid w:val="00A47254"/>
    <w:rsid w:val="00A5009D"/>
    <w:rsid w:val="00A51152"/>
    <w:rsid w:val="00A51FE3"/>
    <w:rsid w:val="00A52A1F"/>
    <w:rsid w:val="00A52D0F"/>
    <w:rsid w:val="00A574EE"/>
    <w:rsid w:val="00A57A1E"/>
    <w:rsid w:val="00A61C9F"/>
    <w:rsid w:val="00A6285F"/>
    <w:rsid w:val="00A63732"/>
    <w:rsid w:val="00A637CA"/>
    <w:rsid w:val="00A67522"/>
    <w:rsid w:val="00A7191B"/>
    <w:rsid w:val="00A7366C"/>
    <w:rsid w:val="00A74AFE"/>
    <w:rsid w:val="00A74C2B"/>
    <w:rsid w:val="00A75217"/>
    <w:rsid w:val="00A75CB2"/>
    <w:rsid w:val="00A76971"/>
    <w:rsid w:val="00A77638"/>
    <w:rsid w:val="00A8000F"/>
    <w:rsid w:val="00A82516"/>
    <w:rsid w:val="00A834DE"/>
    <w:rsid w:val="00A84CF1"/>
    <w:rsid w:val="00A97099"/>
    <w:rsid w:val="00A97C1C"/>
    <w:rsid w:val="00AA29EA"/>
    <w:rsid w:val="00AA79B3"/>
    <w:rsid w:val="00AB0374"/>
    <w:rsid w:val="00AB423E"/>
    <w:rsid w:val="00AB71B6"/>
    <w:rsid w:val="00AB7DD8"/>
    <w:rsid w:val="00AC11B4"/>
    <w:rsid w:val="00AC345A"/>
    <w:rsid w:val="00AC4060"/>
    <w:rsid w:val="00AD0785"/>
    <w:rsid w:val="00AD0C4F"/>
    <w:rsid w:val="00AD5B64"/>
    <w:rsid w:val="00AD7FBD"/>
    <w:rsid w:val="00AE37CF"/>
    <w:rsid w:val="00AE649A"/>
    <w:rsid w:val="00AE72B1"/>
    <w:rsid w:val="00AF0BD8"/>
    <w:rsid w:val="00AF10E6"/>
    <w:rsid w:val="00AF3E02"/>
    <w:rsid w:val="00AF5C53"/>
    <w:rsid w:val="00AF6553"/>
    <w:rsid w:val="00B006FC"/>
    <w:rsid w:val="00B020EE"/>
    <w:rsid w:val="00B0272E"/>
    <w:rsid w:val="00B0535C"/>
    <w:rsid w:val="00B0663A"/>
    <w:rsid w:val="00B072C3"/>
    <w:rsid w:val="00B0730A"/>
    <w:rsid w:val="00B110F3"/>
    <w:rsid w:val="00B119A9"/>
    <w:rsid w:val="00B13B51"/>
    <w:rsid w:val="00B15525"/>
    <w:rsid w:val="00B1554A"/>
    <w:rsid w:val="00B17452"/>
    <w:rsid w:val="00B17D66"/>
    <w:rsid w:val="00B20BE2"/>
    <w:rsid w:val="00B22205"/>
    <w:rsid w:val="00B23CA4"/>
    <w:rsid w:val="00B27F4D"/>
    <w:rsid w:val="00B30BF0"/>
    <w:rsid w:val="00B31C1E"/>
    <w:rsid w:val="00B324E4"/>
    <w:rsid w:val="00B32571"/>
    <w:rsid w:val="00B32A0E"/>
    <w:rsid w:val="00B34D99"/>
    <w:rsid w:val="00B36333"/>
    <w:rsid w:val="00B37D25"/>
    <w:rsid w:val="00B40F14"/>
    <w:rsid w:val="00B41A70"/>
    <w:rsid w:val="00B41C98"/>
    <w:rsid w:val="00B45BEF"/>
    <w:rsid w:val="00B47C3F"/>
    <w:rsid w:val="00B51337"/>
    <w:rsid w:val="00B546A6"/>
    <w:rsid w:val="00B56B03"/>
    <w:rsid w:val="00B57717"/>
    <w:rsid w:val="00B57A73"/>
    <w:rsid w:val="00B60FEB"/>
    <w:rsid w:val="00B6133D"/>
    <w:rsid w:val="00B63D97"/>
    <w:rsid w:val="00B643F2"/>
    <w:rsid w:val="00B66184"/>
    <w:rsid w:val="00B66324"/>
    <w:rsid w:val="00B67F80"/>
    <w:rsid w:val="00B72F49"/>
    <w:rsid w:val="00B73491"/>
    <w:rsid w:val="00B73BA5"/>
    <w:rsid w:val="00B75571"/>
    <w:rsid w:val="00B76154"/>
    <w:rsid w:val="00B81336"/>
    <w:rsid w:val="00B817FD"/>
    <w:rsid w:val="00B82866"/>
    <w:rsid w:val="00B82C91"/>
    <w:rsid w:val="00B83423"/>
    <w:rsid w:val="00B84B70"/>
    <w:rsid w:val="00B85855"/>
    <w:rsid w:val="00B906D5"/>
    <w:rsid w:val="00B90D64"/>
    <w:rsid w:val="00B91ECB"/>
    <w:rsid w:val="00B9271D"/>
    <w:rsid w:val="00B92786"/>
    <w:rsid w:val="00B928E7"/>
    <w:rsid w:val="00B93A49"/>
    <w:rsid w:val="00B9620E"/>
    <w:rsid w:val="00B96749"/>
    <w:rsid w:val="00B9764E"/>
    <w:rsid w:val="00B97F8A"/>
    <w:rsid w:val="00BA0862"/>
    <w:rsid w:val="00BA0BFD"/>
    <w:rsid w:val="00BA115A"/>
    <w:rsid w:val="00BA164F"/>
    <w:rsid w:val="00BA1AC7"/>
    <w:rsid w:val="00BA1F14"/>
    <w:rsid w:val="00BA252C"/>
    <w:rsid w:val="00BA41FC"/>
    <w:rsid w:val="00BA5070"/>
    <w:rsid w:val="00BA7AD0"/>
    <w:rsid w:val="00BB1D39"/>
    <w:rsid w:val="00BB4DF0"/>
    <w:rsid w:val="00BB71BB"/>
    <w:rsid w:val="00BC0851"/>
    <w:rsid w:val="00BC314B"/>
    <w:rsid w:val="00BC3639"/>
    <w:rsid w:val="00BC3A6A"/>
    <w:rsid w:val="00BC54C1"/>
    <w:rsid w:val="00BC608F"/>
    <w:rsid w:val="00BD5265"/>
    <w:rsid w:val="00BD53AF"/>
    <w:rsid w:val="00BD5ABD"/>
    <w:rsid w:val="00BD5CDC"/>
    <w:rsid w:val="00BD656D"/>
    <w:rsid w:val="00BD6E3C"/>
    <w:rsid w:val="00BD727F"/>
    <w:rsid w:val="00BD76E0"/>
    <w:rsid w:val="00BD7BB0"/>
    <w:rsid w:val="00BE2B30"/>
    <w:rsid w:val="00BE338C"/>
    <w:rsid w:val="00BE43F9"/>
    <w:rsid w:val="00BE642B"/>
    <w:rsid w:val="00BE6AF9"/>
    <w:rsid w:val="00BE726C"/>
    <w:rsid w:val="00BE7F3D"/>
    <w:rsid w:val="00BF0C1F"/>
    <w:rsid w:val="00BF2C58"/>
    <w:rsid w:val="00BF30C2"/>
    <w:rsid w:val="00BF4B45"/>
    <w:rsid w:val="00BF5CC9"/>
    <w:rsid w:val="00BF6CCD"/>
    <w:rsid w:val="00C00AAA"/>
    <w:rsid w:val="00C0211C"/>
    <w:rsid w:val="00C021BE"/>
    <w:rsid w:val="00C043C4"/>
    <w:rsid w:val="00C055B5"/>
    <w:rsid w:val="00C058F5"/>
    <w:rsid w:val="00C063F6"/>
    <w:rsid w:val="00C06978"/>
    <w:rsid w:val="00C07AD0"/>
    <w:rsid w:val="00C07D40"/>
    <w:rsid w:val="00C11254"/>
    <w:rsid w:val="00C12C68"/>
    <w:rsid w:val="00C148E2"/>
    <w:rsid w:val="00C154F8"/>
    <w:rsid w:val="00C160A1"/>
    <w:rsid w:val="00C22327"/>
    <w:rsid w:val="00C25AC5"/>
    <w:rsid w:val="00C32894"/>
    <w:rsid w:val="00C35273"/>
    <w:rsid w:val="00C36B3D"/>
    <w:rsid w:val="00C36E1F"/>
    <w:rsid w:val="00C40420"/>
    <w:rsid w:val="00C41E66"/>
    <w:rsid w:val="00C43156"/>
    <w:rsid w:val="00C43B70"/>
    <w:rsid w:val="00C43E1E"/>
    <w:rsid w:val="00C47BAA"/>
    <w:rsid w:val="00C47D47"/>
    <w:rsid w:val="00C50B01"/>
    <w:rsid w:val="00C51A22"/>
    <w:rsid w:val="00C51CBF"/>
    <w:rsid w:val="00C52A2C"/>
    <w:rsid w:val="00C54FE9"/>
    <w:rsid w:val="00C56206"/>
    <w:rsid w:val="00C609D1"/>
    <w:rsid w:val="00C61540"/>
    <w:rsid w:val="00C644B9"/>
    <w:rsid w:val="00C64730"/>
    <w:rsid w:val="00C64E21"/>
    <w:rsid w:val="00C66374"/>
    <w:rsid w:val="00C67401"/>
    <w:rsid w:val="00C71311"/>
    <w:rsid w:val="00C77617"/>
    <w:rsid w:val="00C8008E"/>
    <w:rsid w:val="00C8290C"/>
    <w:rsid w:val="00C84D02"/>
    <w:rsid w:val="00C9045E"/>
    <w:rsid w:val="00C91B55"/>
    <w:rsid w:val="00C93756"/>
    <w:rsid w:val="00C96412"/>
    <w:rsid w:val="00CA2CE7"/>
    <w:rsid w:val="00CA3E45"/>
    <w:rsid w:val="00CA5DB5"/>
    <w:rsid w:val="00CA669F"/>
    <w:rsid w:val="00CA7622"/>
    <w:rsid w:val="00CB1687"/>
    <w:rsid w:val="00CB2868"/>
    <w:rsid w:val="00CB3CE9"/>
    <w:rsid w:val="00CB5608"/>
    <w:rsid w:val="00CC1416"/>
    <w:rsid w:val="00CC263C"/>
    <w:rsid w:val="00CC3460"/>
    <w:rsid w:val="00CD223C"/>
    <w:rsid w:val="00CD30E8"/>
    <w:rsid w:val="00CD3B46"/>
    <w:rsid w:val="00CD604B"/>
    <w:rsid w:val="00CD76F8"/>
    <w:rsid w:val="00CD7929"/>
    <w:rsid w:val="00CE1A3F"/>
    <w:rsid w:val="00CE3BEA"/>
    <w:rsid w:val="00CE4AD4"/>
    <w:rsid w:val="00CE6CBD"/>
    <w:rsid w:val="00CE7274"/>
    <w:rsid w:val="00CF0F05"/>
    <w:rsid w:val="00CF19EE"/>
    <w:rsid w:val="00CF681C"/>
    <w:rsid w:val="00CF6D4F"/>
    <w:rsid w:val="00D0092E"/>
    <w:rsid w:val="00D0247B"/>
    <w:rsid w:val="00D02840"/>
    <w:rsid w:val="00D05CE4"/>
    <w:rsid w:val="00D072E5"/>
    <w:rsid w:val="00D07944"/>
    <w:rsid w:val="00D10B2C"/>
    <w:rsid w:val="00D11145"/>
    <w:rsid w:val="00D14223"/>
    <w:rsid w:val="00D1618D"/>
    <w:rsid w:val="00D27F08"/>
    <w:rsid w:val="00D3195D"/>
    <w:rsid w:val="00D3507D"/>
    <w:rsid w:val="00D37A9D"/>
    <w:rsid w:val="00D41BD2"/>
    <w:rsid w:val="00D43D9C"/>
    <w:rsid w:val="00D44AF6"/>
    <w:rsid w:val="00D45405"/>
    <w:rsid w:val="00D471E3"/>
    <w:rsid w:val="00D519DC"/>
    <w:rsid w:val="00D53091"/>
    <w:rsid w:val="00D53A7C"/>
    <w:rsid w:val="00D566F9"/>
    <w:rsid w:val="00D5799B"/>
    <w:rsid w:val="00D57CBA"/>
    <w:rsid w:val="00D62D04"/>
    <w:rsid w:val="00D64D47"/>
    <w:rsid w:val="00D65488"/>
    <w:rsid w:val="00D712DA"/>
    <w:rsid w:val="00D71CEA"/>
    <w:rsid w:val="00D7250C"/>
    <w:rsid w:val="00D73177"/>
    <w:rsid w:val="00D75216"/>
    <w:rsid w:val="00D76A4D"/>
    <w:rsid w:val="00D76FC1"/>
    <w:rsid w:val="00D77730"/>
    <w:rsid w:val="00D77EE3"/>
    <w:rsid w:val="00D807F3"/>
    <w:rsid w:val="00D82F06"/>
    <w:rsid w:val="00D83A23"/>
    <w:rsid w:val="00D85091"/>
    <w:rsid w:val="00D85759"/>
    <w:rsid w:val="00D87141"/>
    <w:rsid w:val="00D87576"/>
    <w:rsid w:val="00D87A50"/>
    <w:rsid w:val="00D93216"/>
    <w:rsid w:val="00D95755"/>
    <w:rsid w:val="00DA25C0"/>
    <w:rsid w:val="00DA2F26"/>
    <w:rsid w:val="00DA3154"/>
    <w:rsid w:val="00DA3909"/>
    <w:rsid w:val="00DA4256"/>
    <w:rsid w:val="00DA54D8"/>
    <w:rsid w:val="00DA6A42"/>
    <w:rsid w:val="00DA737C"/>
    <w:rsid w:val="00DB2427"/>
    <w:rsid w:val="00DB3905"/>
    <w:rsid w:val="00DC1C9E"/>
    <w:rsid w:val="00DC3716"/>
    <w:rsid w:val="00DC3B02"/>
    <w:rsid w:val="00DC456C"/>
    <w:rsid w:val="00DC6516"/>
    <w:rsid w:val="00DC65E7"/>
    <w:rsid w:val="00DC6DD3"/>
    <w:rsid w:val="00DD389A"/>
    <w:rsid w:val="00DD3E86"/>
    <w:rsid w:val="00DD4A19"/>
    <w:rsid w:val="00DD4D9F"/>
    <w:rsid w:val="00DD4F6D"/>
    <w:rsid w:val="00DD5FE5"/>
    <w:rsid w:val="00DE1979"/>
    <w:rsid w:val="00DE1BEC"/>
    <w:rsid w:val="00DE253D"/>
    <w:rsid w:val="00DE3858"/>
    <w:rsid w:val="00DE3AAE"/>
    <w:rsid w:val="00DF0309"/>
    <w:rsid w:val="00DF092C"/>
    <w:rsid w:val="00DF1A10"/>
    <w:rsid w:val="00DF27C7"/>
    <w:rsid w:val="00DF368C"/>
    <w:rsid w:val="00DF4C42"/>
    <w:rsid w:val="00DF5D33"/>
    <w:rsid w:val="00DF5D86"/>
    <w:rsid w:val="00DF7C24"/>
    <w:rsid w:val="00E0324C"/>
    <w:rsid w:val="00E03A60"/>
    <w:rsid w:val="00E048C4"/>
    <w:rsid w:val="00E057C6"/>
    <w:rsid w:val="00E05B41"/>
    <w:rsid w:val="00E07D04"/>
    <w:rsid w:val="00E101FE"/>
    <w:rsid w:val="00E11309"/>
    <w:rsid w:val="00E13B4E"/>
    <w:rsid w:val="00E179E8"/>
    <w:rsid w:val="00E22C48"/>
    <w:rsid w:val="00E23F47"/>
    <w:rsid w:val="00E24173"/>
    <w:rsid w:val="00E24926"/>
    <w:rsid w:val="00E253FC"/>
    <w:rsid w:val="00E25400"/>
    <w:rsid w:val="00E26350"/>
    <w:rsid w:val="00E30816"/>
    <w:rsid w:val="00E330CB"/>
    <w:rsid w:val="00E3388F"/>
    <w:rsid w:val="00E3508A"/>
    <w:rsid w:val="00E35D5F"/>
    <w:rsid w:val="00E4012E"/>
    <w:rsid w:val="00E4019D"/>
    <w:rsid w:val="00E40D0D"/>
    <w:rsid w:val="00E40DDA"/>
    <w:rsid w:val="00E43F67"/>
    <w:rsid w:val="00E444D5"/>
    <w:rsid w:val="00E46CBC"/>
    <w:rsid w:val="00E47667"/>
    <w:rsid w:val="00E500C1"/>
    <w:rsid w:val="00E51C90"/>
    <w:rsid w:val="00E530A4"/>
    <w:rsid w:val="00E53E04"/>
    <w:rsid w:val="00E55741"/>
    <w:rsid w:val="00E55EC8"/>
    <w:rsid w:val="00E5617B"/>
    <w:rsid w:val="00E56198"/>
    <w:rsid w:val="00E61FDD"/>
    <w:rsid w:val="00E62A8F"/>
    <w:rsid w:val="00E63300"/>
    <w:rsid w:val="00E6348D"/>
    <w:rsid w:val="00E65222"/>
    <w:rsid w:val="00E70454"/>
    <w:rsid w:val="00E71F1D"/>
    <w:rsid w:val="00E7209C"/>
    <w:rsid w:val="00E74D40"/>
    <w:rsid w:val="00E77205"/>
    <w:rsid w:val="00E805A4"/>
    <w:rsid w:val="00E80FAE"/>
    <w:rsid w:val="00E840C6"/>
    <w:rsid w:val="00E9081E"/>
    <w:rsid w:val="00E92412"/>
    <w:rsid w:val="00E93439"/>
    <w:rsid w:val="00E93B87"/>
    <w:rsid w:val="00E953CD"/>
    <w:rsid w:val="00EA00BB"/>
    <w:rsid w:val="00EA485D"/>
    <w:rsid w:val="00EA54F0"/>
    <w:rsid w:val="00EB26D1"/>
    <w:rsid w:val="00EB2F45"/>
    <w:rsid w:val="00EB6FBB"/>
    <w:rsid w:val="00EB7FF5"/>
    <w:rsid w:val="00EC1101"/>
    <w:rsid w:val="00EC62D0"/>
    <w:rsid w:val="00EC7950"/>
    <w:rsid w:val="00ED5291"/>
    <w:rsid w:val="00EE1F9C"/>
    <w:rsid w:val="00EE285A"/>
    <w:rsid w:val="00EE60B9"/>
    <w:rsid w:val="00EF2644"/>
    <w:rsid w:val="00EF2D95"/>
    <w:rsid w:val="00EF5F99"/>
    <w:rsid w:val="00EF7FD4"/>
    <w:rsid w:val="00F007A5"/>
    <w:rsid w:val="00F02C5D"/>
    <w:rsid w:val="00F04298"/>
    <w:rsid w:val="00F048DF"/>
    <w:rsid w:val="00F06717"/>
    <w:rsid w:val="00F15B26"/>
    <w:rsid w:val="00F201CA"/>
    <w:rsid w:val="00F209DE"/>
    <w:rsid w:val="00F21267"/>
    <w:rsid w:val="00F21962"/>
    <w:rsid w:val="00F219DC"/>
    <w:rsid w:val="00F23CD7"/>
    <w:rsid w:val="00F24105"/>
    <w:rsid w:val="00F25FA8"/>
    <w:rsid w:val="00F26A87"/>
    <w:rsid w:val="00F271D9"/>
    <w:rsid w:val="00F3081B"/>
    <w:rsid w:val="00F32C94"/>
    <w:rsid w:val="00F3489D"/>
    <w:rsid w:val="00F37051"/>
    <w:rsid w:val="00F44487"/>
    <w:rsid w:val="00F4508E"/>
    <w:rsid w:val="00F47E30"/>
    <w:rsid w:val="00F47F35"/>
    <w:rsid w:val="00F500A0"/>
    <w:rsid w:val="00F504E3"/>
    <w:rsid w:val="00F50F0A"/>
    <w:rsid w:val="00F517B1"/>
    <w:rsid w:val="00F53546"/>
    <w:rsid w:val="00F56499"/>
    <w:rsid w:val="00F56A02"/>
    <w:rsid w:val="00F5734D"/>
    <w:rsid w:val="00F57B93"/>
    <w:rsid w:val="00F57F10"/>
    <w:rsid w:val="00F61F4C"/>
    <w:rsid w:val="00F64384"/>
    <w:rsid w:val="00F64623"/>
    <w:rsid w:val="00F651A8"/>
    <w:rsid w:val="00F674D4"/>
    <w:rsid w:val="00F7081F"/>
    <w:rsid w:val="00F76BF3"/>
    <w:rsid w:val="00F813E1"/>
    <w:rsid w:val="00F82EC7"/>
    <w:rsid w:val="00F83AC8"/>
    <w:rsid w:val="00F83F9A"/>
    <w:rsid w:val="00F85817"/>
    <w:rsid w:val="00F85BCB"/>
    <w:rsid w:val="00F87F9C"/>
    <w:rsid w:val="00F91A92"/>
    <w:rsid w:val="00F95BE8"/>
    <w:rsid w:val="00FA1481"/>
    <w:rsid w:val="00FA1F87"/>
    <w:rsid w:val="00FA316D"/>
    <w:rsid w:val="00FA3624"/>
    <w:rsid w:val="00FA4508"/>
    <w:rsid w:val="00FB08E5"/>
    <w:rsid w:val="00FB1200"/>
    <w:rsid w:val="00FB326A"/>
    <w:rsid w:val="00FB4852"/>
    <w:rsid w:val="00FB4BAF"/>
    <w:rsid w:val="00FB6CE9"/>
    <w:rsid w:val="00FC1C07"/>
    <w:rsid w:val="00FC2137"/>
    <w:rsid w:val="00FC263D"/>
    <w:rsid w:val="00FC3F76"/>
    <w:rsid w:val="00FC51EB"/>
    <w:rsid w:val="00FC745E"/>
    <w:rsid w:val="00FC761F"/>
    <w:rsid w:val="00FD03DC"/>
    <w:rsid w:val="00FD0CAF"/>
    <w:rsid w:val="00FD2C0C"/>
    <w:rsid w:val="00FD3435"/>
    <w:rsid w:val="00FD4318"/>
    <w:rsid w:val="00FD518C"/>
    <w:rsid w:val="00FD5EC6"/>
    <w:rsid w:val="00FD680B"/>
    <w:rsid w:val="00FD6B8E"/>
    <w:rsid w:val="00FE0210"/>
    <w:rsid w:val="00FE2768"/>
    <w:rsid w:val="00FE5EE1"/>
    <w:rsid w:val="00FF0526"/>
    <w:rsid w:val="00FF1F73"/>
    <w:rsid w:val="00FF42D0"/>
    <w:rsid w:val="00FF5638"/>
    <w:rsid w:val="00FF5F6F"/>
    <w:rsid w:val="00FF6A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E2DDA49"/>
  <w15:docId w15:val="{D515EB2B-C6C9-4C30-80A6-A5F3CC2F8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5C06"/>
  </w:style>
  <w:style w:type="paragraph" w:styleId="Heading1">
    <w:name w:val="heading 1"/>
    <w:next w:val="Normal"/>
    <w:link w:val="Heading1Char"/>
    <w:uiPriority w:val="9"/>
    <w:qFormat/>
    <w:rsid w:val="005B1301"/>
    <w:pPr>
      <w:keepNext/>
      <w:keepLines/>
      <w:spacing w:after="120" w:line="261" w:lineRule="auto"/>
      <w:outlineLvl w:val="0"/>
    </w:pPr>
    <w:rPr>
      <w:rFonts w:ascii="Arial" w:eastAsia="Cambria" w:hAnsi="Arial" w:cs="Arial"/>
      <w:b/>
      <w:color w:val="000000"/>
      <w:sz w:val="24"/>
    </w:rPr>
  </w:style>
  <w:style w:type="paragraph" w:styleId="Heading2">
    <w:name w:val="heading 2"/>
    <w:next w:val="Normal"/>
    <w:link w:val="Heading2Char"/>
    <w:uiPriority w:val="9"/>
    <w:unhideWhenUsed/>
    <w:qFormat/>
    <w:rsid w:val="005B1301"/>
    <w:pPr>
      <w:keepNext/>
      <w:keepLines/>
      <w:spacing w:after="121"/>
      <w:outlineLvl w:val="1"/>
    </w:pPr>
    <w:rPr>
      <w:rFonts w:ascii="Arial" w:eastAsia="Cambria" w:hAnsi="Arial" w:cs="Arial"/>
      <w:b/>
      <w:color w:val="000000"/>
    </w:rPr>
  </w:style>
  <w:style w:type="paragraph" w:styleId="Heading3">
    <w:name w:val="heading 3"/>
    <w:basedOn w:val="Normal"/>
    <w:next w:val="Normal"/>
    <w:link w:val="Heading3Char"/>
    <w:uiPriority w:val="9"/>
    <w:unhideWhenUsed/>
    <w:qFormat/>
    <w:rsid w:val="000704F5"/>
    <w:pPr>
      <w:keepNext/>
      <w:spacing w:line="23" w:lineRule="atLeast"/>
      <w:outlineLvl w:val="2"/>
    </w:pPr>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1301"/>
    <w:rPr>
      <w:rFonts w:ascii="Arial" w:eastAsia="Cambria" w:hAnsi="Arial" w:cs="Arial"/>
      <w:b/>
      <w:color w:val="000000"/>
      <w:sz w:val="24"/>
    </w:rPr>
  </w:style>
  <w:style w:type="character" w:customStyle="1" w:styleId="Heading2Char">
    <w:name w:val="Heading 2 Char"/>
    <w:basedOn w:val="DefaultParagraphFont"/>
    <w:link w:val="Heading2"/>
    <w:uiPriority w:val="9"/>
    <w:rsid w:val="005B1301"/>
    <w:rPr>
      <w:rFonts w:ascii="Arial" w:eastAsia="Cambria" w:hAnsi="Arial" w:cs="Arial"/>
      <w:b/>
      <w:color w:val="000000"/>
    </w:rPr>
  </w:style>
  <w:style w:type="paragraph" w:styleId="ListParagraph">
    <w:name w:val="List Paragraph"/>
    <w:basedOn w:val="Normal"/>
    <w:uiPriority w:val="34"/>
    <w:qFormat/>
    <w:rsid w:val="00580211"/>
    <w:pPr>
      <w:ind w:left="720"/>
      <w:contextualSpacing/>
    </w:pPr>
  </w:style>
  <w:style w:type="paragraph" w:styleId="Bibliography">
    <w:name w:val="Bibliography"/>
    <w:basedOn w:val="Normal"/>
    <w:next w:val="Normal"/>
    <w:uiPriority w:val="37"/>
    <w:unhideWhenUsed/>
    <w:rsid w:val="00735A57"/>
    <w:pPr>
      <w:tabs>
        <w:tab w:val="left" w:pos="384"/>
      </w:tabs>
      <w:spacing w:after="0" w:line="480" w:lineRule="auto"/>
      <w:ind w:left="384" w:hanging="384"/>
    </w:pPr>
  </w:style>
  <w:style w:type="paragraph" w:styleId="Revision">
    <w:name w:val="Revision"/>
    <w:hidden/>
    <w:uiPriority w:val="99"/>
    <w:semiHidden/>
    <w:rsid w:val="00472A90"/>
    <w:pPr>
      <w:spacing w:after="0" w:line="240" w:lineRule="auto"/>
    </w:pPr>
  </w:style>
  <w:style w:type="character" w:styleId="CommentReference">
    <w:name w:val="annotation reference"/>
    <w:basedOn w:val="DefaultParagraphFont"/>
    <w:uiPriority w:val="99"/>
    <w:semiHidden/>
    <w:unhideWhenUsed/>
    <w:rsid w:val="00472A90"/>
    <w:rPr>
      <w:sz w:val="16"/>
      <w:szCs w:val="16"/>
    </w:rPr>
  </w:style>
  <w:style w:type="paragraph" w:styleId="CommentText">
    <w:name w:val="annotation text"/>
    <w:basedOn w:val="Normal"/>
    <w:link w:val="CommentTextChar"/>
    <w:uiPriority w:val="99"/>
    <w:unhideWhenUsed/>
    <w:rsid w:val="00472A90"/>
    <w:pPr>
      <w:spacing w:line="240" w:lineRule="auto"/>
    </w:pPr>
    <w:rPr>
      <w:sz w:val="20"/>
      <w:szCs w:val="20"/>
    </w:rPr>
  </w:style>
  <w:style w:type="character" w:customStyle="1" w:styleId="CommentTextChar">
    <w:name w:val="Comment Text Char"/>
    <w:basedOn w:val="DefaultParagraphFont"/>
    <w:link w:val="CommentText"/>
    <w:uiPriority w:val="99"/>
    <w:rsid w:val="00472A90"/>
    <w:rPr>
      <w:sz w:val="20"/>
      <w:szCs w:val="20"/>
    </w:rPr>
  </w:style>
  <w:style w:type="paragraph" w:styleId="CommentSubject">
    <w:name w:val="annotation subject"/>
    <w:basedOn w:val="CommentText"/>
    <w:next w:val="CommentText"/>
    <w:link w:val="CommentSubjectChar"/>
    <w:uiPriority w:val="99"/>
    <w:semiHidden/>
    <w:unhideWhenUsed/>
    <w:rsid w:val="00472A90"/>
    <w:rPr>
      <w:b/>
      <w:bCs/>
    </w:rPr>
  </w:style>
  <w:style w:type="character" w:customStyle="1" w:styleId="CommentSubjectChar">
    <w:name w:val="Comment Subject Char"/>
    <w:basedOn w:val="CommentTextChar"/>
    <w:link w:val="CommentSubject"/>
    <w:uiPriority w:val="99"/>
    <w:semiHidden/>
    <w:rsid w:val="00472A90"/>
    <w:rPr>
      <w:b/>
      <w:bCs/>
      <w:sz w:val="20"/>
      <w:szCs w:val="20"/>
    </w:rPr>
  </w:style>
  <w:style w:type="character" w:styleId="Hyperlink">
    <w:name w:val="Hyperlink"/>
    <w:basedOn w:val="DefaultParagraphFont"/>
    <w:uiPriority w:val="99"/>
    <w:unhideWhenUsed/>
    <w:rsid w:val="006457E6"/>
    <w:rPr>
      <w:color w:val="0563C1" w:themeColor="hyperlink"/>
      <w:u w:val="single"/>
    </w:rPr>
  </w:style>
  <w:style w:type="character" w:customStyle="1" w:styleId="Heading3Char">
    <w:name w:val="Heading 3 Char"/>
    <w:basedOn w:val="DefaultParagraphFont"/>
    <w:link w:val="Heading3"/>
    <w:uiPriority w:val="9"/>
    <w:rsid w:val="000704F5"/>
    <w:rPr>
      <w:rFonts w:ascii="Times New Roman" w:hAnsi="Times New Roman" w:cs="Times New Roman"/>
    </w:rPr>
  </w:style>
  <w:style w:type="paragraph" w:styleId="FootnoteText">
    <w:name w:val="footnote text"/>
    <w:basedOn w:val="Normal"/>
    <w:link w:val="FootnoteTextChar"/>
    <w:uiPriority w:val="99"/>
    <w:semiHidden/>
    <w:unhideWhenUsed/>
    <w:rsid w:val="000704F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704F5"/>
    <w:rPr>
      <w:sz w:val="20"/>
      <w:szCs w:val="20"/>
    </w:rPr>
  </w:style>
  <w:style w:type="character" w:styleId="FootnoteReference">
    <w:name w:val="footnote reference"/>
    <w:basedOn w:val="DefaultParagraphFont"/>
    <w:uiPriority w:val="99"/>
    <w:semiHidden/>
    <w:unhideWhenUsed/>
    <w:rsid w:val="000704F5"/>
    <w:rPr>
      <w:vertAlign w:val="superscript"/>
    </w:rPr>
  </w:style>
  <w:style w:type="paragraph" w:styleId="Header">
    <w:name w:val="header"/>
    <w:basedOn w:val="Normal"/>
    <w:link w:val="HeaderChar"/>
    <w:uiPriority w:val="99"/>
    <w:unhideWhenUsed/>
    <w:rsid w:val="000704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04F5"/>
  </w:style>
  <w:style w:type="paragraph" w:styleId="Footer">
    <w:name w:val="footer"/>
    <w:basedOn w:val="Normal"/>
    <w:link w:val="FooterChar"/>
    <w:uiPriority w:val="99"/>
    <w:unhideWhenUsed/>
    <w:rsid w:val="000704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04F5"/>
  </w:style>
  <w:style w:type="character" w:styleId="PlaceholderText">
    <w:name w:val="Placeholder Text"/>
    <w:basedOn w:val="DefaultParagraphFont"/>
    <w:uiPriority w:val="99"/>
    <w:semiHidden/>
    <w:rsid w:val="006609DA"/>
    <w:rPr>
      <w:color w:val="808080"/>
    </w:rPr>
  </w:style>
  <w:style w:type="table" w:customStyle="1" w:styleId="TableGrid">
    <w:name w:val="TableGrid"/>
    <w:rsid w:val="000A51A9"/>
    <w:pPr>
      <w:spacing w:after="0" w:line="240" w:lineRule="auto"/>
    </w:pPr>
    <w:rPr>
      <w:rFonts w:eastAsiaTheme="minorEastAsia"/>
    </w:rPr>
    <w:tblPr>
      <w:tblCellMar>
        <w:top w:w="0" w:type="dxa"/>
        <w:left w:w="0" w:type="dxa"/>
        <w:bottom w:w="0" w:type="dxa"/>
        <w:right w:w="0" w:type="dxa"/>
      </w:tblCellMar>
    </w:tblPr>
  </w:style>
  <w:style w:type="paragraph" w:styleId="TableofFigures">
    <w:name w:val="table of figures"/>
    <w:basedOn w:val="Normal"/>
    <w:next w:val="Normal"/>
    <w:uiPriority w:val="99"/>
    <w:unhideWhenUsed/>
    <w:rsid w:val="000E6933"/>
    <w:pPr>
      <w:spacing w:after="0"/>
    </w:pPr>
    <w:rPr>
      <w:rFonts w:ascii="Arial" w:hAnsi="Arial"/>
    </w:rPr>
  </w:style>
  <w:style w:type="paragraph" w:styleId="Caption">
    <w:name w:val="caption"/>
    <w:basedOn w:val="Normal"/>
    <w:next w:val="Normal"/>
    <w:uiPriority w:val="35"/>
    <w:unhideWhenUsed/>
    <w:qFormat/>
    <w:rsid w:val="00184EB9"/>
    <w:pPr>
      <w:spacing w:after="200" w:line="240" w:lineRule="auto"/>
    </w:pPr>
    <w:rPr>
      <w:rFonts w:ascii="Arial" w:hAnsi="Arial"/>
      <w:b/>
      <w:iCs/>
      <w:sz w:val="20"/>
      <w:szCs w:val="18"/>
    </w:rPr>
  </w:style>
  <w:style w:type="table" w:styleId="ListTable1Light-Accent3">
    <w:name w:val="List Table 1 Light Accent 3"/>
    <w:basedOn w:val="TableNormal"/>
    <w:uiPriority w:val="46"/>
    <w:rsid w:val="00184EB9"/>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TOCHeading">
    <w:name w:val="TOC Heading"/>
    <w:basedOn w:val="Heading1"/>
    <w:next w:val="Normal"/>
    <w:uiPriority w:val="39"/>
    <w:unhideWhenUsed/>
    <w:qFormat/>
    <w:rsid w:val="00D64D47"/>
    <w:pPr>
      <w:spacing w:before="240" w:after="0" w:line="259" w:lineRule="auto"/>
      <w:outlineLvl w:val="9"/>
    </w:pPr>
    <w:rPr>
      <w:rFonts w:asciiTheme="majorHAnsi" w:eastAsiaTheme="majorEastAsia" w:hAnsiTheme="majorHAnsi" w:cstheme="majorBidi"/>
      <w:b w:val="0"/>
      <w:color w:val="2F5496" w:themeColor="accent1" w:themeShade="BF"/>
      <w:sz w:val="32"/>
      <w:szCs w:val="32"/>
    </w:rPr>
  </w:style>
  <w:style w:type="paragraph" w:styleId="TOC1">
    <w:name w:val="toc 1"/>
    <w:basedOn w:val="Normal"/>
    <w:next w:val="Normal"/>
    <w:autoRedefine/>
    <w:uiPriority w:val="39"/>
    <w:unhideWhenUsed/>
    <w:rsid w:val="00D64D47"/>
    <w:pPr>
      <w:spacing w:after="100"/>
    </w:pPr>
    <w:rPr>
      <w:rFonts w:ascii="Arial" w:hAnsi="Arial"/>
    </w:rPr>
  </w:style>
  <w:style w:type="paragraph" w:styleId="TOC2">
    <w:name w:val="toc 2"/>
    <w:basedOn w:val="Normal"/>
    <w:next w:val="Normal"/>
    <w:autoRedefine/>
    <w:uiPriority w:val="39"/>
    <w:unhideWhenUsed/>
    <w:rsid w:val="00D64D47"/>
    <w:pPr>
      <w:spacing w:after="100"/>
      <w:ind w:left="220"/>
    </w:pPr>
    <w:rPr>
      <w:rFonts w:ascii="Arial" w:hAnsi="Arial"/>
    </w:rPr>
  </w:style>
  <w:style w:type="table" w:styleId="TableGrid0">
    <w:name w:val="Table Grid"/>
    <w:basedOn w:val="TableNormal"/>
    <w:uiPriority w:val="39"/>
    <w:rsid w:val="00D10B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C76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7608531">
      <w:bodyDiv w:val="1"/>
      <w:marLeft w:val="0"/>
      <w:marRight w:val="0"/>
      <w:marTop w:val="0"/>
      <w:marBottom w:val="0"/>
      <w:divBdr>
        <w:top w:val="none" w:sz="0" w:space="0" w:color="auto"/>
        <w:left w:val="none" w:sz="0" w:space="0" w:color="auto"/>
        <w:bottom w:val="none" w:sz="0" w:space="0" w:color="auto"/>
        <w:right w:val="none" w:sz="0" w:space="0" w:color="auto"/>
      </w:divBdr>
    </w:div>
    <w:div w:id="1151294272">
      <w:bodyDiv w:val="1"/>
      <w:marLeft w:val="0"/>
      <w:marRight w:val="0"/>
      <w:marTop w:val="0"/>
      <w:marBottom w:val="0"/>
      <w:divBdr>
        <w:top w:val="none" w:sz="0" w:space="0" w:color="auto"/>
        <w:left w:val="none" w:sz="0" w:space="0" w:color="auto"/>
        <w:bottom w:val="none" w:sz="0" w:space="0" w:color="auto"/>
        <w:right w:val="none" w:sz="0" w:space="0" w:color="auto"/>
      </w:divBdr>
    </w:div>
    <w:div w:id="1277755787">
      <w:bodyDiv w:val="1"/>
      <w:marLeft w:val="0"/>
      <w:marRight w:val="0"/>
      <w:marTop w:val="0"/>
      <w:marBottom w:val="0"/>
      <w:divBdr>
        <w:top w:val="none" w:sz="0" w:space="0" w:color="auto"/>
        <w:left w:val="none" w:sz="0" w:space="0" w:color="auto"/>
        <w:bottom w:val="none" w:sz="0" w:space="0" w:color="auto"/>
        <w:right w:val="none" w:sz="0" w:space="0" w:color="auto"/>
      </w:divBdr>
    </w:div>
    <w:div w:id="15916228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2.svg"/><Relationship Id="rId18" Type="http://schemas.openxmlformats.org/officeDocument/2006/relationships/footer" Target="footer2.xml"/><Relationship Id="rId26" Type="http://schemas.openxmlformats.org/officeDocument/2006/relationships/image" Target="media/image13.png"/><Relationship Id="rId39" Type="http://schemas.openxmlformats.org/officeDocument/2006/relationships/image" Target="media/image26.svg"/><Relationship Id="rId21" Type="http://schemas.openxmlformats.org/officeDocument/2006/relationships/image" Target="media/image8.svg"/><Relationship Id="rId34" Type="http://schemas.openxmlformats.org/officeDocument/2006/relationships/image" Target="media/image21.png"/><Relationship Id="rId42" Type="http://schemas.openxmlformats.org/officeDocument/2006/relationships/image" Target="media/image29.emf"/><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png"/><Relationship Id="rId29" Type="http://schemas.openxmlformats.org/officeDocument/2006/relationships/image" Target="media/image16.sv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jgcri.github.io/gcam-doc/" TargetMode="External"/><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image" Target="media/image24.svg"/><Relationship Id="rId40" Type="http://schemas.openxmlformats.org/officeDocument/2006/relationships/image" Target="media/image27.pn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image" Target="media/image10.svg"/><Relationship Id="rId28" Type="http://schemas.openxmlformats.org/officeDocument/2006/relationships/image" Target="media/image15.png"/><Relationship Id="rId36" Type="http://schemas.openxmlformats.org/officeDocument/2006/relationships/image" Target="media/image23.png"/><Relationship Id="rId10" Type="http://schemas.openxmlformats.org/officeDocument/2006/relationships/hyperlink" Target="https://jgcri.github.io/gcam-doc/updates.html" TargetMode="External"/><Relationship Id="rId19" Type="http://schemas.openxmlformats.org/officeDocument/2006/relationships/image" Target="media/image6.png"/><Relationship Id="rId31" Type="http://schemas.openxmlformats.org/officeDocument/2006/relationships/image" Target="media/image18.sv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png"/><Relationship Id="rId22" Type="http://schemas.openxmlformats.org/officeDocument/2006/relationships/image" Target="media/image9.png"/><Relationship Id="rId27" Type="http://schemas.openxmlformats.org/officeDocument/2006/relationships/image" Target="media/image14.sv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30.emf"/><Relationship Id="rId8" Type="http://schemas.openxmlformats.org/officeDocument/2006/relationships/hyperlink" Target="mailto:xin.zhao@pnnl.gov" TargetMode="External"/><Relationship Id="rId3"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eader" Target="header1.xml"/><Relationship Id="rId25" Type="http://schemas.openxmlformats.org/officeDocument/2006/relationships/image" Target="media/image12.svg"/><Relationship Id="rId33" Type="http://schemas.openxmlformats.org/officeDocument/2006/relationships/image" Target="media/image20.svg"/><Relationship Id="rId38" Type="http://schemas.openxmlformats.org/officeDocument/2006/relationships/image" Target="media/image25.png"/><Relationship Id="rId20" Type="http://schemas.openxmlformats.org/officeDocument/2006/relationships/image" Target="media/image7.png"/><Relationship Id="rId41" Type="http://schemas.openxmlformats.org/officeDocument/2006/relationships/image" Target="media/image28.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D7ADDE-5493-4030-8367-7175FDFDCE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464</TotalTime>
  <Pages>32</Pages>
  <Words>6509</Words>
  <Characters>37936</Characters>
  <Application>Microsoft Office Word</Application>
  <DocSecurity>0</DocSecurity>
  <Lines>879</Lines>
  <Paragraphs>438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xin.zhao@pnnl.gov</dc:creator>
  <cp:keywords/>
  <dc:description/>
  <cp:lastModifiedBy>Zhao, Xin</cp:lastModifiedBy>
  <cp:revision>156</cp:revision>
  <cp:lastPrinted>2024-03-28T16:30:00Z</cp:lastPrinted>
  <dcterms:created xsi:type="dcterms:W3CDTF">2024-03-27T19:06:00Z</dcterms:created>
  <dcterms:modified xsi:type="dcterms:W3CDTF">2024-04-12T21:42:00Z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32f51b17-1634-4da7-95a2-8dd847f892b0</vt:lpwstr>
  </property>
  <property fmtid="{D5CDD505-2E9C-101B-9397-08002B2CF9AE}" pid="3" name="ZOTERO_PREF_1">
    <vt:lpwstr>&lt;data data-version="3" zotero-version="6.0.36"&gt;&lt;session id="SV7kDkUs"/&gt;&lt;style id="http://www.zotero.org/styles/nature" hasBibliography="1" bibliographyStyleHasBeenSet="1"/&gt;&lt;prefs&gt;&lt;pref name="fieldType" value="Field"/&gt;&lt;pref name="automaticJournalAbbreviati</vt:lpwstr>
  </property>
  <property fmtid="{D5CDD505-2E9C-101B-9397-08002B2CF9AE}" pid="4" name="ZOTERO_PREF_2">
    <vt:lpwstr>ons" value="true"/&gt;&lt;pref name="delayCitationUpdates" value="true"/&gt;&lt;/prefs&gt;&lt;/data&gt;</vt:lpwstr>
  </property>
</Properties>
</file>