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drawing>
          <wp:inline distB="114300" distT="114300" distL="114300" distR="114300">
            <wp:extent cx="5315277" cy="4471988"/>
            <wp:effectExtent b="0" l="0" r="0" t="0"/>
            <wp:docPr id="1"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315277" cy="44719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Figure 1: Example of out planted </w:t>
      </w:r>
      <w:r w:rsidDel="00000000" w:rsidR="00000000" w:rsidRPr="00000000">
        <w:rPr>
          <w:rFonts w:ascii="Times New Roman" w:cs="Times New Roman" w:eastAsia="Times New Roman" w:hAnsi="Times New Roman"/>
          <w:b w:val="1"/>
          <w:i w:val="1"/>
          <w:sz w:val="24"/>
          <w:szCs w:val="24"/>
          <w:rtl w:val="0"/>
        </w:rPr>
        <w:t xml:space="preserve">Acropora palmata </w:t>
      </w:r>
      <w:r w:rsidDel="00000000" w:rsidR="00000000" w:rsidRPr="00000000">
        <w:rPr>
          <w:rFonts w:ascii="Times New Roman" w:cs="Times New Roman" w:eastAsia="Times New Roman" w:hAnsi="Times New Roman"/>
          <w:b w:val="1"/>
          <w:sz w:val="24"/>
          <w:szCs w:val="24"/>
          <w:rtl w:val="0"/>
        </w:rPr>
        <w:t xml:space="preserve">cluster</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 planted cow tagged cluster of </w:t>
      </w:r>
      <w:r w:rsidDel="00000000" w:rsidR="00000000" w:rsidRPr="00000000">
        <w:rPr>
          <w:rFonts w:ascii="Times New Roman" w:cs="Times New Roman" w:eastAsia="Times New Roman" w:hAnsi="Times New Roman"/>
          <w:i w:val="1"/>
          <w:sz w:val="24"/>
          <w:szCs w:val="24"/>
          <w:rtl w:val="0"/>
        </w:rPr>
        <w:t xml:space="preserve">A. palmata</w:t>
      </w:r>
      <w:r w:rsidDel="00000000" w:rsidR="00000000" w:rsidRPr="00000000">
        <w:rPr>
          <w:rFonts w:ascii="Times New Roman" w:cs="Times New Roman" w:eastAsia="Times New Roman" w:hAnsi="Times New Roman"/>
          <w:sz w:val="24"/>
          <w:szCs w:val="24"/>
          <w:rtl w:val="0"/>
        </w:rPr>
        <w:t xml:space="preserve"> with numeric identifiers assigned. Cow tag is shown at the bottom of the picture and outlined in yellow. Numeric identifiers are indicated by red arrows which allowed tracking of each fragment in each cow tagged cluster over time. </w:t>
      </w:r>
    </w:p>
    <w:p w:rsidR="00000000" w:rsidDel="00000000" w:rsidP="00000000" w:rsidRDefault="00000000" w:rsidRPr="00000000" w14:paraId="00000004">
      <w:pPr>
        <w:jc w:val="left"/>
        <w:rPr/>
        <w:sectPr>
          <w:pgSz w:h="15840" w:w="12240" w:orient="portrait"/>
          <w:pgMar w:bottom="1440" w:top="1440" w:left="1440" w:right="1440" w:header="720" w:footer="720"/>
          <w:lnNumType w:countBy="1" w:start="0" w:restart="continuous"/>
          <w:pgNumType w:start="1"/>
        </w:sect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drawing>
          <wp:inline distB="114300" distT="114300" distL="114300" distR="114300">
            <wp:extent cx="7615238" cy="4133734"/>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7615238" cy="4133734"/>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jc w:val="left"/>
        <w:rPr/>
      </w:pPr>
      <w:r w:rsidDel="00000000" w:rsidR="00000000" w:rsidRPr="00000000">
        <w:rPr>
          <w:rtl w:val="0"/>
        </w:rPr>
        <w:t xml:space="preserve">Supplementary Figure 2: Identification of an unexplained driver of gene expression through hierarchical clustering analysis. </w:t>
      </w:r>
    </w:p>
    <w:p w:rsidR="00000000" w:rsidDel="00000000" w:rsidP="00000000" w:rsidRDefault="00000000" w:rsidRPr="00000000" w14:paraId="00000007">
      <w:pPr>
        <w:numPr>
          <w:ilvl w:val="0"/>
          <w:numId w:val="1"/>
        </w:numPr>
        <w:ind w:left="720" w:hanging="360"/>
        <w:jc w:val="left"/>
        <w:rPr>
          <w:u w:val="none"/>
        </w:rPr>
      </w:pPr>
      <w:r w:rsidDel="00000000" w:rsidR="00000000" w:rsidRPr="00000000">
        <w:rPr>
          <w:rtl w:val="0"/>
        </w:rPr>
        <w:t xml:space="preserve">Hierarchical clustering of all samples split by the identified surrogate variable (black = cluster 1, blue = cluster 2). </w:t>
      </w:r>
    </w:p>
    <w:p w:rsidR="00000000" w:rsidDel="00000000" w:rsidP="00000000" w:rsidRDefault="00000000" w:rsidRPr="00000000" w14:paraId="00000008">
      <w:pPr>
        <w:numPr>
          <w:ilvl w:val="0"/>
          <w:numId w:val="1"/>
        </w:numPr>
        <w:ind w:left="720" w:hanging="360"/>
        <w:jc w:val="left"/>
        <w:rPr>
          <w:u w:val="none"/>
        </w:rPr>
      </w:pPr>
      <w:r w:rsidDel="00000000" w:rsidR="00000000" w:rsidRPr="00000000">
        <w:rPr>
          <w:rtl w:val="0"/>
        </w:rPr>
        <w:t xml:space="preserve">Hierarchical clustering of all samples and coloured by genet (</w:t>
      </w:r>
      <w:r w:rsidDel="00000000" w:rsidR="00000000" w:rsidRPr="00000000">
        <w:rPr>
          <w:rFonts w:ascii="Times New Roman" w:cs="Times New Roman" w:eastAsia="Times New Roman" w:hAnsi="Times New Roman"/>
          <w:sz w:val="24"/>
          <w:szCs w:val="24"/>
          <w:rtl w:val="0"/>
        </w:rPr>
        <w:t xml:space="preserve">tan = CN2, blue = CN4, green = HS1, gray = ML2).</w:t>
      </w:r>
      <w:r w:rsidDel="00000000" w:rsidR="00000000" w:rsidRPr="00000000">
        <w:rPr>
          <w:rtl w:val="0"/>
        </w:rPr>
      </w:r>
    </w:p>
    <w:p w:rsidR="00000000" w:rsidDel="00000000" w:rsidP="00000000" w:rsidRDefault="00000000" w:rsidRPr="00000000" w14:paraId="00000009">
      <w:pPr>
        <w:numPr>
          <w:ilvl w:val="0"/>
          <w:numId w:val="1"/>
        </w:numPr>
        <w:ind w:left="720" w:hanging="360"/>
        <w:jc w:val="left"/>
        <w:rPr>
          <w:u w:val="none"/>
        </w:rPr>
      </w:pPr>
      <w:r w:rsidDel="00000000" w:rsidR="00000000" w:rsidRPr="00000000">
        <w:rPr>
          <w:rtl w:val="0"/>
        </w:rPr>
        <w:t xml:space="preserve">Hierarchical clustering of samples by reef site (orange = Carysfort Reef, red = North Dry Rocks, blue = Pickles Reef).</w:t>
      </w:r>
    </w:p>
    <w:p w:rsidR="00000000" w:rsidDel="00000000" w:rsidP="00000000" w:rsidRDefault="00000000" w:rsidRPr="00000000" w14:paraId="0000000A">
      <w:pPr>
        <w:numPr>
          <w:ilvl w:val="0"/>
          <w:numId w:val="1"/>
        </w:numPr>
        <w:ind w:left="720" w:hanging="360"/>
        <w:jc w:val="left"/>
        <w:rPr>
          <w:u w:val="none"/>
        </w:rPr>
      </w:pPr>
      <w:r w:rsidDel="00000000" w:rsidR="00000000" w:rsidRPr="00000000">
        <w:rPr>
          <w:rtl w:val="0"/>
        </w:rPr>
        <w:t xml:space="preserve">Hierarchical clustering of samples coloured by sampling time point (red = sampling time point 2, green = sampling time point 3, blue = sampling time point 4, purple = sampling time point 5). </w:t>
      </w:r>
    </w:p>
    <w:p w:rsidR="00000000" w:rsidDel="00000000" w:rsidP="00000000" w:rsidRDefault="00000000" w:rsidRPr="00000000" w14:paraId="0000000B">
      <w:pPr>
        <w:ind w:left="0" w:firstLine="0"/>
        <w:jc w:val="left"/>
        <w:rPr/>
      </w:pPr>
      <w:r w:rsidDel="00000000" w:rsidR="00000000" w:rsidRPr="00000000">
        <w:rPr>
          <w:rtl w:val="0"/>
        </w:rPr>
        <w:t xml:space="preserve">For all, input data for hierarchical clustering was the variance stabilized transformed raw counts that had undergone low gene and sample count filtering. </w:t>
      </w:r>
    </w:p>
    <w:p w:rsidR="00000000" w:rsidDel="00000000" w:rsidP="00000000" w:rsidRDefault="00000000" w:rsidRPr="00000000" w14:paraId="0000000C">
      <w:pPr>
        <w:jc w:val="center"/>
        <w:rPr/>
      </w:pPr>
      <w:r w:rsidDel="00000000" w:rsidR="00000000" w:rsidRPr="00000000">
        <w:rPr/>
        <w:drawing>
          <wp:inline distB="114300" distT="114300" distL="114300" distR="114300">
            <wp:extent cx="6634163" cy="3969748"/>
            <wp:effectExtent b="0" l="0" r="0" t="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634163" cy="3969748"/>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jc w:val="left"/>
        <w:rPr/>
      </w:pPr>
      <w:r w:rsidDel="00000000" w:rsidR="00000000" w:rsidRPr="00000000">
        <w:rPr>
          <w:rtl w:val="0"/>
        </w:rPr>
        <w:t xml:space="preserve">Supplementary Figure 3: Enrichment map plots and overlap of neurodegenerative disease genes between identified genet clusters</w:t>
      </w:r>
    </w:p>
    <w:p w:rsidR="00000000" w:rsidDel="00000000" w:rsidP="00000000" w:rsidRDefault="00000000" w:rsidRPr="00000000" w14:paraId="0000000E">
      <w:pPr>
        <w:numPr>
          <w:ilvl w:val="0"/>
          <w:numId w:val="2"/>
        </w:numPr>
        <w:ind w:left="720" w:hanging="360"/>
        <w:jc w:val="left"/>
        <w:rPr>
          <w:u w:val="none"/>
        </w:rPr>
      </w:pPr>
      <w:r w:rsidDel="00000000" w:rsidR="00000000" w:rsidRPr="00000000">
        <w:rPr>
          <w:rtl w:val="0"/>
        </w:rPr>
        <w:t xml:space="preserve">Enrichment plot of significantly enriched KEGG terms from Cluster 3</w:t>
      </w:r>
    </w:p>
    <w:p w:rsidR="00000000" w:rsidDel="00000000" w:rsidP="00000000" w:rsidRDefault="00000000" w:rsidRPr="00000000" w14:paraId="0000000F">
      <w:pPr>
        <w:numPr>
          <w:ilvl w:val="0"/>
          <w:numId w:val="2"/>
        </w:numPr>
        <w:ind w:left="720" w:hanging="360"/>
      </w:pPr>
      <w:r w:rsidDel="00000000" w:rsidR="00000000" w:rsidRPr="00000000">
        <w:rPr>
          <w:rtl w:val="0"/>
        </w:rPr>
        <w:t xml:space="preserve">Enrichment plot of significantly enriched KEGG terms from Cluster 4 </w:t>
      </w:r>
    </w:p>
    <w:p w:rsidR="00000000" w:rsidDel="00000000" w:rsidP="00000000" w:rsidRDefault="00000000" w:rsidRPr="00000000" w14:paraId="00000010">
      <w:pPr>
        <w:numPr>
          <w:ilvl w:val="0"/>
          <w:numId w:val="2"/>
        </w:numPr>
        <w:ind w:left="720" w:hanging="360"/>
      </w:pPr>
      <w:r w:rsidDel="00000000" w:rsidR="00000000" w:rsidRPr="00000000">
        <w:rPr>
          <w:rtl w:val="0"/>
        </w:rPr>
        <w:t xml:space="preserve">Enrichment plot of significantly enriched KEGG terms from Cluster 6</w:t>
      </w:r>
    </w:p>
    <w:p w:rsidR="00000000" w:rsidDel="00000000" w:rsidP="00000000" w:rsidRDefault="00000000" w:rsidRPr="00000000" w14:paraId="00000011">
      <w:pPr>
        <w:numPr>
          <w:ilvl w:val="0"/>
          <w:numId w:val="2"/>
        </w:numPr>
        <w:ind w:left="720" w:hanging="360"/>
        <w:jc w:val="left"/>
        <w:rPr>
          <w:u w:val="none"/>
        </w:rPr>
      </w:pPr>
      <w:r w:rsidDel="00000000" w:rsidR="00000000" w:rsidRPr="00000000">
        <w:rPr>
          <w:rtl w:val="0"/>
        </w:rPr>
        <w:t xml:space="preserve">Venn diagram showing the overlap of the genes present in Clusters from the DEGpatterns analysis of significant LRT genes between genets with significantly enriched KEGG pathway terms linked to Neurodegenerative diseases.</w:t>
      </w:r>
    </w:p>
    <w:p w:rsidR="00000000" w:rsidDel="00000000" w:rsidP="00000000" w:rsidRDefault="00000000" w:rsidRPr="00000000" w14:paraId="00000012">
      <w:pPr>
        <w:jc w:val="left"/>
        <w:rPr/>
      </w:pPr>
      <w:r w:rsidDel="00000000" w:rsidR="00000000" w:rsidRPr="00000000">
        <w:rPr>
          <w:rtl w:val="0"/>
        </w:rPr>
      </w:r>
    </w:p>
    <w:p w:rsidR="00000000" w:rsidDel="00000000" w:rsidP="00000000" w:rsidRDefault="00000000" w:rsidRPr="00000000" w14:paraId="00000013">
      <w:pPr>
        <w:jc w:val="left"/>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rtl w:val="0"/>
        </w:rPr>
      </w:r>
    </w:p>
    <w:p w:rsidR="00000000" w:rsidDel="00000000" w:rsidP="00000000" w:rsidRDefault="00000000" w:rsidRPr="00000000" w14:paraId="00000015">
      <w:pPr>
        <w:jc w:val="left"/>
        <w:rPr/>
      </w:pPr>
      <w:r w:rsidDel="00000000" w:rsidR="00000000" w:rsidRPr="00000000">
        <w:rPr>
          <w:rtl w:val="0"/>
        </w:rPr>
      </w:r>
    </w:p>
    <w:p w:rsidR="00000000" w:rsidDel="00000000" w:rsidP="00000000" w:rsidRDefault="00000000" w:rsidRPr="00000000" w14:paraId="00000016">
      <w:pPr>
        <w:jc w:val="left"/>
        <w:rPr/>
      </w:pPr>
      <w:r w:rsidDel="00000000" w:rsidR="00000000" w:rsidRPr="00000000">
        <w:rPr/>
        <w:drawing>
          <wp:inline distB="114300" distT="114300" distL="114300" distR="114300">
            <wp:extent cx="8229600" cy="4711700"/>
            <wp:effectExtent b="0" l="0" r="0" t="0"/>
            <wp:docPr id="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8229600" cy="47117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jc w:val="left"/>
        <w:rPr/>
        <w:sectPr>
          <w:type w:val="nextPage"/>
          <w:pgSz w:h="12240" w:w="15840" w:orient="landscape"/>
          <w:pgMar w:bottom="1440" w:top="1440" w:left="1440" w:right="1440" w:header="720" w:footer="720"/>
          <w:lnNumType w:countBy="1" w:start="0" w:restart="continuous"/>
        </w:sectPr>
      </w:pPr>
      <w:r w:rsidDel="00000000" w:rsidR="00000000" w:rsidRPr="00000000">
        <w:rPr>
          <w:rtl w:val="0"/>
        </w:rPr>
        <w:t xml:space="preserve">Supplementary FIgure 4: Full WGCNA co-expression module-to-trait correlation heatmap. For heatmap fill, red = positive correlation, blue = negative correlation. For each cell, upper value is the Pearson correlation, lower value is significance. </w:t>
      </w:r>
    </w:p>
    <w:p w:rsidR="00000000" w:rsidDel="00000000" w:rsidP="00000000" w:rsidRDefault="00000000" w:rsidRPr="00000000" w14:paraId="00000018">
      <w:pPr>
        <w:jc w:val="left"/>
        <w:rPr/>
      </w:pPr>
      <w:r w:rsidDel="00000000" w:rsidR="00000000" w:rsidRPr="00000000">
        <w:rPr>
          <w:rtl w:val="0"/>
        </w:rPr>
      </w:r>
    </w:p>
    <w:sectPr>
      <w:type w:val="nextPage"/>
      <w:pgSz w:h="15840" w:w="12240" w:orient="portrait"/>
      <w:pgMar w:bottom="1440" w:top="1440" w:left="1440" w:right="1440" w:header="720" w:footer="720"/>
      <w:lnNumType w:countBy="1" w:start="0" w:restart="continuou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