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9855" w14:textId="77777777" w:rsidR="00F67D19" w:rsidRDefault="00F67D19" w:rsidP="005A259F">
      <w:pPr>
        <w:spacing w:line="360" w:lineRule="auto"/>
        <w:jc w:val="center"/>
      </w:pPr>
    </w:p>
    <w:p w14:paraId="3C52E3C6" w14:textId="77777777" w:rsidR="00F67D19" w:rsidRDefault="00F67D19" w:rsidP="00F67D19">
      <w:pPr>
        <w:spacing w:line="360" w:lineRule="auto"/>
        <w:jc w:val="center"/>
        <w:rPr>
          <w:rFonts w:cs="Times New Roman"/>
          <w:b/>
          <w:bCs/>
          <w:sz w:val="32"/>
          <w:szCs w:val="32"/>
          <w:lang w:bidi="fa-IR"/>
        </w:rPr>
        <w:sectPr w:rsidR="00F67D1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B1EB6">
        <w:rPr>
          <w:rFonts w:cs="Times New Roman"/>
          <w:b/>
          <w:bCs/>
          <w:sz w:val="32"/>
          <w:szCs w:val="32"/>
          <w:lang w:bidi="fa-IR"/>
        </w:rPr>
        <w:t xml:space="preserve">A Comprehensive </w:t>
      </w:r>
      <w:proofErr w:type="spellStart"/>
      <w:r w:rsidRPr="005B1EB6">
        <w:rPr>
          <w:rFonts w:cs="Times New Roman"/>
          <w:b/>
          <w:bCs/>
          <w:sz w:val="32"/>
          <w:szCs w:val="32"/>
          <w:lang w:bidi="fa-IR"/>
        </w:rPr>
        <w:t>Scientometric</w:t>
      </w:r>
      <w:proofErr w:type="spellEnd"/>
      <w:r w:rsidRPr="005B1EB6">
        <w:rPr>
          <w:rFonts w:cs="Times New Roman"/>
          <w:b/>
          <w:bCs/>
          <w:sz w:val="32"/>
          <w:szCs w:val="32"/>
          <w:lang w:bidi="fa-IR"/>
        </w:rPr>
        <w:t xml:space="preserve"> Analysis of the Role of Environmental Health in the Prevention and Control of Environment-Related Diseases Worldwide</w:t>
      </w:r>
    </w:p>
    <w:p w14:paraId="0C3B199B" w14:textId="693D20A7" w:rsidR="005A259F" w:rsidRDefault="005A259F" w:rsidP="005A259F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F922712" wp14:editId="14F1B6A2">
            <wp:extent cx="6030595" cy="3409624"/>
            <wp:effectExtent l="0" t="0" r="8255" b="63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AC63340C-3C8A-B3AC-E81E-756BE05530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25204E2" w14:textId="77777777" w:rsidR="005A259F" w:rsidRPr="00940157" w:rsidRDefault="005A259F" w:rsidP="005A259F">
      <w:pPr>
        <w:spacing w:line="360" w:lineRule="auto"/>
        <w:jc w:val="center"/>
        <w:rPr>
          <w:rFonts w:cs="Times New Roman"/>
          <w:szCs w:val="24"/>
        </w:rPr>
      </w:pPr>
      <w:r w:rsidRPr="00940157">
        <w:rPr>
          <w:rFonts w:cs="Times New Roman"/>
          <w:b/>
          <w:bCs/>
          <w:szCs w:val="24"/>
        </w:rPr>
        <w:t xml:space="preserve">Figure </w:t>
      </w:r>
      <w:r>
        <w:rPr>
          <w:rFonts w:cs="Times New Roman"/>
          <w:b/>
          <w:bCs/>
          <w:szCs w:val="24"/>
        </w:rPr>
        <w:t>S2</w:t>
      </w:r>
      <w:r w:rsidRPr="00940157">
        <w:rPr>
          <w:rFonts w:cs="Times New Roman"/>
          <w:b/>
          <w:bCs/>
          <w:szCs w:val="24"/>
        </w:rPr>
        <w:t xml:space="preserve">. </w:t>
      </w:r>
      <w:r w:rsidRPr="00424E6C">
        <w:rPr>
          <w:rFonts w:cs="Times New Roman"/>
          <w:szCs w:val="24"/>
          <w:lang w:bidi="fa-IR"/>
        </w:rPr>
        <w:t>The</w:t>
      </w:r>
      <w:r>
        <w:rPr>
          <w:rFonts w:cs="Times New Roman"/>
          <w:szCs w:val="24"/>
          <w:lang w:bidi="fa-IR"/>
        </w:rPr>
        <w:t xml:space="preserve"> annual </w:t>
      </w:r>
      <w:r w:rsidRPr="008E14C2">
        <w:rPr>
          <w:rFonts w:cs="Times New Roman"/>
          <w:szCs w:val="24"/>
        </w:rPr>
        <w:t>growth</w:t>
      </w:r>
      <w:r w:rsidRPr="005125F4">
        <w:rPr>
          <w:rFonts w:cs="Times New Roman"/>
          <w:szCs w:val="24"/>
          <w:lang w:bidi="fa-IR"/>
        </w:rPr>
        <w:t xml:space="preserve"> trend </w:t>
      </w:r>
      <w:r w:rsidRPr="008E14C2">
        <w:rPr>
          <w:rFonts w:cs="Times New Roman"/>
          <w:szCs w:val="24"/>
        </w:rPr>
        <w:t xml:space="preserve">of </w:t>
      </w:r>
      <w:r w:rsidRPr="005125F4">
        <w:rPr>
          <w:rFonts w:cs="Times New Roman"/>
          <w:szCs w:val="24"/>
          <w:lang w:bidi="fa-IR"/>
        </w:rPr>
        <w:t>publication</w:t>
      </w:r>
      <w:r>
        <w:rPr>
          <w:rFonts w:cs="Times New Roman"/>
          <w:szCs w:val="24"/>
          <w:lang w:bidi="fa-IR"/>
        </w:rPr>
        <w:t>s</w:t>
      </w:r>
      <w:r w:rsidRPr="005125F4">
        <w:rPr>
          <w:rFonts w:cs="Times New Roman"/>
          <w:szCs w:val="24"/>
          <w:lang w:bidi="fa-IR"/>
        </w:rPr>
        <w:t xml:space="preserve"> in </w:t>
      </w:r>
      <w:r w:rsidRPr="008E14C2">
        <w:rPr>
          <w:rFonts w:cs="Times New Roman"/>
          <w:szCs w:val="24"/>
        </w:rPr>
        <w:t xml:space="preserve">the field of </w:t>
      </w:r>
      <w:r w:rsidRPr="005125F4">
        <w:rPr>
          <w:rFonts w:cs="Times New Roman"/>
          <w:szCs w:val="24"/>
          <w:lang w:bidi="fa-IR"/>
        </w:rPr>
        <w:t xml:space="preserve">environmental health and </w:t>
      </w:r>
      <w:r w:rsidRPr="00424E6C">
        <w:t>diseases related to environmental factors</w:t>
      </w:r>
    </w:p>
    <w:p w14:paraId="6E75E5E1" w14:textId="77777777" w:rsidR="00C307D7" w:rsidRDefault="00C307D7"/>
    <w:sectPr w:rsidR="00C30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9F"/>
    <w:rsid w:val="005A259F"/>
    <w:rsid w:val="00C307D7"/>
    <w:rsid w:val="00F6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E8507"/>
  <w15:chartTrackingRefBased/>
  <w15:docId w15:val="{00537C9C-7ED4-47D5-9436-516D5E62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59F"/>
    <w:pPr>
      <w:spacing w:after="0" w:line="240" w:lineRule="auto"/>
    </w:pPr>
    <w:rPr>
      <w:rFonts w:ascii="Times New Roman" w:eastAsia="Calibri" w:hAnsi="Times New Roman" w:cs="B Zar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environment%20and%20diseases\Annual_Product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51940891958931"/>
          <c:y val="5.7626072329951032E-2"/>
          <c:w val="0.88599032593806437"/>
          <c:h val="0.805018163811420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Articles</c:v>
                </c:pt>
              </c:strCache>
            </c:strRef>
          </c:tx>
          <c:spPr>
            <a:solidFill>
              <a:srgbClr val="3333FF">
                <a:alpha val="86667"/>
              </a:srgbClr>
            </a:solidFill>
            <a:ln w="12700" cap="flat" cmpd="sng" algn="ctr">
              <a:solidFill>
                <a:srgbClr val="3333FF"/>
              </a:solidFill>
              <a:round/>
            </a:ln>
            <a:effectLst/>
          </c:spPr>
          <c:invertIfNegative val="0"/>
          <c:trendline>
            <c:spPr>
              <a:ln w="9525" cap="rnd">
                <a:noFill/>
              </a:ln>
              <a:effectLst/>
            </c:spPr>
            <c:trendlineType val="movingAvg"/>
            <c:period val="2"/>
            <c:dispRSqr val="0"/>
            <c:dispEq val="0"/>
          </c:trendline>
          <c:cat>
            <c:numRef>
              <c:f>Sheet1!$A$3:$A$46</c:f>
              <c:numCache>
                <c:formatCode>0</c:formatCode>
                <c:ptCount val="44"/>
                <c:pt idx="0">
                  <c:v>1980</c:v>
                </c:pt>
                <c:pt idx="1">
                  <c:v>1984</c:v>
                </c:pt>
                <c:pt idx="2">
                  <c:v>1985</c:v>
                </c:pt>
                <c:pt idx="3">
                  <c:v>1986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  <c:pt idx="37">
                  <c:v>2022</c:v>
                </c:pt>
              </c:numCache>
            </c:numRef>
          </c:cat>
          <c:val>
            <c:numRef>
              <c:f>Sheet1!$B$3:$B$46</c:f>
              <c:numCache>
                <c:formatCode>0</c:formatCode>
                <c:ptCount val="4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22</c:v>
                </c:pt>
                <c:pt idx="6">
                  <c:v>217</c:v>
                </c:pt>
                <c:pt idx="7">
                  <c:v>221</c:v>
                </c:pt>
                <c:pt idx="8">
                  <c:v>258</c:v>
                </c:pt>
                <c:pt idx="9">
                  <c:v>303</c:v>
                </c:pt>
                <c:pt idx="10">
                  <c:v>385</c:v>
                </c:pt>
                <c:pt idx="11">
                  <c:v>419</c:v>
                </c:pt>
                <c:pt idx="12">
                  <c:v>501</c:v>
                </c:pt>
                <c:pt idx="13">
                  <c:v>496</c:v>
                </c:pt>
                <c:pt idx="14">
                  <c:v>636</c:v>
                </c:pt>
                <c:pt idx="15">
                  <c:v>643</c:v>
                </c:pt>
                <c:pt idx="16">
                  <c:v>714</c:v>
                </c:pt>
                <c:pt idx="17">
                  <c:v>781</c:v>
                </c:pt>
                <c:pt idx="18">
                  <c:v>806</c:v>
                </c:pt>
                <c:pt idx="19">
                  <c:v>901</c:v>
                </c:pt>
                <c:pt idx="20">
                  <c:v>1021</c:v>
                </c:pt>
                <c:pt idx="21">
                  <c:v>1119</c:v>
                </c:pt>
                <c:pt idx="22">
                  <c:v>1257</c:v>
                </c:pt>
                <c:pt idx="23">
                  <c:v>1422</c:v>
                </c:pt>
                <c:pt idx="24">
                  <c:v>1631</c:v>
                </c:pt>
                <c:pt idx="25">
                  <c:v>1742</c:v>
                </c:pt>
                <c:pt idx="26">
                  <c:v>1928</c:v>
                </c:pt>
                <c:pt idx="27">
                  <c:v>2030</c:v>
                </c:pt>
                <c:pt idx="28">
                  <c:v>2237</c:v>
                </c:pt>
                <c:pt idx="29">
                  <c:v>2434</c:v>
                </c:pt>
                <c:pt idx="30">
                  <c:v>2588</c:v>
                </c:pt>
                <c:pt idx="31">
                  <c:v>2753</c:v>
                </c:pt>
                <c:pt idx="32">
                  <c:v>2955</c:v>
                </c:pt>
                <c:pt idx="33">
                  <c:v>3280</c:v>
                </c:pt>
                <c:pt idx="34">
                  <c:v>3327</c:v>
                </c:pt>
                <c:pt idx="35">
                  <c:v>3857</c:v>
                </c:pt>
                <c:pt idx="36">
                  <c:v>4328</c:v>
                </c:pt>
                <c:pt idx="37">
                  <c:v>2665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BC-421B-9D85-7C4B72F155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2841424"/>
        <c:axId val="2022843600"/>
      </c:barChart>
      <c:lineChart>
        <c:grouping val="standard"/>
        <c:varyColors val="0"/>
        <c:ser>
          <c:idx val="1"/>
          <c:order val="1"/>
          <c:tx>
            <c:strRef>
              <c:f>Sheet1!#REF!</c:f>
              <c:strCache>
                <c:ptCount val="1"/>
                <c:pt idx="0">
                  <c:v>#REF!</c:v>
                </c:pt>
              </c:strCache>
            </c:strRef>
          </c:tx>
          <c:spPr>
            <a:ln w="158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Sheet1!$A$3:$A$46</c:f>
              <c:numCache>
                <c:formatCode>0</c:formatCode>
                <c:ptCount val="44"/>
                <c:pt idx="0">
                  <c:v>1980</c:v>
                </c:pt>
                <c:pt idx="1">
                  <c:v>1984</c:v>
                </c:pt>
                <c:pt idx="2">
                  <c:v>1985</c:v>
                </c:pt>
                <c:pt idx="3">
                  <c:v>1986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  <c:pt idx="37">
                  <c:v>2022</c:v>
                </c:pt>
              </c:numCache>
            </c:numRef>
          </c:cat>
          <c: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2BC-421B-9D85-7C4B72F155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2841424"/>
        <c:axId val="2022843600"/>
      </c:lineChart>
      <c:catAx>
        <c:axId val="202284142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2843600"/>
        <c:crosses val="autoZero"/>
        <c:auto val="1"/>
        <c:lblAlgn val="ctr"/>
        <c:lblOffset val="100"/>
        <c:noMultiLvlLbl val="0"/>
      </c:catAx>
      <c:valAx>
        <c:axId val="202284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chemeClr val="tx1"/>
                    </a:solidFill>
                  </a:rPr>
                  <a:t>nUMBER OF PUBLICATIONS</a:t>
                </a:r>
              </a:p>
            </c:rich>
          </c:tx>
          <c:layout>
            <c:manualLayout>
              <c:xMode val="edge"/>
              <c:yMode val="edge"/>
              <c:x val="3.7614321914059663E-4"/>
              <c:y val="0.275091728296798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2841424"/>
        <c:crosses val="autoZero"/>
        <c:crossBetween val="between"/>
      </c:valAx>
      <c:spPr>
        <a:noFill/>
        <a:ln>
          <a:solidFill>
            <a:schemeClr val="bg1">
              <a:lumMod val="8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Hamidi</dc:creator>
  <cp:keywords/>
  <dc:description/>
  <cp:lastModifiedBy>Ali Hamidi</cp:lastModifiedBy>
  <cp:revision>2</cp:revision>
  <dcterms:created xsi:type="dcterms:W3CDTF">2024-02-25T19:50:00Z</dcterms:created>
  <dcterms:modified xsi:type="dcterms:W3CDTF">2024-02-26T19:21:00Z</dcterms:modified>
</cp:coreProperties>
</file>