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hint="default" w:ascii="Times New Roman" w:hAnsi="Times New Roman" w:cs="Times New Roman"/>
          <w:b/>
          <w:bCs/>
          <w:color w:val="231F20"/>
          <w:kern w:val="0"/>
          <w:sz w:val="28"/>
          <w:szCs w:val="28"/>
          <w:lang w:val="en-US" w:eastAsia="zh-CN" w:bidi="ar"/>
        </w:rPr>
      </w:pPr>
      <w:r>
        <w:rPr>
          <w:rFonts w:hint="default" w:ascii="Times New Roman" w:hAnsi="Times New Roman" w:cs="Times New Roman"/>
          <w:b/>
          <w:bCs/>
          <w:color w:val="231F20"/>
          <w:kern w:val="0"/>
          <w:sz w:val="28"/>
          <w:szCs w:val="28"/>
          <w:lang w:val="en-US" w:eastAsia="zh-CN" w:bidi="ar"/>
        </w:rPr>
        <w:t>Project summary, background information, Study g</w:t>
      </w:r>
      <w:bookmarkStart w:id="6" w:name="_GoBack"/>
      <w:bookmarkEnd w:id="6"/>
      <w:r>
        <w:rPr>
          <w:rFonts w:hint="default" w:ascii="Times New Roman" w:hAnsi="Times New Roman" w:cs="Times New Roman"/>
          <w:b/>
          <w:bCs/>
          <w:color w:val="231F20"/>
          <w:kern w:val="0"/>
          <w:sz w:val="28"/>
          <w:szCs w:val="28"/>
          <w:lang w:val="en-US" w:eastAsia="zh-CN" w:bidi="ar"/>
        </w:rPr>
        <w:t>oals and objectives：</w:t>
      </w:r>
    </w:p>
    <w:p>
      <w:pPr>
        <w:widowControl/>
        <w:spacing w:line="360" w:lineRule="auto"/>
        <w:jc w:val="left"/>
        <w:rPr>
          <w:rFonts w:hint="default" w:ascii="Times New Roman" w:hAnsi="Times New Roman" w:cs="Times New Roman"/>
          <w:color w:val="000000"/>
          <w:kern w:val="0"/>
          <w:sz w:val="24"/>
          <w:szCs w:val="24"/>
          <w:lang w:bidi="ar"/>
        </w:rPr>
      </w:pPr>
      <w:r>
        <w:rPr>
          <w:rFonts w:hint="default" w:ascii="Times New Roman" w:hAnsi="Times New Roman" w:cs="Times New Roman"/>
          <w:sz w:val="24"/>
          <w:szCs w:val="24"/>
          <w:lang w:bidi="ar"/>
        </w:rPr>
        <w:t xml:space="preserve">This prospective randomized trial was conducted to compare the quality and outcome of perioperative anesthesia between axillary brachial plexus block combined with </w:t>
      </w:r>
      <w:bookmarkStart w:id="0" w:name="OLE_LINK6"/>
      <w:r>
        <w:rPr>
          <w:rFonts w:hint="default" w:ascii="Times New Roman" w:hAnsi="Times New Roman" w:cs="Times New Roman"/>
          <w:sz w:val="24"/>
          <w:szCs w:val="24"/>
          <w:lang w:bidi="ar"/>
        </w:rPr>
        <w:t>axillary nerve block</w:t>
      </w:r>
      <w:r>
        <w:rPr>
          <w:rFonts w:hint="default" w:ascii="Times New Roman" w:hAnsi="Times New Roman" w:cs="Times New Roman"/>
          <w:color w:val="000000"/>
          <w:sz w:val="24"/>
          <w:szCs w:val="24"/>
          <w:lang w:bidi="ar"/>
        </w:rPr>
        <w:t xml:space="preserve"> </w:t>
      </w:r>
      <w:bookmarkEnd w:id="0"/>
      <w:r>
        <w:rPr>
          <w:rFonts w:hint="default" w:ascii="Times New Roman" w:hAnsi="Times New Roman" w:cs="Times New Roman"/>
          <w:color w:val="000000"/>
          <w:sz w:val="24"/>
          <w:szCs w:val="24"/>
          <w:lang w:bidi="ar"/>
        </w:rPr>
        <w:t>(axillary approach group,AX) and supraclavicular brachial plexus block( supraclavicular block group, SU)</w:t>
      </w:r>
      <w:r>
        <w:rPr>
          <w:rFonts w:hint="default" w:ascii="Times New Roman" w:hAnsi="Times New Roman" w:cs="Times New Roman"/>
          <w:b w:val="0"/>
          <w:bCs w:val="0"/>
          <w:color w:val="000000"/>
          <w:sz w:val="24"/>
          <w:szCs w:val="24"/>
          <w:lang w:bidi="ar"/>
        </w:rPr>
        <w:t xml:space="preserve">. </w:t>
      </w:r>
      <w:r>
        <w:rPr>
          <w:rFonts w:hint="default" w:ascii="Times New Roman" w:hAnsi="Times New Roman" w:eastAsia="Helvetica" w:cs="Times New Roman"/>
          <w:b w:val="0"/>
          <w:bCs w:val="0"/>
          <w:color w:val="000000"/>
          <w:kern w:val="0"/>
          <w:sz w:val="24"/>
          <w:szCs w:val="24"/>
          <w:lang w:bidi="ar"/>
        </w:rPr>
        <w:t>The primary outcome measure was to compare</w:t>
      </w:r>
      <w:r>
        <w:rPr>
          <w:rFonts w:hint="default" w:ascii="Times New Roman" w:hAnsi="Times New Roman" w:cs="Times New Roman"/>
          <w:b w:val="0"/>
          <w:bCs w:val="0"/>
          <w:color w:val="000000"/>
          <w:kern w:val="0"/>
          <w:sz w:val="24"/>
          <w:szCs w:val="24"/>
          <w:lang w:bidi="ar"/>
        </w:rPr>
        <w:t xml:space="preserve"> anesthesia quality evaluation</w:t>
      </w:r>
      <w:r>
        <w:rPr>
          <w:rFonts w:hint="default" w:ascii="Times New Roman" w:hAnsi="Times New Roman" w:eastAsia="Helvetica" w:cs="Times New Roman"/>
          <w:b w:val="0"/>
          <w:bCs w:val="0"/>
          <w:color w:val="000000"/>
          <w:kern w:val="0"/>
          <w:sz w:val="24"/>
          <w:szCs w:val="24"/>
          <w:lang w:bidi="ar"/>
        </w:rPr>
        <w:t xml:space="preserve"> including </w:t>
      </w:r>
      <w:r>
        <w:rPr>
          <w:rFonts w:hint="default" w:ascii="Times New Roman" w:hAnsi="Times New Roman" w:cs="Times New Roman"/>
          <w:b w:val="0"/>
          <w:bCs w:val="0"/>
          <w:color w:val="000000"/>
          <w:sz w:val="24"/>
          <w:szCs w:val="24"/>
          <w:lang w:bidi="ar"/>
        </w:rPr>
        <w:t>sensory function, motor function, and subjective feeling scores during skin incision, 30 minutes after skin incision, and at the end of surgery,</w:t>
      </w:r>
      <w:r>
        <w:rPr>
          <w:rFonts w:hint="default" w:ascii="Times New Roman" w:hAnsi="Times New Roman" w:cs="Times New Roman"/>
          <w:b w:val="0"/>
          <w:bCs w:val="0"/>
          <w:color w:val="000000"/>
          <w:sz w:val="24"/>
          <w:szCs w:val="24"/>
          <w:lang w:bidi="ar"/>
        </w:rPr>
        <w:t xml:space="preserve"> </w:t>
      </w:r>
      <w:r>
        <w:rPr>
          <w:rFonts w:hint="default" w:ascii="Times New Roman" w:hAnsi="Times New Roman" w:cs="Times New Roman"/>
          <w:b w:val="0"/>
          <w:bCs w:val="0"/>
          <w:color w:val="000000"/>
          <w:kern w:val="0"/>
          <w:sz w:val="24"/>
          <w:szCs w:val="24"/>
          <w:lang w:bidi="ar"/>
        </w:rPr>
        <w:t>and</w:t>
      </w:r>
      <w:bookmarkStart w:id="1" w:name="OLE_LINK7"/>
      <w:bookmarkEnd w:id="1"/>
      <w:r>
        <w:rPr>
          <w:rFonts w:hint="default" w:ascii="Times New Roman" w:hAnsi="Times New Roman" w:cs="Times New Roman"/>
          <w:b w:val="0"/>
          <w:bCs w:val="0"/>
          <w:color w:val="000000"/>
          <w:kern w:val="0"/>
          <w:sz w:val="24"/>
          <w:szCs w:val="24"/>
          <w:lang w:bidi="ar"/>
        </w:rPr>
        <w:t xml:space="preserve"> postoperative analgesia maintenance time score. Secondary outcomes included the number of patients in whom sufentanil was used, </w:t>
      </w:r>
      <w:r>
        <w:rPr>
          <w:rFonts w:hint="default" w:ascii="Times New Roman" w:hAnsi="Times New Roman" w:cs="Times New Roman"/>
          <w:b w:val="0"/>
          <w:bCs w:val="0"/>
          <w:sz w:val="24"/>
          <w:szCs w:val="24"/>
          <w:lang w:bidi="ar"/>
        </w:rPr>
        <w:t>dexmedetomidine (</w:t>
      </w:r>
      <w:r>
        <w:rPr>
          <w:rFonts w:hint="default" w:ascii="Times New Roman" w:hAnsi="Times New Roman" w:cs="Times New Roman"/>
          <w:b w:val="0"/>
          <w:bCs w:val="0"/>
          <w:color w:val="000000"/>
          <w:kern w:val="0"/>
          <w:sz w:val="24"/>
          <w:szCs w:val="24"/>
          <w:lang w:bidi="ar"/>
        </w:rPr>
        <w:t>Dex) dose, duration of sensory and motor blocks, number of patients who required remedial analgesia</w:t>
      </w:r>
      <w:r>
        <w:rPr>
          <w:rFonts w:hint="default" w:ascii="Times New Roman" w:hAnsi="Times New Roman" w:cs="Times New Roman"/>
          <w:b w:val="0"/>
          <w:bCs w:val="0"/>
          <w:sz w:val="24"/>
          <w:szCs w:val="24"/>
          <w:lang w:bidi="ar"/>
        </w:rPr>
        <w:t>, and procedural complications.</w:t>
      </w:r>
      <w:r>
        <w:rPr>
          <w:rFonts w:hint="default" w:ascii="Times New Roman" w:hAnsi="Times New Roman" w:cs="Times New Roman"/>
          <w:color w:val="000000"/>
          <w:kern w:val="0"/>
          <w:sz w:val="24"/>
          <w:szCs w:val="24"/>
          <w:lang w:bidi="ar"/>
        </w:rPr>
        <w:t xml:space="preserve">The proportion of patients in whom good-to-excellent anesthesia quality was achieved in AX group and SU group were 80% and 76.7%, respectively; anesthesia failure did not occur in both groups. Both procedures met the needs of surgical anesthesia and analgesia. Anesthesia quality and incidence of sufentanil use did not significantly differ between the groups. The incidence of phrenic nerve palsy was significantly higher in the supraclavicular block group (30% vs. zero; </w:t>
      </w:r>
      <w:r>
        <w:rPr>
          <w:rFonts w:hint="default" w:ascii="Times New Roman" w:hAnsi="Times New Roman" w:cs="Times New Roman"/>
          <w:i/>
          <w:iCs/>
          <w:color w:val="000000"/>
          <w:kern w:val="0"/>
          <w:sz w:val="24"/>
          <w:szCs w:val="24"/>
          <w:lang w:bidi="ar"/>
        </w:rPr>
        <w:t>P</w:t>
      </w:r>
      <w:r>
        <w:rPr>
          <w:rFonts w:hint="default" w:ascii="Times New Roman" w:hAnsi="Times New Roman" w:cs="Times New Roman"/>
          <w:color w:val="000000"/>
          <w:kern w:val="0"/>
          <w:sz w:val="24"/>
          <w:szCs w:val="24"/>
          <w:lang w:bidi="ar"/>
        </w:rPr>
        <w:t xml:space="preserve"> = 0.002).Ultrasound-guided </w:t>
      </w:r>
      <w:r>
        <w:rPr>
          <w:rFonts w:hint="default" w:ascii="Times New Roman" w:hAnsi="Times New Roman" w:cs="Times New Roman"/>
          <w:color w:val="000000"/>
          <w:sz w:val="24"/>
          <w:szCs w:val="24"/>
          <w:lang w:bidi="ar"/>
        </w:rPr>
        <w:t>axillary brachial plexus block combined with axillary nerve block</w:t>
      </w:r>
      <w:r>
        <w:rPr>
          <w:rFonts w:hint="default" w:ascii="Times New Roman" w:hAnsi="Times New Roman" w:cs="Times New Roman"/>
          <w:color w:val="000000"/>
          <w:kern w:val="0"/>
          <w:sz w:val="24"/>
          <w:szCs w:val="24"/>
          <w:lang w:bidi="ar"/>
        </w:rPr>
        <w:t xml:space="preserve"> can achieve similar anesthesia quality and outcome as supraclavicular brachial plexus block,and found to have similar success rates.</w:t>
      </w:r>
    </w:p>
    <w:p>
      <w:pPr>
        <w:pStyle w:val="2"/>
        <w:widowControl/>
        <w:snapToGrid w:val="0"/>
        <w:spacing w:beforeLines="0" w:afterLines="0" w:line="360" w:lineRule="auto"/>
        <w:jc w:val="both"/>
        <w:rPr>
          <w:rFonts w:hint="default" w:ascii="Times New Roman" w:hAnsi="Times New Roman" w:eastAsia="宋体" w:cs="Times New Roman"/>
          <w:b w:val="0"/>
          <w:bCs/>
          <w:kern w:val="2"/>
          <w:sz w:val="24"/>
          <w:szCs w:val="24"/>
        </w:rPr>
      </w:pPr>
      <w:r>
        <w:rPr>
          <w:rFonts w:hint="default" w:ascii="Times New Roman" w:hAnsi="Times New Roman" w:cs="Times New Roman"/>
          <w:b w:val="0"/>
          <w:bCs/>
          <w:color w:val="000000"/>
          <w:kern w:val="0"/>
          <w:sz w:val="24"/>
          <w:szCs w:val="24"/>
          <w:lang w:val="en-US" w:eastAsia="zh-CN" w:bidi="ar"/>
        </w:rPr>
        <w:t>Protocol title：</w:t>
      </w:r>
      <w:r>
        <w:rPr>
          <w:rFonts w:hint="default" w:ascii="Times New Roman" w:hAnsi="Times New Roman" w:eastAsia="宋体" w:cs="Times New Roman"/>
          <w:b w:val="0"/>
          <w:bCs/>
          <w:kern w:val="2"/>
          <w:sz w:val="24"/>
          <w:szCs w:val="24"/>
        </w:rPr>
        <w:t>Comparison of two ultrasound-guided brachial plexus block techniques for upper limb orthopaedic procedures in adults</w:t>
      </w:r>
    </w:p>
    <w:p>
      <w:pPr>
        <w:spacing w:line="360" w:lineRule="auto"/>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Study design</w:t>
      </w:r>
    </w:p>
    <w:p>
      <w:pPr>
        <w:widowControl/>
        <w:spacing w:line="360" w:lineRule="auto"/>
        <w:jc w:val="left"/>
        <w:rPr>
          <w:rFonts w:hint="default" w:ascii="Times New Roman" w:hAnsi="Times New Roman" w:cs="Times New Roman"/>
          <w:b/>
          <w:bCs/>
          <w:color w:val="231F20"/>
          <w:kern w:val="0"/>
          <w:sz w:val="28"/>
          <w:szCs w:val="28"/>
          <w:lang w:val="en-US" w:eastAsia="zh-CN" w:bidi="ar"/>
        </w:rPr>
      </w:pPr>
      <w:r>
        <w:rPr>
          <w:rFonts w:hint="default" w:ascii="Times New Roman" w:hAnsi="Times New Roman" w:cs="Times New Roman"/>
          <w:b/>
          <w:bCs/>
          <w:color w:val="231F20"/>
          <w:kern w:val="0"/>
          <w:sz w:val="28"/>
          <w:szCs w:val="28"/>
          <w:lang w:val="en-US" w:eastAsia="zh-CN" w:bidi="ar"/>
        </w:rPr>
        <w:t>Patient：</w:t>
      </w:r>
    </w:p>
    <w:p>
      <w:pPr>
        <w:widowControl/>
        <w:spacing w:line="360" w:lineRule="auto"/>
        <w:jc w:val="left"/>
        <w:rPr>
          <w:rFonts w:hint="default" w:ascii="Times New Roman" w:hAnsi="Times New Roman" w:cs="Times New Roman"/>
          <w:color w:val="000000"/>
          <w:sz w:val="24"/>
          <w:szCs w:val="24"/>
          <w:lang w:bidi="ar"/>
        </w:rPr>
      </w:pPr>
      <w:r>
        <w:rPr>
          <w:rFonts w:hint="default" w:ascii="Times New Roman" w:hAnsi="Times New Roman" w:eastAsia="ZapfElliptical711BT-Roman" w:cs="Times New Roman"/>
          <w:color w:val="231F20"/>
          <w:kern w:val="0"/>
          <w:sz w:val="24"/>
          <w:szCs w:val="24"/>
          <w:lang w:bidi="ar"/>
        </w:rPr>
        <w:t>Sixty patients of either sex,</w:t>
      </w:r>
      <w:r>
        <w:rPr>
          <w:rFonts w:hint="default" w:ascii="Times New Roman" w:hAnsi="Times New Roman" w:cs="Times New Roman"/>
          <w:color w:val="000000"/>
          <w:sz w:val="24"/>
          <w:szCs w:val="24"/>
          <w:lang w:bidi="ar"/>
        </w:rPr>
        <w:t xml:space="preserve"> </w:t>
      </w:r>
      <w:r>
        <w:rPr>
          <w:rFonts w:hint="default" w:ascii="Times New Roman" w:hAnsi="Times New Roman" w:cs="Times New Roman"/>
          <w:color w:val="000000"/>
          <w:sz w:val="24"/>
          <w:szCs w:val="24"/>
          <w:lang w:bidi="ar"/>
        </w:rPr>
        <w:t>aged 18–70 years</w:t>
      </w:r>
      <w:r>
        <w:rPr>
          <w:rFonts w:hint="default" w:ascii="Times New Roman" w:hAnsi="Times New Roman" w:cs="Times New Roman"/>
          <w:color w:val="000000"/>
          <w:sz w:val="24"/>
          <w:szCs w:val="24"/>
          <w:lang w:bidi="ar"/>
        </w:rPr>
        <w:t>,</w:t>
      </w:r>
      <w:r>
        <w:rPr>
          <w:rFonts w:hint="default" w:ascii="Times New Roman" w:hAnsi="Times New Roman" w:cs="Times New Roman"/>
          <w:color w:val="000000"/>
          <w:sz w:val="24"/>
          <w:szCs w:val="24"/>
          <w:lang w:bidi="ar"/>
        </w:rPr>
        <w:t xml:space="preserve"> with an American Society of Anaesthesiologists physical status of I–III, body mass index 18–33 kg/m</w:t>
      </w:r>
      <w:r>
        <w:rPr>
          <w:rFonts w:hint="default" w:ascii="Times New Roman" w:hAnsi="Times New Roman" w:cs="Times New Roman"/>
          <w:color w:val="000000"/>
          <w:sz w:val="24"/>
          <w:szCs w:val="24"/>
          <w:vertAlign w:val="superscript"/>
          <w:lang w:bidi="ar"/>
        </w:rPr>
        <w:t>2</w:t>
      </w:r>
      <w:r>
        <w:rPr>
          <w:rFonts w:hint="default" w:ascii="Times New Roman" w:hAnsi="Times New Roman" w:cs="Times New Roman"/>
          <w:color w:val="000000"/>
          <w:sz w:val="24"/>
          <w:szCs w:val="24"/>
          <w:lang w:bidi="ar"/>
        </w:rPr>
        <w:t>), who gave written informed consent and were scheduled for elective upper limb orthopaedic surgery under ultrasound-guided brachial plexus block</w:t>
      </w:r>
      <w:r>
        <w:rPr>
          <w:rFonts w:hint="default" w:ascii="Times New Roman" w:hAnsi="Times New Roman" w:cs="Times New Roman"/>
          <w:color w:val="FF0000"/>
          <w:sz w:val="24"/>
          <w:szCs w:val="24"/>
          <w:lang w:bidi="ar"/>
        </w:rPr>
        <w:t xml:space="preserve"> </w:t>
      </w:r>
      <w:r>
        <w:rPr>
          <w:rFonts w:hint="default" w:ascii="Times New Roman" w:hAnsi="Times New Roman" w:eastAsia="ZapfElliptical711BT-Roman" w:cs="Times New Roman"/>
          <w:color w:val="231F20"/>
          <w:kern w:val="0"/>
          <w:sz w:val="24"/>
          <w:szCs w:val="24"/>
          <w:lang w:bidi="ar"/>
        </w:rPr>
        <w:t>were enrolled in the study</w:t>
      </w:r>
      <w:r>
        <w:rPr>
          <w:rFonts w:hint="default" w:ascii="Times New Roman" w:hAnsi="Times New Roman" w:cs="Times New Roman"/>
          <w:color w:val="000000"/>
          <w:sz w:val="24"/>
          <w:szCs w:val="24"/>
          <w:lang w:bidi="ar"/>
        </w:rPr>
        <w:t>.</w:t>
      </w:r>
    </w:p>
    <w:p>
      <w:pPr>
        <w:widowControl/>
        <w:spacing w:line="360" w:lineRule="auto"/>
        <w:jc w:val="left"/>
        <w:rPr>
          <w:rFonts w:hint="default" w:ascii="Times New Roman" w:hAnsi="Times New Roman" w:cs="Times New Roman"/>
          <w:color w:val="000000"/>
          <w:kern w:val="0"/>
          <w:sz w:val="24"/>
          <w:szCs w:val="24"/>
          <w:highlight w:val="none"/>
          <w:lang w:bidi="ar"/>
        </w:rPr>
      </w:pPr>
      <w:r>
        <w:rPr>
          <w:rFonts w:hint="default" w:ascii="Times New Roman" w:hAnsi="Times New Roman" w:cs="Times New Roman"/>
          <w:color w:val="000000"/>
          <w:sz w:val="24"/>
          <w:szCs w:val="24"/>
          <w:lang w:bidi="ar"/>
        </w:rPr>
        <w:t>The exclusion criteria were patients under age 18 years and those with body mass index &gt;33 kg/m</w:t>
      </w:r>
      <w:r>
        <w:rPr>
          <w:rFonts w:hint="default" w:ascii="Times New Roman" w:hAnsi="Times New Roman" w:cs="Times New Roman"/>
          <w:color w:val="000000"/>
          <w:sz w:val="24"/>
          <w:szCs w:val="24"/>
          <w:vertAlign w:val="superscript"/>
          <w:lang w:bidi="ar"/>
        </w:rPr>
        <w:t>2</w:t>
      </w:r>
      <w:r>
        <w:rPr>
          <w:rFonts w:hint="default" w:ascii="Times New Roman" w:hAnsi="Times New Roman" w:cs="Times New Roman"/>
          <w:color w:val="000000"/>
          <w:sz w:val="24"/>
          <w:szCs w:val="24"/>
          <w:lang w:bidi="ar"/>
        </w:rPr>
        <w:t xml:space="preserve">, anatomical abnormality, history of surgery in the axillary and/or supraclavicular region, restriction of shoulder movement, upper limb nerve abnormality, </w:t>
      </w:r>
      <w:r>
        <w:rPr>
          <w:rFonts w:hint="default" w:ascii="Times New Roman" w:hAnsi="Times New Roman" w:eastAsia="MinionPro-Regular" w:cs="Times New Roman"/>
          <w:color w:val="000000"/>
          <w:kern w:val="0"/>
          <w:sz w:val="24"/>
          <w:szCs w:val="24"/>
          <w:lang w:bidi="ar"/>
        </w:rPr>
        <w:t>infection at the puncture site</w:t>
      </w:r>
      <w:r>
        <w:rPr>
          <w:rFonts w:hint="default" w:ascii="Times New Roman" w:hAnsi="Times New Roman" w:cs="Times New Roman"/>
          <w:color w:val="000000"/>
          <w:sz w:val="24"/>
          <w:szCs w:val="24"/>
          <w:lang w:bidi="ar"/>
        </w:rPr>
        <w:t xml:space="preserve">, severe coagulation disorder, </w:t>
      </w:r>
      <w:r>
        <w:rPr>
          <w:rFonts w:hint="default" w:ascii="Times New Roman" w:hAnsi="Times New Roman" w:eastAsia="BemboStd" w:cs="Times New Roman"/>
          <w:color w:val="000000"/>
          <w:kern w:val="0"/>
          <w:sz w:val="24"/>
          <w:szCs w:val="24"/>
          <w:lang w:bidi="ar"/>
        </w:rPr>
        <w:t>preexisting operative respiratory dysfunction</w:t>
      </w:r>
      <w:r>
        <w:rPr>
          <w:rFonts w:hint="default" w:ascii="Times New Roman" w:hAnsi="Times New Roman" w:eastAsia="BemboStd" w:cs="Times New Roman"/>
          <w:color w:val="231F20"/>
          <w:kern w:val="0"/>
          <w:sz w:val="24"/>
          <w:szCs w:val="24"/>
          <w:lang w:bidi="ar"/>
        </w:rPr>
        <w:t xml:space="preserve">, </w:t>
      </w:r>
      <w:r>
        <w:rPr>
          <w:rFonts w:hint="default" w:ascii="Times New Roman" w:hAnsi="Times New Roman" w:cs="Times New Roman"/>
          <w:color w:val="000000"/>
          <w:sz w:val="24"/>
          <w:szCs w:val="24"/>
          <w:lang w:bidi="ar"/>
        </w:rPr>
        <w:t xml:space="preserve">allergy to local anaesthesia, atrioventricular block, </w:t>
      </w:r>
      <w:r>
        <w:rPr>
          <w:rFonts w:hint="default" w:ascii="Times New Roman" w:hAnsi="Times New Roman" w:eastAsia="BemboStd" w:cs="Times New Roman"/>
          <w:color w:val="000000"/>
          <w:kern w:val="0"/>
          <w:sz w:val="24"/>
          <w:szCs w:val="24"/>
          <w:lang w:bidi="ar"/>
        </w:rPr>
        <w:t>preexisting neurologic deficits</w:t>
      </w:r>
      <w:r>
        <w:rPr>
          <w:rFonts w:hint="default" w:ascii="Times New Roman" w:hAnsi="Times New Roman" w:cs="Times New Roman"/>
          <w:color w:val="000000"/>
          <w:sz w:val="24"/>
          <w:szCs w:val="24"/>
          <w:lang w:bidi="ar"/>
        </w:rPr>
        <w:t>, mental disorder, nerve injury, sensory impairment in the hand, and patients who needed surgery in both hands. Patients who refused nerve block and those who could not understand pain scoring were also excluded. Patients who withdrew from the study, underwent a change in anaesthesia method, or did not complete the operation because of a serious adverse event were excluded from analysis after enrolment.</w:t>
      </w:r>
      <w:bookmarkStart w:id="2" w:name="_Toc66823258"/>
      <w:bookmarkEnd w:id="2"/>
    </w:p>
    <w:p>
      <w:pPr>
        <w:spacing w:line="360" w:lineRule="auto"/>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Group</w:t>
      </w:r>
      <w:r>
        <w:rPr>
          <w:rFonts w:hint="eastAsia" w:ascii="Times New Roman" w:hAnsi="Times New Roman" w:cs="Times New Roman"/>
          <w:b/>
          <w:bCs/>
          <w:sz w:val="28"/>
          <w:szCs w:val="28"/>
          <w:lang w:val="en-US" w:eastAsia="zh-CN"/>
        </w:rPr>
        <w:t>:</w:t>
      </w:r>
    </w:p>
    <w:p>
      <w:pPr>
        <w:spacing w:line="360" w:lineRule="auto"/>
        <w:rPr>
          <w:rFonts w:hint="default" w:ascii="Times New Roman" w:hAnsi="Times New Roman" w:cs="Times New Roman"/>
          <w:color w:val="000000"/>
          <w:kern w:val="0"/>
          <w:sz w:val="24"/>
          <w:szCs w:val="24"/>
          <w:highlight w:val="none"/>
          <w:lang w:bidi="ar"/>
        </w:rPr>
      </w:pPr>
      <w:bookmarkStart w:id="3" w:name="OLE_LINK2"/>
      <w:r>
        <w:rPr>
          <w:rFonts w:hint="default" w:ascii="Times New Roman" w:hAnsi="Times New Roman" w:eastAsia="ZapfElliptical711BT-Roman" w:cs="Times New Roman"/>
          <w:color w:val="000000"/>
          <w:kern w:val="0"/>
          <w:sz w:val="24"/>
          <w:szCs w:val="24"/>
          <w:highlight w:val="none"/>
          <w:lang w:bidi="ar"/>
        </w:rPr>
        <w:t>Sixty patients</w:t>
      </w:r>
      <w:r>
        <w:rPr>
          <w:rFonts w:hint="default" w:ascii="Times New Roman" w:hAnsi="Times New Roman" w:eastAsia="CheltenhamBT-Roman" w:cs="Times New Roman"/>
          <w:color w:val="000000"/>
          <w:kern w:val="0"/>
          <w:sz w:val="24"/>
          <w:szCs w:val="24"/>
          <w:highlight w:val="none"/>
          <w:lang w:bidi="ar"/>
        </w:rPr>
        <w:t xml:space="preserve"> </w:t>
      </w:r>
      <w:r>
        <w:rPr>
          <w:rFonts w:hint="default" w:ascii="Times New Roman" w:hAnsi="Times New Roman" w:cs="Times New Roman"/>
          <w:color w:val="000000"/>
          <w:kern w:val="0"/>
          <w:sz w:val="24"/>
          <w:szCs w:val="24"/>
          <w:highlight w:val="none"/>
          <w:lang w:bidi="ar"/>
        </w:rPr>
        <w:t xml:space="preserve">were randomly selected to undergo </w:t>
      </w:r>
      <w:r>
        <w:rPr>
          <w:rFonts w:hint="default" w:ascii="Times New Roman" w:hAnsi="Times New Roman" w:cs="Times New Roman"/>
          <w:color w:val="000000"/>
          <w:sz w:val="24"/>
          <w:szCs w:val="24"/>
          <w:highlight w:val="none"/>
          <w:lang w:bidi="ar"/>
        </w:rPr>
        <w:t>axillary brachial plexus block combined with axillary nerve block</w:t>
      </w:r>
      <w:bookmarkEnd w:id="3"/>
      <w:r>
        <w:rPr>
          <w:rFonts w:hint="default" w:ascii="Times New Roman" w:hAnsi="Times New Roman" w:cs="Times New Roman"/>
          <w:color w:val="000000"/>
          <w:sz w:val="24"/>
          <w:szCs w:val="24"/>
          <w:highlight w:val="none"/>
          <w:lang w:bidi="ar"/>
        </w:rPr>
        <w:t xml:space="preserve"> (AX group) or supraclavicular brachial plexus block (SU group)</w:t>
      </w:r>
      <w:r>
        <w:rPr>
          <w:rFonts w:hint="default" w:ascii="Times New Roman" w:hAnsi="Times New Roman" w:cs="Times New Roman"/>
          <w:color w:val="000000"/>
          <w:kern w:val="0"/>
          <w:sz w:val="24"/>
          <w:szCs w:val="24"/>
          <w:highlight w:val="none"/>
          <w:lang w:bidi="ar"/>
        </w:rPr>
        <w:t xml:space="preserve"> in a 1:1 ratio using the random number table method. </w:t>
      </w:r>
    </w:p>
    <w:p>
      <w:pPr>
        <w:spacing w:line="360" w:lineRule="auto"/>
        <w:rPr>
          <w:rFonts w:hint="default" w:ascii="Times New Roman" w:hAnsi="Times New Roman" w:cs="Times New Roman"/>
          <w:b/>
          <w:bCs w:val="0"/>
          <w:color w:val="000000"/>
          <w:kern w:val="0"/>
          <w:sz w:val="28"/>
          <w:szCs w:val="28"/>
          <w:lang w:val="en-US" w:eastAsia="zh-CN" w:bidi="ar"/>
        </w:rPr>
      </w:pPr>
      <w:r>
        <w:rPr>
          <w:rFonts w:hint="default" w:ascii="Times New Roman" w:hAnsi="Times New Roman" w:cs="Times New Roman"/>
          <w:b/>
          <w:bCs w:val="0"/>
          <w:color w:val="000000"/>
          <w:kern w:val="0"/>
          <w:sz w:val="28"/>
          <w:szCs w:val="28"/>
          <w:lang w:val="en-US" w:eastAsia="zh-CN" w:bidi="ar"/>
        </w:rPr>
        <w:t>Outcome measures</w:t>
      </w:r>
      <w:r>
        <w:rPr>
          <w:rFonts w:hint="eastAsia" w:ascii="Times New Roman" w:hAnsi="Times New Roman" w:cs="Times New Roman"/>
          <w:b/>
          <w:bCs w:val="0"/>
          <w:color w:val="000000"/>
          <w:kern w:val="0"/>
          <w:sz w:val="28"/>
          <w:szCs w:val="28"/>
          <w:lang w:val="en-US" w:eastAsia="zh-CN" w:bidi="ar"/>
        </w:rPr>
        <w:t>:</w:t>
      </w:r>
    </w:p>
    <w:p>
      <w:pPr>
        <w:spacing w:line="360" w:lineRule="auto"/>
        <w:rPr>
          <w:rFonts w:hint="default" w:ascii="Times New Roman" w:hAnsi="Times New Roman" w:cs="Times New Roman"/>
          <w:color w:val="000000"/>
          <w:kern w:val="0"/>
          <w:sz w:val="24"/>
          <w:szCs w:val="24"/>
          <w:lang w:bidi="ar"/>
        </w:rPr>
      </w:pPr>
      <w:r>
        <w:rPr>
          <w:rFonts w:hint="default" w:ascii="Times New Roman" w:hAnsi="Times New Roman" w:eastAsia="Helvetica" w:cs="Times New Roman"/>
          <w:color w:val="000000"/>
          <w:kern w:val="0"/>
          <w:sz w:val="24"/>
          <w:szCs w:val="24"/>
          <w:lang w:bidi="ar"/>
        </w:rPr>
        <w:t>The primary outcome measure was to compare</w:t>
      </w:r>
      <w:r>
        <w:rPr>
          <w:rFonts w:hint="default" w:ascii="Times New Roman" w:hAnsi="Times New Roman" w:cs="Times New Roman"/>
          <w:b w:val="0"/>
          <w:bCs w:val="0"/>
          <w:kern w:val="0"/>
          <w:sz w:val="24"/>
          <w:szCs w:val="24"/>
          <w:lang w:bidi="ar"/>
        </w:rPr>
        <w:t xml:space="preserve"> anaesthesia </w:t>
      </w:r>
      <w:r>
        <w:rPr>
          <w:rFonts w:hint="default" w:ascii="Times New Roman" w:hAnsi="Times New Roman" w:cs="Times New Roman"/>
          <w:b w:val="0"/>
          <w:bCs w:val="0"/>
          <w:color w:val="000000"/>
          <w:kern w:val="0"/>
          <w:sz w:val="24"/>
          <w:szCs w:val="24"/>
          <w:lang w:bidi="ar"/>
        </w:rPr>
        <w:t>quality,</w:t>
      </w:r>
      <w:r>
        <w:rPr>
          <w:rFonts w:hint="default" w:ascii="Times New Roman" w:hAnsi="Times New Roman" w:eastAsia="Helvetica" w:cs="Times New Roman"/>
          <w:color w:val="000000"/>
          <w:kern w:val="0"/>
          <w:sz w:val="24"/>
          <w:szCs w:val="24"/>
          <w:lang w:bidi="ar"/>
        </w:rPr>
        <w:t xml:space="preserve"> including</w:t>
      </w:r>
      <w:r>
        <w:rPr>
          <w:rFonts w:hint="default" w:ascii="Times New Roman" w:hAnsi="Times New Roman" w:eastAsia="Helvetica" w:cs="Times New Roman"/>
          <w:color w:val="0000FF"/>
          <w:kern w:val="0"/>
          <w:sz w:val="24"/>
          <w:szCs w:val="24"/>
          <w:lang w:bidi="ar"/>
        </w:rPr>
        <w:t xml:space="preserve"> </w:t>
      </w:r>
      <w:r>
        <w:rPr>
          <w:rFonts w:hint="default" w:ascii="Times New Roman" w:hAnsi="Times New Roman" w:cs="Times New Roman"/>
          <w:sz w:val="24"/>
          <w:szCs w:val="24"/>
          <w:lang w:bidi="ar"/>
        </w:rPr>
        <w:t>sensory function, motor function, and subjective feeling scores during skin incision, 30 minutes after skin incision, and at the end of surgery,</w:t>
      </w:r>
      <w:r>
        <w:rPr>
          <w:rFonts w:hint="default" w:ascii="Times New Roman" w:hAnsi="Times New Roman" w:cs="Times New Roman"/>
          <w:sz w:val="24"/>
          <w:szCs w:val="24"/>
          <w:lang w:bidi="ar"/>
        </w:rPr>
        <w:t xml:space="preserve"> </w:t>
      </w:r>
      <w:r>
        <w:rPr>
          <w:rFonts w:hint="default" w:ascii="Times New Roman" w:hAnsi="Times New Roman" w:cs="Times New Roman"/>
          <w:color w:val="000000"/>
          <w:kern w:val="0"/>
          <w:sz w:val="24"/>
          <w:szCs w:val="24"/>
          <w:lang w:bidi="ar"/>
        </w:rPr>
        <w:t>and the postoperative analgesia maintenance time score.</w:t>
      </w:r>
    </w:p>
    <w:p>
      <w:pPr>
        <w:widowControl/>
        <w:spacing w:line="360" w:lineRule="auto"/>
        <w:jc w:val="left"/>
        <w:rPr>
          <w:rFonts w:hint="eastAsia" w:ascii="Times New Roman" w:hAnsi="Times New Roman" w:eastAsia="宋体" w:cs="Times New Roman"/>
          <w:b/>
          <w:bCs/>
          <w:color w:val="000000"/>
          <w:kern w:val="0"/>
          <w:sz w:val="28"/>
          <w:szCs w:val="28"/>
          <w:lang w:val="en-US" w:eastAsia="zh-CN" w:bidi="ar"/>
        </w:rPr>
      </w:pPr>
      <w:r>
        <w:rPr>
          <w:rFonts w:hint="default" w:ascii="Times New Roman" w:hAnsi="Times New Roman" w:eastAsia="HelveticaNeueLTStd-Cn" w:cs="Times New Roman"/>
          <w:b/>
          <w:bCs/>
          <w:color w:val="000000"/>
          <w:kern w:val="0"/>
          <w:sz w:val="28"/>
          <w:szCs w:val="28"/>
          <w:lang w:bidi="ar"/>
        </w:rPr>
        <w:t>Intraoperative Management</w:t>
      </w:r>
      <w:r>
        <w:rPr>
          <w:rFonts w:hint="eastAsia" w:ascii="Times New Roman" w:hAnsi="Times New Roman" w:cs="Times New Roman"/>
          <w:b/>
          <w:bCs/>
          <w:color w:val="000000"/>
          <w:kern w:val="0"/>
          <w:sz w:val="28"/>
          <w:szCs w:val="28"/>
          <w:lang w:val="en-US" w:eastAsia="zh-CN" w:bidi="ar"/>
        </w:rPr>
        <w:t>:</w:t>
      </w:r>
    </w:p>
    <w:p>
      <w:pPr>
        <w:widowControl/>
        <w:spacing w:line="360" w:lineRule="auto"/>
        <w:jc w:val="left"/>
        <w:rPr>
          <w:rFonts w:hint="default" w:ascii="Times New Roman" w:hAnsi="Times New Roman" w:cs="Times New Roman"/>
          <w:b/>
          <w:color w:val="000000"/>
          <w:kern w:val="0"/>
          <w:sz w:val="24"/>
          <w:szCs w:val="24"/>
          <w:lang w:bidi="ar"/>
        </w:rPr>
      </w:pPr>
      <w:r>
        <w:rPr>
          <w:rFonts w:hint="default" w:ascii="Times New Roman" w:hAnsi="Times New Roman" w:cs="Times New Roman"/>
          <w:color w:val="000000"/>
          <w:kern w:val="0"/>
          <w:sz w:val="24"/>
          <w:szCs w:val="24"/>
          <w:lang w:bidi="ar"/>
        </w:rPr>
        <w:t>Adequate fasting was confirmed on the day of surgery. The patients were instructed to abstain from solid food for 8 to 12 hours before the procedure and from liquids for 4 hours before. Standard monitors, viz., electrocardiogram (ECG), fingertip oxygen saturation (SpO</w:t>
      </w:r>
      <w:r>
        <w:rPr>
          <w:rFonts w:hint="default" w:ascii="Times New Roman" w:hAnsi="Times New Roman" w:cs="Times New Roman"/>
          <w:color w:val="000000"/>
          <w:kern w:val="0"/>
          <w:sz w:val="24"/>
          <w:szCs w:val="24"/>
          <w:vertAlign w:val="subscript"/>
          <w:lang w:bidi="ar"/>
        </w:rPr>
        <w:t>2</w:t>
      </w:r>
      <w:r>
        <w:rPr>
          <w:rFonts w:hint="default" w:ascii="Times New Roman" w:hAnsi="Times New Roman" w:cs="Times New Roman"/>
          <w:color w:val="000000"/>
          <w:kern w:val="0"/>
          <w:sz w:val="24"/>
          <w:szCs w:val="24"/>
          <w:lang w:bidi="ar"/>
        </w:rPr>
        <w:t xml:space="preserve">), continuous noninvasive arterial blood pressure, and heart rate, were connected </w:t>
      </w:r>
      <w:r>
        <w:rPr>
          <w:rFonts w:hint="default" w:ascii="Times New Roman" w:hAnsi="Times New Roman" w:eastAsia="MinionPro-Regular" w:cs="Times New Roman"/>
          <w:color w:val="000000"/>
          <w:kern w:val="0"/>
          <w:sz w:val="24"/>
          <w:szCs w:val="24"/>
          <w:lang w:bidi="ar"/>
        </w:rPr>
        <w:t>as soon as the patients entered the operating room</w:t>
      </w:r>
      <w:r>
        <w:rPr>
          <w:rFonts w:hint="default" w:ascii="Times New Roman" w:hAnsi="Times New Roman" w:cs="Times New Roman"/>
          <w:color w:val="000000"/>
          <w:kern w:val="0"/>
          <w:sz w:val="24"/>
          <w:szCs w:val="24"/>
          <w:lang w:bidi="ar"/>
        </w:rPr>
        <w:t xml:space="preserve">. </w:t>
      </w:r>
      <w:r>
        <w:rPr>
          <w:rFonts w:hint="default" w:ascii="Times New Roman" w:hAnsi="Times New Roman" w:eastAsia="ZapfElliptical711BT-Roman" w:cs="Times New Roman"/>
          <w:color w:val="000000"/>
          <w:kern w:val="0"/>
          <w:sz w:val="24"/>
          <w:szCs w:val="24"/>
          <w:lang w:bidi="ar"/>
        </w:rPr>
        <w:t xml:space="preserve">Haemodynamic variables were measured every 5 min until the end of surgery. </w:t>
      </w:r>
      <w:r>
        <w:rPr>
          <w:rFonts w:hint="default" w:ascii="Times New Roman" w:hAnsi="Times New Roman" w:cs="Times New Roman"/>
          <w:color w:val="000000"/>
          <w:kern w:val="0"/>
          <w:sz w:val="24"/>
          <w:szCs w:val="24"/>
          <w:lang w:bidi="ar"/>
        </w:rPr>
        <w:t>All patients were cannulated with an 18</w:t>
      </w:r>
      <w:r>
        <w:rPr>
          <w:rFonts w:hint="default" w:ascii="Times New Roman" w:hAnsi="Times New Roman" w:cs="Times New Roman"/>
          <w:color w:val="000000"/>
          <w:kern w:val="0"/>
          <w:sz w:val="24"/>
          <w:szCs w:val="24"/>
          <w:lang w:bidi="ar"/>
        </w:rPr>
        <w:noBreakHyphen/>
      </w:r>
      <w:r>
        <w:rPr>
          <w:rFonts w:hint="default" w:ascii="Times New Roman" w:hAnsi="Times New Roman" w:cs="Times New Roman"/>
          <w:color w:val="000000"/>
          <w:kern w:val="0"/>
          <w:sz w:val="24"/>
          <w:szCs w:val="24"/>
          <w:lang w:bidi="ar"/>
        </w:rPr>
        <w:t>gauge venous cannula in the contralateral upper limb, and</w:t>
      </w:r>
      <w:r>
        <w:rPr>
          <w:rFonts w:hint="default" w:ascii="Times New Roman" w:hAnsi="Times New Roman" w:eastAsia="ZapfElliptical711BT-Roman" w:cs="Times New Roman"/>
          <w:color w:val="000000"/>
          <w:kern w:val="0"/>
          <w:sz w:val="24"/>
          <w:szCs w:val="24"/>
          <w:lang w:bidi="ar"/>
        </w:rPr>
        <w:t xml:space="preserve"> an infusion of lactated Ringer’s solution </w:t>
      </w:r>
      <w:r>
        <w:rPr>
          <w:rFonts w:hint="default" w:ascii="Times New Roman" w:hAnsi="Times New Roman" w:eastAsia="ZapfElliptical711BT-Roman" w:cs="Times New Roman"/>
          <w:color w:val="000000"/>
          <w:kern w:val="0"/>
          <w:sz w:val="24"/>
          <w:szCs w:val="24"/>
          <w:lang w:bidi="ar"/>
        </w:rPr>
        <w:t>was started</w:t>
      </w:r>
      <w:r>
        <w:rPr>
          <w:rFonts w:hint="default" w:ascii="Times New Roman" w:hAnsi="Times New Roman" w:eastAsia="ZapfElliptical711BT-Roman" w:cs="Times New Roman"/>
          <w:color w:val="000000"/>
          <w:kern w:val="0"/>
          <w:sz w:val="24"/>
          <w:szCs w:val="24"/>
          <w:lang w:bidi="ar"/>
        </w:rPr>
        <w:t xml:space="preserve"> </w:t>
      </w:r>
      <w:r>
        <w:rPr>
          <w:rFonts w:hint="default" w:ascii="Times New Roman" w:hAnsi="Times New Roman" w:cs="Times New Roman"/>
          <w:color w:val="000000"/>
          <w:kern w:val="0"/>
          <w:sz w:val="24"/>
          <w:szCs w:val="24"/>
          <w:lang w:bidi="ar"/>
        </w:rPr>
        <w:t>at a rate of 6 to 8 mL/kg/h. Face mask oxygen (2 L/min) was also administered.</w:t>
      </w:r>
    </w:p>
    <w:p>
      <w:pPr>
        <w:widowControl/>
        <w:spacing w:line="360" w:lineRule="auto"/>
        <w:jc w:val="left"/>
        <w:rPr>
          <w:rFonts w:hint="default" w:ascii="Times New Roman" w:hAnsi="Times New Roman" w:cs="Times New Roman"/>
          <w:color w:val="000000"/>
          <w:kern w:val="0"/>
          <w:sz w:val="24"/>
          <w:szCs w:val="24"/>
          <w:lang w:bidi="ar"/>
        </w:rPr>
      </w:pPr>
      <w:bookmarkStart w:id="4" w:name="OLE_LINK3"/>
      <w:r>
        <w:rPr>
          <w:rFonts w:hint="default" w:ascii="Times New Roman" w:hAnsi="Times New Roman" w:cs="Times New Roman"/>
          <w:color w:val="000000"/>
          <w:kern w:val="0"/>
          <w:sz w:val="24"/>
          <w:szCs w:val="24"/>
          <w:lang w:bidi="ar"/>
        </w:rPr>
        <w:t>In the SU group, patients were placed in the supine position with the surgical arm abducted. After skin and probe preparation, a high</w:t>
      </w:r>
      <w:r>
        <w:rPr>
          <w:rFonts w:hint="default" w:ascii="Times New Roman" w:hAnsi="Times New Roman" w:cs="Times New Roman"/>
          <w:color w:val="000000"/>
          <w:kern w:val="0"/>
          <w:sz w:val="24"/>
          <w:szCs w:val="24"/>
          <w:lang w:bidi="ar"/>
        </w:rPr>
        <w:noBreakHyphen/>
      </w:r>
      <w:r>
        <w:rPr>
          <w:rFonts w:hint="default" w:ascii="Times New Roman" w:hAnsi="Times New Roman" w:cs="Times New Roman"/>
          <w:color w:val="000000"/>
          <w:kern w:val="0"/>
          <w:sz w:val="24"/>
          <w:szCs w:val="24"/>
          <w:lang w:bidi="ar"/>
        </w:rPr>
        <w:t xml:space="preserve">frequency linear transducer (HFL50, 15–6 MHz) was placed in the transverse plane at the lateral border of the midpoint of the clavicle for a coronal scan to identify and obtain the best view of the subclavian artery </w:t>
      </w:r>
      <w:bookmarkStart w:id="5" w:name="OLE_LINK1"/>
      <w:r>
        <w:rPr>
          <w:rFonts w:hint="default" w:ascii="Times New Roman" w:hAnsi="Times New Roman" w:cs="Times New Roman"/>
          <w:color w:val="000000"/>
          <w:kern w:val="0"/>
          <w:sz w:val="24"/>
          <w:szCs w:val="24"/>
          <w:lang w:bidi="ar"/>
        </w:rPr>
        <w:t>(</w:t>
      </w:r>
      <w:r>
        <w:rPr>
          <w:rFonts w:hint="default" w:ascii="Times New Roman" w:hAnsi="Times New Roman" w:cs="Times New Roman"/>
          <w:sz w:val="24"/>
          <w:szCs w:val="24"/>
          <w:lang w:bidi="ar"/>
        </w:rPr>
        <w:t>Fig.</w:t>
      </w:r>
      <w:r>
        <w:rPr>
          <w:rFonts w:hint="default" w:ascii="Times New Roman" w:hAnsi="Times New Roman" w:cs="Times New Roman"/>
          <w:sz w:val="24"/>
          <w:szCs w:val="24"/>
          <w:lang w:bidi="ar"/>
        </w:rPr>
        <w:t xml:space="preserve"> </w:t>
      </w:r>
      <w:r>
        <w:rPr>
          <w:rFonts w:hint="default" w:ascii="Times New Roman" w:hAnsi="Times New Roman" w:cs="Times New Roman"/>
          <w:sz w:val="24"/>
          <w:szCs w:val="24"/>
          <w:lang w:val="en-US" w:eastAsia="zh-CN" w:bidi="ar"/>
        </w:rPr>
        <w:t>1</w:t>
      </w:r>
      <w:r>
        <w:rPr>
          <w:rFonts w:hint="default" w:ascii="Times New Roman" w:hAnsi="Times New Roman" w:cs="Times New Roman"/>
          <w:sz w:val="24"/>
          <w:szCs w:val="24"/>
          <w:lang w:bidi="ar"/>
        </w:rPr>
        <w:t>B</w:t>
      </w:r>
      <w:r>
        <w:rPr>
          <w:rFonts w:hint="default" w:ascii="Times New Roman" w:hAnsi="Times New Roman" w:cs="Times New Roman"/>
          <w:color w:val="000000"/>
          <w:kern w:val="0"/>
          <w:sz w:val="24"/>
          <w:szCs w:val="24"/>
          <w:lang w:bidi="ar"/>
        </w:rPr>
        <w:t>)</w:t>
      </w:r>
      <w:r>
        <w:rPr>
          <w:rFonts w:hint="default" w:ascii="Times New Roman" w:hAnsi="Times New Roman" w:cs="Times New Roman"/>
          <w:color w:val="000000"/>
          <w:kern w:val="0"/>
          <w:sz w:val="24"/>
          <w:szCs w:val="24"/>
          <w:lang w:bidi="ar"/>
        </w:rPr>
        <w:t xml:space="preserve">. Colour blood flow Doppler imaging was performed </w:t>
      </w:r>
      <w:bookmarkEnd w:id="5"/>
      <w:r>
        <w:rPr>
          <w:rFonts w:hint="default" w:ascii="Times New Roman" w:hAnsi="Times New Roman" w:cs="Times New Roman"/>
          <w:color w:val="000000"/>
          <w:kern w:val="0"/>
          <w:sz w:val="24"/>
          <w:szCs w:val="24"/>
          <w:lang w:bidi="ar"/>
        </w:rPr>
        <w:t xml:space="preserve">for confirmation. Local anaesthesia was administered using 1 mL of 1% lidocaine at the puncture site by ultrasonic in-plane needle tracking. Under real-time monitoring, a 5-cm, 21-gauge nerve block needle (Stimuplex, B </w:t>
      </w:r>
    </w:p>
    <w:p>
      <w:pPr>
        <w:widowControl/>
        <w:spacing w:line="360" w:lineRule="auto"/>
        <w:jc w:val="left"/>
        <w:rPr>
          <w:rFonts w:hint="default" w:ascii="Times New Roman" w:hAnsi="Times New Roman" w:cs="Times New Roman"/>
          <w:color w:val="000000"/>
          <w:sz w:val="24"/>
          <w:szCs w:val="24"/>
        </w:rPr>
      </w:pPr>
      <w:r>
        <w:rPr>
          <w:rFonts w:hint="default" w:ascii="Times New Roman" w:hAnsi="Times New Roman" w:cs="Times New Roman"/>
          <w:color w:val="000000"/>
          <w:kern w:val="0"/>
          <w:sz w:val="24"/>
          <w:szCs w:val="24"/>
          <w:lang w:bidi="ar"/>
        </w:rPr>
        <w:t>Braun) was inserted</w:t>
      </w:r>
      <w:r>
        <w:rPr>
          <w:rFonts w:hint="default" w:ascii="Times New Roman" w:hAnsi="Times New Roman" w:eastAsia="MinionPro-Regular" w:cs="Times New Roman"/>
          <w:color w:val="000000"/>
          <w:kern w:val="0"/>
          <w:sz w:val="24"/>
          <w:szCs w:val="24"/>
          <w:lang w:bidi="ar"/>
        </w:rPr>
        <w:t xml:space="preserve"> </w:t>
      </w:r>
      <w:r>
        <w:rPr>
          <w:rFonts w:hint="default" w:ascii="Times New Roman" w:hAnsi="Times New Roman" w:cs="Times New Roman"/>
          <w:color w:val="000000"/>
          <w:kern w:val="0"/>
          <w:sz w:val="24"/>
          <w:szCs w:val="24"/>
          <w:lang w:bidi="ar"/>
        </w:rPr>
        <w:t xml:space="preserve">parallel to the long axis of the transducer from the lateral side, </w:t>
      </w:r>
      <w:r>
        <w:rPr>
          <w:rFonts w:hint="default" w:ascii="Times New Roman" w:hAnsi="Times New Roman" w:eastAsia="MinionPro-Regular" w:cs="Times New Roman"/>
          <w:color w:val="000000"/>
          <w:kern w:val="0"/>
          <w:sz w:val="24"/>
          <w:szCs w:val="24"/>
          <w:lang w:bidi="ar"/>
        </w:rPr>
        <w:t>and the needle tip was placed near</w:t>
      </w:r>
      <w:r>
        <w:rPr>
          <w:rFonts w:hint="default" w:ascii="Times New Roman" w:hAnsi="Times New Roman" w:cs="Times New Roman"/>
          <w:color w:val="000000"/>
          <w:kern w:val="0"/>
          <w:sz w:val="24"/>
          <w:szCs w:val="24"/>
          <w:lang w:bidi="ar"/>
        </w:rPr>
        <w:t xml:space="preserve"> the intersection of the subclavian artery and the first rib. </w:t>
      </w:r>
      <w:r>
        <w:rPr>
          <w:rFonts w:hint="default" w:ascii="Times New Roman" w:hAnsi="Times New Roman" w:eastAsia="MinionPro-Regular" w:cs="Times New Roman"/>
          <w:color w:val="000000"/>
          <w:kern w:val="0"/>
          <w:sz w:val="24"/>
          <w:szCs w:val="24"/>
          <w:lang w:bidi="ar"/>
        </w:rPr>
        <w:t>A small amount of saline was injected to ensure that the needle tip was in an ideal position.</w:t>
      </w:r>
      <w:r>
        <w:rPr>
          <w:rFonts w:hint="default" w:ascii="Times New Roman" w:hAnsi="Times New Roman" w:cs="Times New Roman"/>
          <w:color w:val="000000"/>
          <w:sz w:val="24"/>
          <w:szCs w:val="24"/>
        </w:rPr>
        <w:t xml:space="preserve"> </w:t>
      </w:r>
      <w:r>
        <w:rPr>
          <w:rFonts w:hint="default" w:ascii="Times New Roman" w:hAnsi="Times New Roman" w:cs="Times New Roman"/>
          <w:color w:val="000000"/>
          <w:kern w:val="0"/>
          <w:sz w:val="24"/>
          <w:szCs w:val="24"/>
          <w:lang w:bidi="ar"/>
        </w:rPr>
        <w:t>Then, 12.5 mL of 0.4% ropivacaine was injected. Afterwards, the needle was retracted, and the angle was adjusted to insert the needle tip just above the outer fascia of the brachial plexus sheath to inject another 12.5 mL of 0.4% ropivacaine. The needle body and the tip were imaged using ultrasound throughout the entire process. Ultrasound criteria</w:t>
      </w:r>
      <w:r>
        <w:rPr>
          <w:rFonts w:hint="default" w:ascii="Times New Roman" w:hAnsi="Times New Roman" w:cs="Times New Roman"/>
          <w:color w:val="000000"/>
          <w:kern w:val="0"/>
          <w:sz w:val="24"/>
          <w:szCs w:val="24"/>
          <w:lang w:bidi="ar"/>
        </w:rPr>
        <w:fldChar w:fldCharType="begin"/>
      </w:r>
      <w:r>
        <w:rPr>
          <w:rFonts w:hint="default" w:ascii="Times New Roman" w:hAnsi="Times New Roman" w:cs="Times New Roman"/>
          <w:color w:val="000000"/>
          <w:kern w:val="0"/>
          <w:sz w:val="24"/>
          <w:szCs w:val="24"/>
          <w:lang w:eastAsia="zh-CN" w:bidi="ar"/>
        </w:rPr>
        <w:instrText xml:space="preserve"> ADDIN EN.CITE </w:instrText>
      </w:r>
      <w:r>
        <w:rPr>
          <w:rFonts w:hint="default" w:ascii="Times New Roman" w:hAnsi="Times New Roman" w:cs="Times New Roman"/>
          <w:color w:val="000000"/>
          <w:kern w:val="0"/>
          <w:sz w:val="24"/>
          <w:szCs w:val="24"/>
          <w:lang w:eastAsia="zh-CN" w:bidi="ar"/>
        </w:rPr>
        <w:fldChar w:fldCharType="begin">
          <w:fldData xml:space="preserve">PEVuZE5vdGU+PENpdGU+PEF1dGhvcj5TaXZhc2hhbm11Z2FtPC9BdXRob3I+PFllYXI+MjAxNTwv
WWVhcj48UmVjTnVtPjg8L1JlY051bT48RGlzcGxheVRleHQ+KDYpPC9EaXNwbGF5VGV4dD48cmVj
b3JkPjxyZWMtbnVtYmVyPjg8L3JlYy1udW1iZXI+PGZvcmVpZ24ta2V5cz48a2V5IGFwcD0iRU4i
IGRiLWlkPSJwemYwc3MwMnJkemY1OGV6ZHM3eGY1d2FyOTByZGU1YXRydmUiPjg8L2tleT48L2Zv
cmVpZ24ta2V5cz48cmVmLXR5cGUgbmFtZT0iSm91cm5hbCBBcnRpY2xlIj4xNzwvcmVmLXR5cGU+
PGNvbnRyaWJ1dG9ycz48YXV0aG9ycz48YXV0aG9yPlNpdmFzaGFubXVnYW0sIFQuPC9hdXRob3I+
PGF1dGhvcj5SYXksIFMuPC9hdXRob3I+PGF1dGhvcj5SYXZpc2hhbmthciwgTS48L2F1dGhvcj48
YXV0aG9yPkpheWEsIFYuPC9hdXRob3I+PGF1dGhvcj5TZWx2YW0sIEUuPC9hdXRob3I+PGF1dGhv
cj5LYXJtYWthciwgTS4gSy48L2F1dGhvcj48L2F1dGhvcnM+PC9jb250cmlidXRvcnM+PGF1dGgt
YWRkcmVzcz5Gcm9tIHRoZSAqRGVwYXJ0bWVudCBvZiBBbmVzdGhlc2lvbG9neSAmYW1wOyBDcml0
aWNhbCBDYXJlLCBNYWhhdG1hIEdhbmRoaSBNZWRpY2FsIENvbGxlZ2UgYW5kIFJlc2VhcmNoIElu
c3RpdHV0ZSwgU3JpIEJhbGFqaSBWaWR5YXBlZXRoLCBQaWxsYXlhcmt1cHBhbSwgUHVkdWNoZXJy
eSwgSW5kaWE7IGFuZCDigKBEZXBhcnRtZW50IG9mIEFuZXN0aGVzaWEgJmFtcDsgSW50ZW5zaXZl
IGNhcmUsIFRoZSBDaGluZXNlIFVuaXZlcnNpdHkgb2YgSG9uZyBLb25nLCBQcmluY2Ugb2YgV2Fs
ZXMgSG9zcGl0YWwsIFNoYXRpbiwgTmV3IFRlcnJpdG9yaWVzLCBIb25nIEtvbmcsIENoaW5hLjwv
YXV0aC1hZGRyZXNzPjx0aXRsZXM+PHRpdGxlPlJhbmRvbWl6ZWQgQ29tcGFyaXNvbiBvZiBFeHRy
YWZhc2NpYWwgVmVyc3VzIFN1YmZhc2NpYWwgSW5qZWN0aW9uIG9mIExvY2FsIEFuZXN0aGV0aWMg
RHVyaW5nIFVsdHJhc291bmQtR3VpZGVkIFN1cHJhY2xhdmljdWxhciBCcmFjaGlhbCBQbGV4dXMg
QmxvY2s8L3RpdGxlPjxzZWNvbmRhcnktdGl0bGU+UmVnIEFuZXN0aCBQYWluIE1lZDwvc2Vjb25k
YXJ5LXRpdGxlPjxhbHQtdGl0bGU+UmVnaW9uYWwgYW5lc3RoZXNpYSBhbmQgcGFpbiBtZWRpY2lu
ZTwvYWx0LXRpdGxlPjwvdGl0bGVzPjxwZXJpb2RpY2FsPjxmdWxsLXRpdGxlPlJlZyBBbmVzdGgg
UGFpbiBNZWQ8L2Z1bGwtdGl0bGU+PGFiYnItMT5SZWdpb25hbCBhbmVzdGhlc2lhIGFuZCBwYWlu
IG1lZGljaW5lPC9hYmJyLTE+PC9wZXJpb2RpY2FsPjxhbHQtcGVyaW9kaWNhbD48ZnVsbC10aXRs
ZT5SZWcgQW5lc3RoIFBhaW4gTWVkPC9mdWxsLXRpdGxlPjxhYmJyLTE+UmVnaW9uYWwgYW5lc3Ro
ZXNpYSBhbmQgcGFpbiBtZWRpY2luZTwvYWJici0xPjwvYWx0LXBlcmlvZGljYWw+PHBhZ2VzPjMz
Ny00MzwvcGFnZXM+PHZvbHVtZT40MDwvdm9sdW1lPjxudW1iZXI+NDwvbnVtYmVyPjxlZGl0aW9u
PjIwMTUvMDYvMTM8L2VkaXRpb24+PGtleXdvcmRzPjxrZXl3b3JkPkFkdWx0PC9rZXl3b3JkPjxr
ZXl3b3JkPkFuYXRvbWljIExhbmRtYXJrczwva2V5d29yZD48a2V5d29yZD5BbmVzdGhldGljcywg
Q29tYmluZWQvKmFkbWluaXN0cmF0aW9uICZhbXA7IGRvc2FnZS9hZHZlcnNlIGVmZmVjdHM8L2tl
eXdvcmQ+PGtleXdvcmQ+QW5lc3RoZXRpY3MsIExvY2FsLyphZG1pbmlzdHJhdGlvbiAmYW1wOyBk
b3NhZ2UvYWR2ZXJzZSBlZmZlY3RzPC9rZXl3b3JkPjxrZXl3b3JkPkJyYWNoaWFsIFBsZXh1cyBC
bG9jay9hZHZlcnNlIGVmZmVjdHMvKm1ldGhvZHM8L2tleXdvcmQ+PGtleXdvcmQ+QnVwaXZhY2Fp
bmUvKmFkbWluaXN0cmF0aW9uICZhbXA7IGRvc2FnZS9hZHZlcnNlIGVmZmVjdHM8L2tleXdvcmQ+
PGtleXdvcmQ+RHJ1ZyBDb21iaW5hdGlvbnM8L2tleXdvcmQ+PGtleXdvcmQ+RXBpbmVwaHJpbmUv
YWRtaW5pc3RyYXRpb24gJmFtcDsgZG9zYWdlL2FkdmVyc2UgZWZmZWN0czwva2V5d29yZD48a2V5
d29yZD5GZW1hbGU8L2tleXdvcmQ+PGtleXdvcmQ+SHVtYW5zPC9rZXl3b3JkPjxrZXl3b3JkPklu
ZGlhPC9rZXl3b3JkPjxrZXl3b3JkPkluamVjdGlvbnM8L2tleXdvcmQ+PGtleXdvcmQ+TGlkb2Nh
aW5lLyphZG1pbmlzdHJhdGlvbiAmYW1wOyBkb3NhZ2UvYWR2ZXJzZSBlZmZlY3RzPC9rZXl3b3Jk
PjxrZXl3b3JkPk1hbGU8L2tleXdvcmQ+PGtleXdvcmQ+TWlkZGxlIEFnZWQ8L2tleXdvcmQ+PGtl
eXdvcmQ+TW90b3IgQWN0aXZpdHkvZHJ1ZyBlZmZlY3RzPC9rZXl3b3JkPjxrZXl3b3JkPipPcnRo
b3BlZGljIFByb2NlZHVyZXMvYWR2ZXJzZSBlZmZlY3RzPC9rZXl3b3JkPjxrZXl3b3JkPlBhaW4g
TWVhc3VyZW1lbnQ8L2tleXdvcmQ+PGtleXdvcmQ+UGFpbiBUaHJlc2hvbGQvZHJ1ZyBlZmZlY3Rz
PC9rZXl3b3JkPjxrZXl3b3JkPlBhaW4sIFBvc3RvcGVyYXRpdmUvZGlhZ25vc2lzL2V0aW9sb2d5
LypwcmV2ZW50aW9uICZhbXA7IGNvbnRyb2w8L2tleXdvcmQ+PGtleXdvcmQ+UHJvc3BlY3RpdmUg
U3R1ZGllczwva2V5d29yZD48a2V5d29yZD5UaW1lIEZhY3RvcnM8L2tleXdvcmQ+PGtleXdvcmQ+
VHJlYXRtZW50IE91dGNvbWU8L2tleXdvcmQ+PGtleXdvcmQ+KlVsdHJhc29ub2dyYXBoeSwgSW50
ZXJ2ZW50aW9uYWw8L2tleXdvcmQ+PGtleXdvcmQ+VXBwZXIgRXh0cmVtaXR5L2lubmVydmF0aW9u
LypzdXJnZXJ5PC9rZXl3b3JkPjxrZXl3b3JkPllvdW5nIEFkdWx0PC9rZXl3b3JkPjwva2V5d29y
ZHM+PGRhdGVzPjx5ZWFyPjIwMTU8L3llYXI+PHB1Yi1kYXRlcz48ZGF0ZT5KdWwtQXVnPC9kYXRl
PjwvcHViLWRhdGVzPjwvZGF0ZXM+PGlzYm4+MTA5OC03MzM5PC9pc2JuPjxhY2Nlc3Npb24tbnVt
PjI2MDY2Mzg1PC9hY2Nlc3Npb24tbnVtPjx1cmxzPjwvdXJscz48ZWxlY3Ryb25pYy1yZXNvdXJj
ZS1udW0+MTAuMTA5Ny9hYXAuMDAwMDAwMDAwMDAwMDI2NDwvZWxlY3Ryb25pYy1yZXNvdXJjZS1u
dW0+PHJlbW90ZS1kYXRhYmFzZS1wcm92aWRlcj5ObG08L3JlbW90ZS1kYXRhYmFzZS1wcm92aWRl
cj48bGFuZ3VhZ2U+ZW5nPC9sYW5ndWFnZT48L3JlY29yZD48L0NpdGU+PC9FbmROb3RlPgA=
</w:fldData>
        </w:fldChar>
      </w:r>
      <w:r>
        <w:rPr>
          <w:rFonts w:hint="default" w:ascii="Times New Roman" w:hAnsi="Times New Roman" w:cs="Times New Roman"/>
          <w:color w:val="000000"/>
          <w:kern w:val="0"/>
          <w:sz w:val="24"/>
          <w:szCs w:val="24"/>
          <w:lang w:eastAsia="zh-CN" w:bidi="ar"/>
        </w:rPr>
        <w:instrText xml:space="preserve"> ADDIN EN.CITE.DATA </w:instrText>
      </w:r>
      <w:r>
        <w:rPr>
          <w:rFonts w:hint="default" w:ascii="Times New Roman" w:hAnsi="Times New Roman" w:cs="Times New Roman"/>
          <w:color w:val="000000"/>
          <w:kern w:val="0"/>
          <w:sz w:val="24"/>
          <w:szCs w:val="24"/>
          <w:lang w:eastAsia="zh-CN" w:bidi="ar"/>
        </w:rPr>
        <w:fldChar w:fldCharType="separate"/>
      </w:r>
      <w:r>
        <w:rPr>
          <w:rFonts w:hint="default" w:ascii="Times New Roman" w:hAnsi="Times New Roman" w:cs="Times New Roman"/>
          <w:color w:val="000000"/>
          <w:kern w:val="0"/>
          <w:sz w:val="24"/>
          <w:szCs w:val="24"/>
          <w:lang w:eastAsia="zh-CN" w:bidi="ar"/>
        </w:rPr>
        <w:fldChar w:fldCharType="end"/>
      </w:r>
      <w:r>
        <w:rPr>
          <w:rFonts w:hint="default" w:ascii="Times New Roman" w:hAnsi="Times New Roman" w:cs="Times New Roman"/>
          <w:color w:val="000000"/>
          <w:kern w:val="0"/>
          <w:sz w:val="24"/>
          <w:szCs w:val="24"/>
          <w:lang w:bidi="ar"/>
        </w:rPr>
        <w:fldChar w:fldCharType="separate"/>
      </w:r>
      <w:r>
        <w:rPr>
          <w:rFonts w:hint="default" w:ascii="Times New Roman" w:hAnsi="Times New Roman" w:eastAsia="宋体" w:cs="Times New Roman"/>
          <w:color w:val="000000"/>
          <w:kern w:val="0"/>
          <w:sz w:val="24"/>
          <w:szCs w:val="24"/>
          <w:lang w:val="en-GB" w:eastAsia="zh-CN" w:bidi="ar"/>
        </w:rPr>
        <w:t>(</w:t>
      </w:r>
      <w:r>
        <w:rPr>
          <w:rFonts w:hint="default" w:ascii="Times New Roman" w:hAnsi="Times New Roman" w:eastAsia="宋体" w:cs="Times New Roman"/>
          <w:color w:val="000000"/>
          <w:kern w:val="0"/>
          <w:sz w:val="24"/>
          <w:szCs w:val="24"/>
          <w:lang w:val="en-GB" w:eastAsia="zh-CN" w:bidi="ar"/>
        </w:rPr>
        <w:fldChar w:fldCharType="begin"/>
      </w:r>
      <w:r>
        <w:rPr>
          <w:rFonts w:hint="default" w:ascii="Times New Roman" w:hAnsi="Times New Roman" w:eastAsia="宋体" w:cs="Times New Roman"/>
          <w:color w:val="000000"/>
          <w:kern w:val="0"/>
          <w:sz w:val="24"/>
          <w:szCs w:val="24"/>
          <w:lang w:val="en-GB" w:eastAsia="zh-CN" w:bidi="ar"/>
        </w:rPr>
        <w:instrText xml:space="preserve"> HYPERLINK \l "_ENREF_6" \o "Sivashanmugam, 2015 #8" </w:instrText>
      </w:r>
      <w:r>
        <w:rPr>
          <w:rFonts w:hint="default" w:ascii="Times New Roman" w:hAnsi="Times New Roman" w:eastAsia="宋体" w:cs="Times New Roman"/>
          <w:color w:val="000000"/>
          <w:kern w:val="0"/>
          <w:sz w:val="24"/>
          <w:szCs w:val="24"/>
          <w:lang w:val="en-GB" w:eastAsia="zh-CN" w:bidi="ar"/>
        </w:rPr>
        <w:fldChar w:fldCharType="separate"/>
      </w:r>
      <w:r>
        <w:rPr>
          <w:rFonts w:hint="default" w:ascii="Times New Roman" w:hAnsi="Times New Roman" w:eastAsia="宋体" w:cs="Times New Roman"/>
          <w:color w:val="000000"/>
          <w:kern w:val="0"/>
          <w:sz w:val="24"/>
          <w:szCs w:val="24"/>
          <w:lang w:val="en-GB" w:eastAsia="zh-CN" w:bidi="ar"/>
        </w:rPr>
        <w:t>6</w:t>
      </w:r>
      <w:r>
        <w:rPr>
          <w:rFonts w:hint="default" w:ascii="Times New Roman" w:hAnsi="Times New Roman" w:eastAsia="宋体" w:cs="Times New Roman"/>
          <w:color w:val="000000"/>
          <w:kern w:val="0"/>
          <w:sz w:val="24"/>
          <w:szCs w:val="24"/>
          <w:lang w:val="en-GB" w:eastAsia="zh-CN" w:bidi="ar"/>
        </w:rPr>
        <w:fldChar w:fldCharType="end"/>
      </w:r>
      <w:r>
        <w:rPr>
          <w:rFonts w:hint="default" w:ascii="Times New Roman" w:hAnsi="Times New Roman" w:eastAsia="宋体" w:cs="Times New Roman"/>
          <w:color w:val="000000"/>
          <w:kern w:val="0"/>
          <w:sz w:val="24"/>
          <w:szCs w:val="24"/>
          <w:lang w:val="en-GB" w:eastAsia="zh-CN" w:bidi="ar"/>
        </w:rPr>
        <w:t>)</w:t>
      </w:r>
      <w:r>
        <w:rPr>
          <w:rFonts w:hint="default" w:ascii="Times New Roman" w:hAnsi="Times New Roman" w:cs="Times New Roman"/>
          <w:color w:val="000000"/>
          <w:kern w:val="0"/>
          <w:sz w:val="24"/>
          <w:szCs w:val="24"/>
          <w:lang w:bidi="ar"/>
        </w:rPr>
        <w:fldChar w:fldCharType="end"/>
      </w:r>
      <w:r>
        <w:rPr>
          <w:rFonts w:hint="default" w:ascii="Times New Roman" w:hAnsi="Times New Roman" w:cs="Times New Roman"/>
          <w:color w:val="000000"/>
          <w:kern w:val="0"/>
          <w:sz w:val="24"/>
          <w:szCs w:val="24"/>
          <w:lang w:bidi="ar"/>
        </w:rPr>
        <w:t xml:space="preserve"> for performing supraclavicular brachial plexus extrafascial block included placement of the needle tip outside the brachial plexus sheath, observation of local diffusion of local anaesthesia outside the brachial plexus sheath, no obvious swelling or separation of each branch of the supraclavicular brachial plexus, and locating the tip of the puncture needle far away from each branch of the supraclavicular brachial plexus after local anaesthesia injection.</w:t>
      </w:r>
    </w:p>
    <w:p>
      <w:pPr>
        <w:widowControl/>
        <w:spacing w:line="360" w:lineRule="auto"/>
        <w:jc w:val="left"/>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In the AX group, patients were placed in the supine position with the surgical arm in 90° abduction and external rotation. After skin and probe preparation, a high</w:t>
      </w:r>
      <w:r>
        <w:rPr>
          <w:rFonts w:hint="default" w:ascii="Times New Roman" w:hAnsi="Times New Roman" w:cs="Times New Roman"/>
          <w:color w:val="000000"/>
          <w:kern w:val="0"/>
          <w:sz w:val="24"/>
          <w:szCs w:val="24"/>
          <w:lang w:bidi="ar"/>
        </w:rPr>
        <w:noBreakHyphen/>
      </w:r>
      <w:r>
        <w:rPr>
          <w:rFonts w:hint="default" w:ascii="Times New Roman" w:hAnsi="Times New Roman" w:cs="Times New Roman"/>
          <w:color w:val="000000"/>
          <w:kern w:val="0"/>
          <w:sz w:val="24"/>
          <w:szCs w:val="24"/>
          <w:lang w:bidi="ar"/>
        </w:rPr>
        <w:t xml:space="preserve">frequency linear transducer (HFL50, 15–6 MHz) was placed in the transverse plane at the lateral border of the pectoralis major muscle, </w:t>
      </w:r>
      <w:r>
        <w:rPr>
          <w:rFonts w:hint="default" w:ascii="Times New Roman" w:hAnsi="Times New Roman" w:eastAsia="MinionPro-Regular" w:cs="Times New Roman"/>
          <w:color w:val="000000"/>
          <w:kern w:val="0"/>
          <w:sz w:val="24"/>
          <w:szCs w:val="24"/>
          <w:lang w:bidi="ar"/>
        </w:rPr>
        <w:t>and</w:t>
      </w:r>
      <w:r>
        <w:rPr>
          <w:rFonts w:hint="default" w:ascii="Times New Roman" w:hAnsi="Times New Roman" w:cs="Times New Roman"/>
          <w:color w:val="000000"/>
          <w:kern w:val="0"/>
          <w:sz w:val="24"/>
          <w:szCs w:val="24"/>
          <w:lang w:bidi="ar"/>
        </w:rPr>
        <w:t xml:space="preserve"> th</w:t>
      </w:r>
      <w:r>
        <w:rPr>
          <w:rFonts w:hint="default" w:ascii="Times New Roman" w:hAnsi="Times New Roman" w:eastAsia="MinionPro-Regular" w:cs="Times New Roman"/>
          <w:color w:val="000000"/>
          <w:kern w:val="0"/>
          <w:sz w:val="24"/>
          <w:szCs w:val="24"/>
          <w:lang w:bidi="ar"/>
        </w:rPr>
        <w:t xml:space="preserve">e ultrasound probe was moved </w:t>
      </w:r>
      <w:r>
        <w:rPr>
          <w:rFonts w:hint="default" w:ascii="Times New Roman" w:hAnsi="Times New Roman" w:cs="Times New Roman"/>
          <w:color w:val="000000"/>
          <w:kern w:val="0"/>
          <w:sz w:val="24"/>
          <w:szCs w:val="24"/>
          <w:lang w:bidi="ar"/>
        </w:rPr>
        <w:t>along the long head of the triceps brachii to the level of the latissimus dorsi. T</w:t>
      </w:r>
      <w:r>
        <w:rPr>
          <w:rFonts w:hint="default" w:ascii="Times New Roman" w:hAnsi="Times New Roman" w:eastAsia="MinionPro-Regular" w:cs="Times New Roman"/>
          <w:color w:val="000000"/>
          <w:kern w:val="0"/>
          <w:sz w:val="24"/>
          <w:szCs w:val="24"/>
          <w:lang w:bidi="ar"/>
        </w:rPr>
        <w:t>he axillary artery was scanned along its short axis, and the locations of the</w:t>
      </w:r>
      <w:r>
        <w:rPr>
          <w:rFonts w:hint="default" w:ascii="Times New Roman" w:hAnsi="Times New Roman" w:cs="Times New Roman"/>
          <w:color w:val="000000"/>
          <w:kern w:val="0"/>
          <w:sz w:val="24"/>
          <w:szCs w:val="24"/>
          <w:lang w:bidi="ar"/>
        </w:rPr>
        <w:t xml:space="preserve"> median, ulnar, radial, and </w:t>
      </w:r>
      <w:r>
        <w:rPr>
          <w:rFonts w:hint="default" w:ascii="Times New Roman" w:hAnsi="Times New Roman" w:cs="Times New Roman"/>
          <w:color w:val="000000"/>
          <w:sz w:val="24"/>
          <w:szCs w:val="24"/>
          <w:lang w:bidi="ar"/>
        </w:rPr>
        <w:t>musculocutaneous nerves</w:t>
      </w:r>
      <w:r>
        <w:rPr>
          <w:rFonts w:hint="default" w:ascii="Times New Roman" w:hAnsi="Times New Roman" w:eastAsia="MinionPro-Regular" w:cs="Times New Roman"/>
          <w:color w:val="000000"/>
          <w:kern w:val="0"/>
          <w:sz w:val="24"/>
          <w:szCs w:val="24"/>
          <w:lang w:bidi="ar"/>
        </w:rPr>
        <w:t xml:space="preserve"> around the axillary artery were determined </w:t>
      </w:r>
      <w:r>
        <w:rPr>
          <w:rFonts w:hint="default" w:ascii="Times New Roman" w:hAnsi="Times New Roman" w:cs="Times New Roman"/>
          <w:color w:val="000000"/>
          <w:kern w:val="0"/>
          <w:sz w:val="24"/>
          <w:szCs w:val="24"/>
          <w:lang w:bidi="ar"/>
        </w:rPr>
        <w:t>(</w:t>
      </w:r>
      <w:r>
        <w:rPr>
          <w:rFonts w:hint="default" w:ascii="Times New Roman" w:hAnsi="Times New Roman" w:cs="Times New Roman"/>
          <w:sz w:val="24"/>
          <w:szCs w:val="24"/>
          <w:lang w:bidi="ar"/>
        </w:rPr>
        <w:t>Fig.</w:t>
      </w:r>
      <w:r>
        <w:rPr>
          <w:rFonts w:hint="default" w:ascii="Times New Roman" w:hAnsi="Times New Roman" w:cs="Times New Roman"/>
          <w:sz w:val="24"/>
          <w:szCs w:val="24"/>
          <w:lang w:bidi="ar"/>
        </w:rPr>
        <w:t xml:space="preserve"> </w:t>
      </w:r>
      <w:r>
        <w:rPr>
          <w:rFonts w:hint="default" w:ascii="Times New Roman" w:hAnsi="Times New Roman" w:cs="Times New Roman"/>
          <w:sz w:val="24"/>
          <w:szCs w:val="24"/>
          <w:lang w:val="en-US" w:eastAsia="zh-CN" w:bidi="ar"/>
        </w:rPr>
        <w:t>1</w:t>
      </w:r>
      <w:r>
        <w:rPr>
          <w:rFonts w:hint="default" w:ascii="Times New Roman" w:hAnsi="Times New Roman" w:cs="Times New Roman"/>
          <w:sz w:val="24"/>
          <w:szCs w:val="24"/>
          <w:lang w:bidi="ar"/>
        </w:rPr>
        <w:t>A</w:t>
      </w:r>
      <w:r>
        <w:rPr>
          <w:rFonts w:hint="default" w:ascii="Times New Roman" w:hAnsi="Times New Roman" w:cs="Times New Roman"/>
          <w:color w:val="000000"/>
          <w:kern w:val="0"/>
          <w:sz w:val="24"/>
          <w:szCs w:val="24"/>
          <w:lang w:bidi="ar"/>
        </w:rPr>
        <w:t>)</w:t>
      </w:r>
      <w:r>
        <w:rPr>
          <w:rFonts w:hint="default" w:ascii="Times New Roman" w:hAnsi="Times New Roman" w:cs="Times New Roman"/>
          <w:color w:val="000000"/>
          <w:kern w:val="0"/>
          <w:sz w:val="24"/>
          <w:szCs w:val="24"/>
          <w:lang w:bidi="ar"/>
        </w:rPr>
        <w:t>. The brachial plexus was located in the anterior part of the latissimus dorsi and latissimus dorsi tendon</w:t>
      </w:r>
      <w:r>
        <w:rPr>
          <w:rFonts w:hint="default" w:ascii="Times New Roman" w:hAnsi="Times New Roman" w:cs="Times New Roman"/>
          <w:color w:val="000000"/>
          <w:sz w:val="24"/>
          <w:szCs w:val="24"/>
          <w:lang w:bidi="ar"/>
        </w:rPr>
        <w:t xml:space="preserve">. Local anaesthesia was administered using 1 mL of 1% lidocaine. </w:t>
      </w:r>
      <w:r>
        <w:rPr>
          <w:rFonts w:hint="default" w:ascii="Times New Roman" w:hAnsi="Times New Roman" w:cs="Times New Roman"/>
          <w:color w:val="000000"/>
          <w:kern w:val="0"/>
          <w:sz w:val="24"/>
          <w:szCs w:val="24"/>
          <w:lang w:bidi="ar"/>
        </w:rPr>
        <w:t xml:space="preserve">A short-beveled 5-cm 22G insulated needle was inserted parallel to the long axis of the transducer from the lateral side. Then, 5 mL of 0.4% ropivacaine was injected around the radial nerve (i.e., on the tendon fascia of latissimus dorsi) at the 4-6 o’clock position relative to the axillary artery. Injections were also performed around the ulnar nerve (2-3 o’clock position) and the median nerve (11-12 o’clock position). The </w:t>
      </w:r>
      <w:r>
        <w:rPr>
          <w:rFonts w:hint="default" w:ascii="Times New Roman" w:hAnsi="Times New Roman" w:cs="Times New Roman"/>
          <w:color w:val="000000"/>
          <w:sz w:val="24"/>
          <w:szCs w:val="24"/>
          <w:lang w:bidi="ar"/>
        </w:rPr>
        <w:t xml:space="preserve">musculocutaneous nerve appeared as an oval or flat nerve structure visible between the short head of the biceps brachii and the coracobrachialis muscle. </w:t>
      </w:r>
      <w:r>
        <w:rPr>
          <w:rFonts w:hint="default" w:ascii="Times New Roman" w:hAnsi="Times New Roman" w:cs="Times New Roman"/>
          <w:color w:val="000000"/>
          <w:kern w:val="0"/>
          <w:sz w:val="24"/>
          <w:szCs w:val="24"/>
          <w:lang w:bidi="ar"/>
        </w:rPr>
        <w:t xml:space="preserve">The musculocutaneous nerve was commonly seen at 8-9 at o’clock in relation to the artery. A total of 5 mL of 0.4% ropivacaine </w:t>
      </w:r>
    </w:p>
    <w:p>
      <w:pPr>
        <w:widowControl/>
        <w:spacing w:line="360" w:lineRule="auto"/>
        <w:jc w:val="left"/>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lang w:bidi="ar"/>
        </w:rPr>
        <w:t>was injected around</w:t>
      </w:r>
      <w:r>
        <w:rPr>
          <w:rFonts w:hint="default" w:ascii="Times New Roman" w:hAnsi="Times New Roman" w:cs="Times New Roman"/>
          <w:color w:val="000000"/>
          <w:sz w:val="24"/>
          <w:szCs w:val="24"/>
          <w:lang w:bidi="ar"/>
        </w:rPr>
        <w:t xml:space="preserve"> the musculocutaneous nerve</w:t>
      </w:r>
      <w:r>
        <w:rPr>
          <w:rFonts w:hint="default" w:ascii="Times New Roman" w:hAnsi="Times New Roman" w:cs="Times New Roman"/>
          <w:color w:val="000000"/>
          <w:kern w:val="0"/>
          <w:sz w:val="24"/>
          <w:szCs w:val="24"/>
          <w:lang w:bidi="ar"/>
        </w:rPr>
        <w:t xml:space="preserve">. Subsequently, the ultrasonic probe was adjusted and moved slightly cephalad to locate the </w:t>
      </w:r>
      <w:r>
        <w:rPr>
          <w:rFonts w:hint="default" w:ascii="Times New Roman" w:hAnsi="Times New Roman" w:cs="Times New Roman"/>
          <w:color w:val="000000"/>
          <w:sz w:val="24"/>
          <w:szCs w:val="24"/>
          <w:lang w:bidi="ar"/>
        </w:rPr>
        <w:t>quadrilateral space (QS)</w:t>
      </w:r>
      <w:r>
        <w:rPr>
          <w:rFonts w:hint="default" w:ascii="Times New Roman" w:hAnsi="Times New Roman" w:cs="Times New Roman"/>
          <w:color w:val="000000"/>
          <w:kern w:val="0"/>
          <w:sz w:val="24"/>
          <w:szCs w:val="24"/>
          <w:lang w:bidi="ar"/>
        </w:rPr>
        <w:t xml:space="preserve"> once the upper edge of the teres major disappeared </w:t>
      </w:r>
      <w:r>
        <w:rPr>
          <w:rFonts w:hint="default" w:ascii="Times New Roman" w:hAnsi="Times New Roman" w:cs="Times New Roman"/>
          <w:color w:val="000000"/>
          <w:kern w:val="0"/>
          <w:sz w:val="24"/>
          <w:szCs w:val="24"/>
          <w:lang w:bidi="ar"/>
        </w:rPr>
        <w:t>(</w:t>
      </w:r>
      <w:r>
        <w:rPr>
          <w:rFonts w:hint="default" w:ascii="Times New Roman" w:hAnsi="Times New Roman" w:cs="Times New Roman"/>
          <w:sz w:val="24"/>
          <w:szCs w:val="24"/>
          <w:lang w:bidi="ar"/>
        </w:rPr>
        <w:t>Fig.</w:t>
      </w:r>
      <w:r>
        <w:rPr>
          <w:rFonts w:hint="default" w:ascii="Times New Roman" w:hAnsi="Times New Roman" w:cs="Times New Roman"/>
          <w:sz w:val="24"/>
          <w:szCs w:val="24"/>
          <w:lang w:bidi="ar"/>
        </w:rPr>
        <w:t xml:space="preserve"> </w:t>
      </w:r>
      <w:r>
        <w:rPr>
          <w:rFonts w:hint="default" w:ascii="Times New Roman" w:hAnsi="Times New Roman" w:cs="Times New Roman"/>
          <w:sz w:val="24"/>
          <w:szCs w:val="24"/>
          <w:lang w:val="en-US" w:eastAsia="zh-CN" w:bidi="ar"/>
        </w:rPr>
        <w:t>1</w:t>
      </w:r>
      <w:r>
        <w:rPr>
          <w:rFonts w:hint="default" w:ascii="Times New Roman" w:hAnsi="Times New Roman" w:cs="Times New Roman"/>
          <w:sz w:val="24"/>
          <w:szCs w:val="24"/>
          <w:lang w:bidi="ar"/>
        </w:rPr>
        <w:t>C</w:t>
      </w:r>
      <w:r>
        <w:rPr>
          <w:rFonts w:hint="default" w:ascii="Times New Roman" w:hAnsi="Times New Roman" w:cs="Times New Roman"/>
          <w:color w:val="000000"/>
          <w:kern w:val="0"/>
          <w:sz w:val="24"/>
          <w:szCs w:val="24"/>
          <w:lang w:bidi="ar"/>
        </w:rPr>
        <w:t>)</w:t>
      </w:r>
      <w:r>
        <w:rPr>
          <w:rFonts w:hint="default" w:ascii="Times New Roman" w:hAnsi="Times New Roman" w:cs="Times New Roman"/>
          <w:color w:val="000000"/>
          <w:sz w:val="24"/>
          <w:szCs w:val="24"/>
          <w:lang w:bidi="ar"/>
        </w:rPr>
        <w:t>. The QS was defined as the narrow space between the humerus and teres major, where a honeycomb-shaped oval structure around the posterior circumflex humeral artery (PCHA) was observed</w:t>
      </w:r>
      <w:r>
        <w:rPr>
          <w:rFonts w:hint="default" w:ascii="Times New Roman" w:hAnsi="Times New Roman" w:cs="Times New Roman"/>
          <w:color w:val="000000"/>
          <w:sz w:val="24"/>
          <w:szCs w:val="24"/>
          <w:lang w:bidi="ar"/>
        </w:rPr>
        <w:t xml:space="preserve"> </w:t>
      </w:r>
      <w:r>
        <w:rPr>
          <w:rFonts w:hint="default" w:ascii="Times New Roman" w:hAnsi="Times New Roman" w:cs="Times New Roman"/>
          <w:color w:val="000000"/>
          <w:sz w:val="24"/>
          <w:szCs w:val="24"/>
          <w:lang w:bidi="ar"/>
        </w:rPr>
        <w:t>in the axillary nerve</w:t>
      </w:r>
      <w:r>
        <w:rPr>
          <w:rFonts w:hint="default" w:ascii="Times New Roman" w:hAnsi="Times New Roman" w:cs="Times New Roman"/>
          <w:color w:val="000000"/>
          <w:kern w:val="0"/>
          <w:sz w:val="24"/>
          <w:szCs w:val="24"/>
          <w:lang w:bidi="ar"/>
        </w:rPr>
        <w:t xml:space="preserve">. Five millilitres of 0.4% ropivacaine was injected around </w:t>
      </w:r>
      <w:r>
        <w:rPr>
          <w:rFonts w:hint="default" w:ascii="Times New Roman" w:hAnsi="Times New Roman" w:cs="Times New Roman"/>
          <w:kern w:val="0"/>
          <w:sz w:val="24"/>
          <w:szCs w:val="24"/>
          <w:lang w:bidi="ar"/>
        </w:rPr>
        <w:t>the axillary nerve</w:t>
      </w:r>
      <w:r>
        <w:rPr>
          <w:rFonts w:hint="default" w:ascii="Times New Roman" w:hAnsi="Times New Roman" w:cs="Times New Roman"/>
          <w:color w:val="000000"/>
          <w:kern w:val="0"/>
          <w:sz w:val="24"/>
          <w:szCs w:val="24"/>
          <w:lang w:bidi="ar"/>
        </w:rPr>
        <w:t>.</w:t>
      </w:r>
    </w:p>
    <w:bookmarkEnd w:id="4"/>
    <w:p>
      <w:pPr>
        <w:widowControl/>
        <w:spacing w:line="360" w:lineRule="auto"/>
        <w:jc w:val="left"/>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 xml:space="preserve">Prior to the operation in both groups, </w:t>
      </w:r>
      <w:r>
        <w:rPr>
          <w:rFonts w:hint="default" w:ascii="Times New Roman" w:hAnsi="Times New Roman" w:eastAsia="MinionPro-Regular" w:cs="Times New Roman"/>
          <w:color w:val="000000"/>
          <w:kern w:val="0"/>
          <w:sz w:val="24"/>
          <w:szCs w:val="24"/>
          <w:lang w:bidi="ar"/>
        </w:rPr>
        <w:t xml:space="preserve">a tourniquet was placed on the upper arm on the side to be operated upon, and a sterile drape was placed. The tourniquet to be operated upon was pressurized to 45 kPa. Surgery was performed 30 min after the block was completed. </w:t>
      </w:r>
      <w:r>
        <w:rPr>
          <w:rFonts w:hint="default" w:ascii="Times New Roman" w:hAnsi="Times New Roman" w:cs="Times New Roman"/>
          <w:color w:val="000000"/>
          <w:kern w:val="0"/>
          <w:sz w:val="24"/>
          <w:szCs w:val="24"/>
          <w:lang w:bidi="ar"/>
        </w:rPr>
        <w:t xml:space="preserve">Dexmedetomidine (Dex) was administered intravenously (loading dose, 1 μg/kg over 10 minutes; maintenance dose, 0.4 μg/kg/h from operation start until 30 minutes before the end of the surgery). Sufentanil (5 μg) was </w:t>
      </w:r>
      <w:r>
        <w:rPr>
          <w:rFonts w:hint="default" w:ascii="Times New Roman" w:hAnsi="Times New Roman" w:eastAsia="MinionPro-Regular" w:cs="Times New Roman"/>
          <w:color w:val="000000"/>
          <w:kern w:val="0"/>
          <w:sz w:val="24"/>
          <w:szCs w:val="24"/>
          <w:lang w:bidi="ar"/>
        </w:rPr>
        <w:t xml:space="preserve">administered </w:t>
      </w:r>
      <w:r>
        <w:rPr>
          <w:rFonts w:hint="default" w:ascii="Times New Roman" w:hAnsi="Times New Roman" w:cs="Times New Roman"/>
          <w:color w:val="000000"/>
          <w:kern w:val="0"/>
          <w:sz w:val="24"/>
          <w:szCs w:val="24"/>
          <w:lang w:bidi="ar"/>
        </w:rPr>
        <w:t>repeatedly during the operation if analgesia was insufficient. Patients in whom anaesthesia failed were withdrawn from the study. Failure was defined as loss of analgesic effect during the operation despite the use of sufentanil whereby the method of anaesthesia had to be changed.</w:t>
      </w:r>
    </w:p>
    <w:p>
      <w:pPr>
        <w:widowControl/>
        <w:spacing w:line="360" w:lineRule="auto"/>
        <w:jc w:val="left"/>
        <w:rPr>
          <w:rFonts w:hint="default" w:ascii="Times New Roman" w:hAnsi="Times New Roman" w:cs="Times New Roman"/>
          <w:b/>
          <w:bCs/>
          <w:color w:val="000000"/>
          <w:kern w:val="0"/>
          <w:sz w:val="28"/>
          <w:szCs w:val="28"/>
          <w:lang w:val="en-US" w:eastAsia="zh-CN" w:bidi="ar"/>
        </w:rPr>
      </w:pPr>
      <w:r>
        <w:rPr>
          <w:rFonts w:hint="default" w:ascii="Times New Roman" w:hAnsi="Times New Roman" w:eastAsia="HelveticaNeueLTStd-Cn" w:cs="Times New Roman"/>
          <w:b/>
          <w:bCs/>
          <w:color w:val="000000"/>
          <w:kern w:val="0"/>
          <w:sz w:val="28"/>
          <w:szCs w:val="28"/>
          <w:lang w:bidi="ar"/>
        </w:rPr>
        <w:t>Statistical analysis</w:t>
      </w:r>
      <w:r>
        <w:rPr>
          <w:rFonts w:hint="default" w:ascii="Times New Roman" w:hAnsi="Times New Roman" w:cs="Times New Roman"/>
          <w:b/>
          <w:bCs/>
          <w:color w:val="000000"/>
          <w:kern w:val="0"/>
          <w:sz w:val="28"/>
          <w:szCs w:val="28"/>
          <w:lang w:val="en-US" w:eastAsia="zh-CN" w:bidi="ar"/>
        </w:rPr>
        <w:t>:</w:t>
      </w:r>
    </w:p>
    <w:p>
      <w:pPr>
        <w:widowControl/>
        <w:spacing w:line="360" w:lineRule="auto"/>
        <w:jc w:val="left"/>
        <w:rPr>
          <w:rFonts w:hint="default" w:ascii="Times New Roman" w:hAnsi="Times New Roman" w:cs="Times New Roman"/>
          <w:color w:val="000000"/>
          <w:kern w:val="0"/>
          <w:sz w:val="24"/>
          <w:szCs w:val="24"/>
          <w:lang w:bidi="ar"/>
        </w:rPr>
      </w:pPr>
      <w:r>
        <w:rPr>
          <w:rFonts w:hint="default" w:ascii="Times New Roman" w:hAnsi="Times New Roman" w:cs="Times New Roman"/>
          <w:color w:val="000000"/>
          <w:kern w:val="0"/>
          <w:sz w:val="24"/>
          <w:szCs w:val="24"/>
          <w:lang w:bidi="ar"/>
        </w:rPr>
        <w:t>Differences were considered significant when the P value was less than 0.05. Statistical analyses were performed using SPSS software version 25 (IBM Corp., Armonk, NY, USA). Continuous data are expressed as the mean±standard deviation (x±sd) or median (interquartile range) and were compared using one-way analysis of variance (ANOVA). Count data are expressed as the number of cases or a percentage and were compared using the chi-square test or Fisher’s exact test. For nonnormally distributed continuous variables, the median and min–max were used and compared using the rank-sum test.</w:t>
      </w:r>
    </w:p>
    <w:p>
      <w:pPr>
        <w:autoSpaceDE w:val="0"/>
        <w:autoSpaceDN w:val="0"/>
        <w:snapToGrid w:val="0"/>
        <w:spacing w:line="360" w:lineRule="auto"/>
        <w:jc w:val="left"/>
        <w:rPr>
          <w:rFonts w:hint="default" w:ascii="Times New Roman" w:hAnsi="Times New Roman" w:cs="Times New Roman"/>
          <w:color w:val="000000"/>
          <w:kern w:val="0"/>
          <w:sz w:val="24"/>
          <w:szCs w:val="24"/>
        </w:rPr>
      </w:pPr>
    </w:p>
    <w:p>
      <w:pPr>
        <w:spacing w:line="360" w:lineRule="auto"/>
        <w:rPr>
          <w:rFonts w:hint="default" w:ascii="Times New Roman" w:hAnsi="Times New Roman" w:cs="Times New Roman"/>
          <w:color w:val="000000"/>
          <w:kern w:val="0"/>
          <w:sz w:val="24"/>
          <w:szCs w:val="24"/>
          <w:lang w:bidi="ar"/>
        </w:rPr>
      </w:pPr>
    </w:p>
    <w:p>
      <w:pPr>
        <w:autoSpaceDE w:val="0"/>
        <w:snapToGrid w:val="0"/>
        <w:spacing w:line="360" w:lineRule="auto"/>
        <w:jc w:val="left"/>
        <w:rPr>
          <w:rFonts w:hint="default" w:ascii="Times New Roman" w:hAnsi="Times New Roman" w:cs="Times New Roman"/>
          <w:b/>
          <w:color w:val="000000"/>
          <w:kern w:val="0"/>
          <w:sz w:val="28"/>
          <w:szCs w:val="28"/>
          <w:highlight w:val="none"/>
          <w:lang w:val="en-US" w:eastAsia="zh-CN" w:bidi="ar"/>
        </w:rPr>
      </w:pPr>
      <w:r>
        <w:rPr>
          <w:rFonts w:hint="default" w:ascii="Times New Roman" w:hAnsi="Times New Roman" w:cs="Times New Roman"/>
          <w:b/>
          <w:color w:val="000000"/>
          <w:kern w:val="0"/>
          <w:sz w:val="28"/>
          <w:szCs w:val="28"/>
          <w:highlight w:val="none"/>
          <w:lang w:bidi="ar"/>
        </w:rPr>
        <w:t>T</w:t>
      </w:r>
      <w:r>
        <w:rPr>
          <w:rFonts w:hint="default" w:ascii="Times New Roman" w:hAnsi="Times New Roman" w:cs="Times New Roman"/>
          <w:b/>
          <w:color w:val="000000"/>
          <w:kern w:val="0"/>
          <w:sz w:val="28"/>
          <w:szCs w:val="28"/>
          <w:highlight w:val="none"/>
          <w:lang w:val="en-US" w:eastAsia="zh-CN" w:bidi="ar"/>
        </w:rPr>
        <w:t>rial registratio:</w:t>
      </w:r>
    </w:p>
    <w:p>
      <w:pPr>
        <w:autoSpaceDE w:val="0"/>
        <w:snapToGrid w:val="0"/>
        <w:spacing w:line="360" w:lineRule="auto"/>
        <w:jc w:val="left"/>
        <w:rPr>
          <w:rFonts w:hint="default" w:ascii="Times New Roman" w:hAnsi="Times New Roman" w:cs="Times New Roman"/>
          <w:color w:val="000000"/>
          <w:kern w:val="0"/>
          <w:sz w:val="24"/>
          <w:szCs w:val="24"/>
          <w:highlight w:val="none"/>
          <w:lang w:bidi="ar"/>
        </w:rPr>
      </w:pPr>
      <w:r>
        <w:rPr>
          <w:rFonts w:hint="default" w:ascii="Times New Roman" w:hAnsi="Times New Roman" w:cs="Times New Roman"/>
          <w:b/>
          <w:color w:val="000000"/>
          <w:kern w:val="0"/>
          <w:sz w:val="24"/>
          <w:szCs w:val="24"/>
          <w:highlight w:val="none"/>
          <w:lang w:val="en-US" w:eastAsia="zh-CN" w:bidi="ar"/>
        </w:rPr>
        <w:t xml:space="preserve"> </w:t>
      </w:r>
      <w:r>
        <w:rPr>
          <w:rFonts w:hint="default" w:ascii="Times New Roman" w:hAnsi="Times New Roman" w:cs="Times New Roman"/>
          <w:color w:val="000000"/>
          <w:kern w:val="0"/>
          <w:sz w:val="24"/>
          <w:szCs w:val="24"/>
          <w:highlight w:val="none"/>
          <w:lang w:bidi="ar"/>
        </w:rPr>
        <w:t>http://www.chictr.org.cn with the registration number of</w:t>
      </w:r>
      <w:r>
        <w:rPr>
          <w:rFonts w:hint="default" w:ascii="Times New Roman" w:hAnsi="Times New Roman" w:cs="Times New Roman"/>
          <w:color w:val="000000"/>
          <w:kern w:val="0"/>
          <w:sz w:val="24"/>
          <w:szCs w:val="24"/>
          <w:highlight w:val="none"/>
          <w:lang w:val="en-US" w:eastAsia="zh-CN" w:bidi="ar"/>
        </w:rPr>
        <w:t xml:space="preserve"> </w:t>
      </w:r>
      <w:r>
        <w:rPr>
          <w:rFonts w:hint="default" w:ascii="Times New Roman" w:hAnsi="Times New Roman" w:cs="Times New Roman"/>
          <w:color w:val="000000"/>
          <w:kern w:val="0"/>
          <w:sz w:val="24"/>
          <w:szCs w:val="24"/>
          <w:highlight w:val="none"/>
          <w:lang w:bidi="ar"/>
        </w:rPr>
        <w:t>ChiCTR2200057906</w:t>
      </w:r>
    </w:p>
    <w:p>
      <w:pPr>
        <w:widowControl/>
        <w:spacing w:line="360" w:lineRule="auto"/>
        <w:jc w:val="left"/>
        <w:rPr>
          <w:rFonts w:hint="default" w:ascii="Times New Roman" w:hAnsi="Times New Roman" w:cs="Times New Roman"/>
          <w:b/>
          <w:color w:val="000000"/>
          <w:kern w:val="0"/>
          <w:sz w:val="28"/>
          <w:szCs w:val="28"/>
          <w:lang w:val="en-US" w:eastAsia="zh-CN" w:bidi="ar"/>
        </w:rPr>
      </w:pPr>
      <w:r>
        <w:rPr>
          <w:rFonts w:hint="default" w:ascii="Times New Roman" w:hAnsi="Times New Roman" w:cs="Times New Roman"/>
          <w:b/>
          <w:color w:val="000000"/>
          <w:kern w:val="0"/>
          <w:sz w:val="28"/>
          <w:szCs w:val="28"/>
          <w:lang w:val="en-US" w:eastAsia="zh-CN" w:bidi="ar"/>
        </w:rPr>
        <w:t>Ethics:</w:t>
      </w:r>
    </w:p>
    <w:p>
      <w:pPr>
        <w:widowControl/>
        <w:spacing w:line="360" w:lineRule="auto"/>
        <w:jc w:val="left"/>
        <w:rPr>
          <w:rFonts w:hint="default" w:ascii="Times New Roman" w:hAnsi="Times New Roman" w:cs="Times New Roman"/>
          <w:b w:val="0"/>
          <w:bCs/>
          <w:color w:val="000000"/>
          <w:kern w:val="0"/>
          <w:sz w:val="24"/>
          <w:szCs w:val="24"/>
          <w:lang w:val="en-US" w:eastAsia="zh-CN" w:bidi="ar"/>
        </w:rPr>
      </w:pPr>
      <w:r>
        <w:rPr>
          <w:rFonts w:hint="default" w:ascii="Times New Roman" w:hAnsi="Times New Roman" w:cs="Times New Roman"/>
          <w:b w:val="0"/>
          <w:bCs/>
          <w:color w:val="000000"/>
          <w:kern w:val="0"/>
          <w:sz w:val="24"/>
          <w:szCs w:val="24"/>
          <w:lang w:val="en-US" w:eastAsia="zh-CN" w:bidi="ar"/>
        </w:rPr>
        <w:t>Ethical approval for this study (No.: 2020ECYJ038) was provided by the</w:t>
      </w:r>
      <w:r>
        <w:rPr>
          <w:rFonts w:hint="default" w:ascii="Times New Roman" w:hAnsi="Times New Roman" w:cs="Times New Roman"/>
          <w:b w:val="0"/>
          <w:bCs/>
          <w:color w:val="000000"/>
          <w:kern w:val="0"/>
          <w:sz w:val="24"/>
          <w:szCs w:val="24"/>
          <w:lang w:val="en-US" w:eastAsia="zh-CN" w:bidi="ar"/>
        </w:rPr>
        <w:t xml:space="preserve"> </w:t>
      </w:r>
      <w:r>
        <w:rPr>
          <w:rFonts w:hint="default" w:ascii="Times New Roman" w:hAnsi="Times New Roman" w:cs="Times New Roman"/>
          <w:b w:val="0"/>
          <w:bCs/>
          <w:color w:val="000000"/>
          <w:kern w:val="0"/>
          <w:sz w:val="24"/>
          <w:szCs w:val="24"/>
          <w:lang w:val="en-US" w:eastAsia="zh-CN" w:bidi="ar"/>
        </w:rPr>
        <w:t>Medical Ethics Committee, Longgang Central Hospital, Shenzhen, China (censor:Zhen Huang) on 01 July 2020.</w:t>
      </w:r>
    </w:p>
    <w:p>
      <w:pPr>
        <w:rPr>
          <w:rFonts w:hint="default" w:ascii="Times New Roman" w:hAnsi="Times New Roman"/>
          <w:color w:val="000000"/>
          <w:kern w:val="0"/>
          <w:sz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ZapfElliptical711BT-Roman">
    <w:altName w:val="Segoe Print"/>
    <w:panose1 w:val="00000000000000000000"/>
    <w:charset w:val="00"/>
    <w:family w:val="auto"/>
    <w:pitch w:val="default"/>
    <w:sig w:usb0="00000000" w:usb1="00000000" w:usb2="00000000" w:usb3="00000000" w:csb0="00040001" w:csb1="00000000"/>
  </w:font>
  <w:font w:name="MinionPro-Regular">
    <w:altName w:val="Segoe Print"/>
    <w:panose1 w:val="00000000000000000000"/>
    <w:charset w:val="00"/>
    <w:family w:val="auto"/>
    <w:pitch w:val="default"/>
    <w:sig w:usb0="00000000" w:usb1="00000000" w:usb2="00000000" w:usb3="00000000" w:csb0="00040001" w:csb1="00000000"/>
  </w:font>
  <w:font w:name="BemboStd">
    <w:altName w:val="Segoe Print"/>
    <w:panose1 w:val="00000000000000000000"/>
    <w:charset w:val="00"/>
    <w:family w:val="auto"/>
    <w:pitch w:val="default"/>
    <w:sig w:usb0="00000000" w:usb1="00000000" w:usb2="00000000" w:usb3="00000000" w:csb0="00040001" w:csb1="00000000"/>
  </w:font>
  <w:font w:name="CheltenhamBT-Roman">
    <w:altName w:val="Segoe Print"/>
    <w:panose1 w:val="00000000000000000000"/>
    <w:charset w:val="00"/>
    <w:family w:val="auto"/>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Segoe Print">
    <w:panose1 w:val="02000600000000000000"/>
    <w:charset w:val="00"/>
    <w:family w:val="auto"/>
    <w:pitch w:val="default"/>
    <w:sig w:usb0="0000028F" w:usb1="00000000" w:usb2="00000000" w:usb3="00000000" w:csb0="2000009F" w:csb1="47010000"/>
  </w:font>
  <w:font w:name="HelveticaNeueLTStd-Cn">
    <w:altName w:val="Segoe Print"/>
    <w:panose1 w:val="00000000000000000000"/>
    <w:charset w:val="00"/>
    <w:family w:val="auto"/>
    <w:pitch w:val="default"/>
    <w:sig w:usb0="00000000" w:usb1="00000000" w:usb2="00000000" w:usb3="00000000" w:csb0="00040001" w:csb1="00000000"/>
  </w:font>
  <w:font w:name="Book Antiqua">
    <w:altName w:val="Segoe Print"/>
    <w:panose1 w:val="02040602050305030304"/>
    <w:charset w:val="00"/>
    <w:family w:val="roman"/>
    <w:pitch w:val="default"/>
    <w:sig w:usb0="00000000"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0N2IwNmFmZmZlOTE0Yzk1YjkxNjQ1NTVkNmE4YWMifQ=="/>
  </w:docVars>
  <w:rsids>
    <w:rsidRoot w:val="00000000"/>
    <w:rsid w:val="6DB15724"/>
    <w:rsid w:val="75A32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GB" w:eastAsia="zh-CN" w:bidi="ar-SA"/>
    </w:rPr>
  </w:style>
  <w:style w:type="paragraph" w:styleId="2">
    <w:name w:val="heading 1"/>
    <w:basedOn w:val="1"/>
    <w:next w:val="1"/>
    <w:qFormat/>
    <w:uiPriority w:val="0"/>
    <w:pPr>
      <w:keepNext/>
      <w:keepLines/>
      <w:spacing w:before="100" w:beforeLines="100" w:after="100" w:afterLines="100" w:line="360" w:lineRule="auto"/>
      <w:jc w:val="center"/>
      <w:outlineLvl w:val="0"/>
    </w:pPr>
    <w:rPr>
      <w:rFonts w:ascii="Times New Roman" w:hAnsi="Times New Roman" w:eastAsia="黑体" w:cs="Times New Roman"/>
      <w:b/>
      <w:kern w:val="44"/>
      <w:sz w:val="32"/>
      <w:szCs w:val="32"/>
      <w:lang w:val="en-GB"/>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2024-04-25T15:02:00Z</dcterms:created>
  <dc:creator>WIN10</dc:creator>
  <cp:lastModifiedBy>C y n</cp:lastModifiedBy>
  <dcterms:modified xsi:type="dcterms:W3CDTF">2024-05-07T12:05:11Z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9A37392DD3CC4E55924DF631F72BB38B_12</vt:lpwstr>
  </property>
</Properties>
</file>