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1</w:t>
      </w:r>
      <w:r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 xml:space="preserve"> </w:t>
      </w: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  <w:r>
        <w:rPr>
          <w:rFonts w:hint="default"/>
          <w:i w:val="0"/>
          <w:iCs w:val="0"/>
          <w:sz w:val="21"/>
          <w:szCs w:val="21"/>
          <w:vertAlign w:val="baseline"/>
          <w:lang w:val="ru-RU"/>
        </w:rPr>
        <w:drawing>
          <wp:inline distT="0" distB="0" distL="114300" distR="114300">
            <wp:extent cx="5270500" cy="3485515"/>
            <wp:effectExtent l="0" t="0" r="6350" b="635"/>
            <wp:docPr id="1" name="Изображение 1" descr="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иаграмм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/>
          <w:i w:val="0"/>
          <w:iCs w:val="0"/>
          <w:sz w:val="21"/>
          <w:szCs w:val="21"/>
          <w:vertAlign w:val="baseline"/>
          <w:lang w:val="ru-RU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  <w:r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  <w:t>Table 2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cs="Calibri"/>
          <w:i w:val="0"/>
          <w:iCs w:val="0"/>
          <w:sz w:val="24"/>
          <w:szCs w:val="24"/>
          <w:vertAlign w:val="baseline"/>
          <w:lang w:val="en-US"/>
        </w:rPr>
      </w:pPr>
    </w:p>
    <w:tbl>
      <w:tblPr>
        <w:tblStyle w:val="8"/>
        <w:tblpPr w:leftFromText="180" w:rightFromText="180" w:vertAnchor="text" w:horzAnchor="page" w:tblpX="447" w:tblpY="-759"/>
        <w:tblOverlap w:val="never"/>
        <w:tblW w:w="10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911"/>
        <w:gridCol w:w="772"/>
        <w:gridCol w:w="675"/>
        <w:gridCol w:w="846"/>
        <w:gridCol w:w="664"/>
        <w:gridCol w:w="911"/>
        <w:gridCol w:w="899"/>
        <w:gridCol w:w="718"/>
        <w:gridCol w:w="43"/>
        <w:gridCol w:w="675"/>
        <w:gridCol w:w="661"/>
        <w:gridCol w:w="108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7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Study Characteristics</w:t>
            </w:r>
          </w:p>
        </w:tc>
        <w:tc>
          <w:tcPr>
            <w:tcW w:w="5149" w:type="dxa"/>
            <w:gridSpan w:val="7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Patients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17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Study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Country</w:t>
            </w:r>
          </w:p>
        </w:tc>
        <w:tc>
          <w:tcPr>
            <w:tcW w:w="772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Folow-up period</w:t>
            </w:r>
          </w:p>
        </w:tc>
        <w:tc>
          <w:tcPr>
            <w:tcW w:w="3096" w:type="dxa"/>
            <w:gridSpan w:val="4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Groups</w:t>
            </w:r>
          </w:p>
        </w:tc>
        <w:tc>
          <w:tcPr>
            <w:tcW w:w="899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Patients  (n)</w:t>
            </w:r>
          </w:p>
        </w:tc>
        <w:tc>
          <w:tcPr>
            <w:tcW w:w="761" w:type="dxa"/>
            <w:gridSpan w:val="2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Mean age ± SD</w:t>
            </w:r>
          </w:p>
        </w:tc>
        <w:tc>
          <w:tcPr>
            <w:tcW w:w="675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  <w:t>Age range</w:t>
            </w:r>
          </w:p>
        </w:tc>
        <w:tc>
          <w:tcPr>
            <w:tcW w:w="66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M/F</w:t>
            </w:r>
          </w:p>
        </w:tc>
        <w:tc>
          <w:tcPr>
            <w:tcW w:w="2153" w:type="dxa"/>
            <w:gridSpan w:val="2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Implants (n)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1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7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75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I/D</w:t>
            </w:r>
          </w:p>
        </w:tc>
        <w:tc>
          <w:tcPr>
            <w:tcW w:w="846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Hs/Fs</w:t>
            </w:r>
          </w:p>
        </w:tc>
        <w:tc>
          <w:tcPr>
            <w:tcW w:w="664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F/NF</w:t>
            </w:r>
          </w:p>
        </w:tc>
        <w:tc>
          <w:tcPr>
            <w:tcW w:w="91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S/B</w:t>
            </w:r>
          </w:p>
        </w:tc>
        <w:tc>
          <w:tcPr>
            <w:tcW w:w="89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61" w:type="dxa"/>
            <w:gridSpan w:val="2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75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6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08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Maxilla</w:t>
            </w:r>
          </w:p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(premolars/molars)</w:t>
            </w:r>
          </w:p>
        </w:tc>
        <w:tc>
          <w:tcPr>
            <w:tcW w:w="107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Mandible</w:t>
            </w:r>
          </w:p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(premolars/molars)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0945" w:type="dxa"/>
            <w:gridSpan w:val="14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Animal Studies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Vigano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 m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24/24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24/24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24/24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 dogs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 y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66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0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48 (36/12)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Siar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Malaysia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3-6 m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18/18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18/18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B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 monkeys</w:t>
            </w:r>
          </w:p>
        </w:tc>
        <w:tc>
          <w:tcPr>
            <w:tcW w:w="1436" w:type="dxa"/>
            <w:gridSpan w:val="3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66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0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36 (12/24)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45" w:type="dxa"/>
            <w:gridSpan w:val="14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Clinical Studies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Han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South Korea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 y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32/30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22/40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39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46,4 ± 14,5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17-75 y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26/13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11 (2/7)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51 (11/33)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7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Degidi et al. (2007)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 y</w:t>
            </w:r>
          </w:p>
        </w:tc>
        <w:tc>
          <w:tcPr>
            <w:tcW w:w="675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658/416</w:t>
            </w:r>
          </w:p>
        </w:tc>
        <w:tc>
          <w:tcPr>
            <w:tcW w:w="664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NF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899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1064</w:t>
            </w:r>
          </w:p>
        </w:tc>
        <w:tc>
          <w:tcPr>
            <w:tcW w:w="718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718" w:type="dxa"/>
            <w:gridSpan w:val="2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 xml:space="preserve"> </w:t>
            </w:r>
          </w:p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15-83 y</w:t>
            </w:r>
          </w:p>
        </w:tc>
        <w:tc>
          <w:tcPr>
            <w:tcW w:w="66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465/599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487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7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75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46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64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9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18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18" w:type="dxa"/>
            <w:gridSpan w:val="2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6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2153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Premolars and molars together - </w:t>
            </w: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Mozzati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 y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B:</w:t>
            </w:r>
          </w:p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Full-Arch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50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54 y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45-65 y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22/28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0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200 (0/100)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Atieh et al.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New Zealand</w:t>
            </w:r>
          </w:p>
        </w:tc>
        <w:tc>
          <w:tcPr>
            <w:tcW w:w="772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 y</w:t>
            </w:r>
          </w:p>
        </w:tc>
        <w:tc>
          <w:tcPr>
            <w:tcW w:w="675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12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53,6 ± 12,3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3/9</w:t>
            </w:r>
          </w:p>
        </w:tc>
        <w:tc>
          <w:tcPr>
            <w:tcW w:w="1082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0</w:t>
            </w:r>
          </w:p>
        </w:tc>
        <w:tc>
          <w:tcPr>
            <w:tcW w:w="1071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24 (0/24)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7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75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12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51,5 ± 13,4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6/6</w:t>
            </w:r>
          </w:p>
        </w:tc>
        <w:tc>
          <w:tcPr>
            <w:tcW w:w="108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07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Mangano et al.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 y</w:t>
            </w:r>
          </w:p>
        </w:tc>
        <w:tc>
          <w:tcPr>
            <w:tcW w:w="675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47/10</w:t>
            </w:r>
          </w:p>
        </w:tc>
        <w:tc>
          <w:tcPr>
            <w:tcW w:w="664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</w:t>
            </w:r>
          </w:p>
        </w:tc>
        <w:tc>
          <w:tcPr>
            <w:tcW w:w="899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46</w:t>
            </w:r>
          </w:p>
        </w:tc>
        <w:tc>
          <w:tcPr>
            <w:tcW w:w="718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44,5</w:t>
            </w:r>
          </w:p>
        </w:tc>
        <w:tc>
          <w:tcPr>
            <w:tcW w:w="718" w:type="dxa"/>
            <w:gridSpan w:val="2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18-73 y</w:t>
            </w:r>
          </w:p>
        </w:tc>
        <w:tc>
          <w:tcPr>
            <w:tcW w:w="661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23/23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38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7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75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46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64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1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9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18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18" w:type="dxa"/>
            <w:gridSpan w:val="2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661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2153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  <w:t>Premolars - 34</w:t>
            </w:r>
          </w:p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ru-RU"/>
              </w:rPr>
              <w:t>Molars - 14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Ayna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Germany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 y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48/15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63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54,68 ± 8,63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30/33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63 (0/63)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Crespi et al.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 y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B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29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49,52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 xml:space="preserve">25-67 y 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18/11</w:t>
            </w:r>
          </w:p>
        </w:tc>
        <w:tc>
          <w:tcPr>
            <w:tcW w:w="1082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132 (55/0)</w:t>
            </w:r>
          </w:p>
        </w:tc>
        <w:tc>
          <w:tcPr>
            <w:tcW w:w="1071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32 (13/0)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1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Degidi et al. (2006)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Italy</w:t>
            </w:r>
          </w:p>
        </w:tc>
        <w:tc>
          <w:tcPr>
            <w:tcW w:w="77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5 y</w:t>
            </w:r>
          </w:p>
        </w:tc>
        <w:tc>
          <w:tcPr>
            <w:tcW w:w="67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I</w:t>
            </w:r>
          </w:p>
        </w:tc>
        <w:tc>
          <w:tcPr>
            <w:tcW w:w="8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Hs/Fs</w:t>
            </w:r>
          </w:p>
        </w:tc>
        <w:tc>
          <w:tcPr>
            <w:tcW w:w="66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NF</w:t>
            </w:r>
          </w:p>
        </w:tc>
        <w:tc>
          <w:tcPr>
            <w:tcW w:w="91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S</w:t>
            </w:r>
          </w:p>
        </w:tc>
        <w:tc>
          <w:tcPr>
            <w:tcW w:w="8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111</w:t>
            </w:r>
          </w:p>
        </w:tc>
        <w:tc>
          <w:tcPr>
            <w:tcW w:w="718" w:type="dxa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NR</w:t>
            </w:r>
          </w:p>
        </w:tc>
        <w:tc>
          <w:tcPr>
            <w:tcW w:w="71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 xml:space="preserve"> 15-83 г</w:t>
            </w:r>
          </w:p>
        </w:tc>
        <w:tc>
          <w:tcPr>
            <w:tcW w:w="6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46/65</w:t>
            </w:r>
          </w:p>
        </w:tc>
        <w:tc>
          <w:tcPr>
            <w:tcW w:w="2153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ind w:leftChars="0" w:right="-92" w:rightChars="-46"/>
              <w:jc w:val="both"/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vertAlign w:val="baseline"/>
                <w:lang w:val="en-US"/>
              </w:rPr>
              <w:t>111 (26/0)</w:t>
            </w:r>
          </w:p>
        </w:tc>
      </w:tr>
    </w:tbl>
    <w:p>
      <w:pPr>
        <w:ind w:right="-92" w:rightChars="-46"/>
        <w:rPr>
          <w:rFonts w:hint="default"/>
          <w:sz w:val="21"/>
          <w:szCs w:val="21"/>
          <w:vertAlign w:val="baseline"/>
          <w:lang w:val="en-US"/>
        </w:rPr>
      </w:pPr>
      <w:r>
        <w:rPr>
          <w:rFonts w:hint="default"/>
          <w:sz w:val="21"/>
          <w:szCs w:val="21"/>
          <w:vertAlign w:val="baseline"/>
          <w:lang w:val="en-US"/>
        </w:rPr>
        <w:t>N</w:t>
      </w:r>
      <w:r>
        <w:rPr>
          <w:rFonts w:hint="default"/>
          <w:sz w:val="21"/>
          <w:szCs w:val="21"/>
          <w:vertAlign w:val="baseline"/>
          <w:lang w:val="ru-RU"/>
        </w:rPr>
        <w:t>otes</w:t>
      </w:r>
      <w:r>
        <w:rPr>
          <w:rFonts w:hint="default"/>
          <w:sz w:val="21"/>
          <w:szCs w:val="21"/>
          <w:vertAlign w:val="baseline"/>
          <w:lang w:val="en-US"/>
        </w:rPr>
        <w:t xml:space="preserve">: I - immediate loading; D - delayed loading; Hs - healed sites; Fs - fresh extraction sockets; </w:t>
      </w:r>
    </w:p>
    <w:p>
      <w:pPr>
        <w:numPr>
          <w:ilvl w:val="0"/>
          <w:numId w:val="0"/>
        </w:numPr>
        <w:ind w:leftChars="-50" w:right="-92" w:rightChars="-46" w:firstLine="105" w:firstLineChars="50"/>
        <w:rPr>
          <w:rFonts w:hint="default"/>
          <w:sz w:val="21"/>
          <w:szCs w:val="21"/>
          <w:vertAlign w:val="baseline"/>
          <w:lang w:val="en-US"/>
        </w:rPr>
      </w:pPr>
      <w:r>
        <w:rPr>
          <w:rFonts w:hint="default"/>
          <w:sz w:val="21"/>
          <w:szCs w:val="21"/>
          <w:vertAlign w:val="baseline"/>
          <w:lang w:val="en-US"/>
        </w:rPr>
        <w:t>S-single crown; B - bridge; M - male; F - female; SD - standard deviation; NR - not reported.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2.1</w:t>
      </w:r>
    </w:p>
    <w:tbl>
      <w:tblPr>
        <w:tblStyle w:val="8"/>
        <w:tblpPr w:leftFromText="180" w:rightFromText="180" w:vertAnchor="text" w:horzAnchor="page" w:tblpX="1692" w:tblpY="193"/>
        <w:tblOverlap w:val="never"/>
        <w:tblW w:w="8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975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Study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Antibiotics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A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  <w:t>nalgesics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  <w:t>Oral baths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ru-RU"/>
              </w:rPr>
              <w:t>Anesthetic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Vigano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10 mg/kg during surgery and 20 mg/kg 5 days after surgery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Tramadol 2 mg/kg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uring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 surgery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 xml:space="preserve"> and 5 days after surgery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Isoflurane 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Siar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0.2% Chlorhexidine digluconate gel once a week for 3 months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Han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2 g 1 hour before surgery;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500 mg after surgery 5 days every 8 hours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Ibuprofen up to 600 mg after surgery every 8 hours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0.12% Chlorhexidine 1 min twice a day 2 days before surgery and three times a day after surgery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hydrochloride 4% with epinephrine 1:100,000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(2007)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500 mg 1 hour before and 5 days after surgery 2 times a day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Nimesulide 100 mg 3 days after surgery twice a day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hydrochloride with epinephrine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 xml:space="preserve">(concentration 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is not reported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Mozzati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1 g 8 hours before surgery and 6 days after it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0.2% Chlorhexidine bigluconate 3 days before and 7 days after surgery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hydrochloride 4% with epinephrine 1:100,000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Atieh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2 g (in case of allergies - Clindamycin 600 mg) one hour before surgery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0.2% Chlorhexidine bigluconate 2 times 1 min each (before surgery)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Mepivacaine hydrochloride 2%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with adrenaline 1:100,000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Mangano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+ Clavulanic acid 2 g 6 days after surgery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Nimesulide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100 mg every 12 hours 2 days after surgery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0.12% Chlorhexidine 1 minute 2-3 times a day 2 days before surgery and 15 minutes before surgery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with adrenaline 1:100,000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Ayna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875 mg + Clavulanic acid 125 mg one hour before and 6 days after surgery twice a day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Ibuprofen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600 mg 5 days after surgery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hydrochloride 4% with epinephrine 1:100,000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Crespi et al.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1 g 1 hour before and 7 days after surgery 2 times a day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Chlorhexidine twice daily for 15 days after surgery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Mepivacaine hydrochloride 2%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with adrenaline 1:80,000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(2006)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Amoxicillin 500 mg 1 hour before and 5 days after surgery 2 times a day</w:t>
            </w:r>
          </w:p>
        </w:tc>
        <w:tc>
          <w:tcPr>
            <w:tcW w:w="17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Nimesulide 100 mg 3 days after surgery twice a day</w:t>
            </w:r>
          </w:p>
        </w:tc>
        <w:tc>
          <w:tcPr>
            <w:tcW w:w="19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84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Articaine hydrochloride with epinephrine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 xml:space="preserve">(concentration 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is not reported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)</w:t>
            </w:r>
          </w:p>
        </w:tc>
      </w:tr>
    </w:tbl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3</w:t>
      </w:r>
    </w:p>
    <w:tbl>
      <w:tblPr>
        <w:tblStyle w:val="8"/>
        <w:tblpPr w:leftFromText="180" w:rightFromText="180" w:vertAnchor="text" w:horzAnchor="page" w:tblpX="1261" w:tblpY="224"/>
        <w:tblOverlap w:val="never"/>
        <w:tblW w:w="99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972"/>
        <w:gridCol w:w="1725"/>
        <w:gridCol w:w="1618"/>
        <w:gridCol w:w="1479"/>
        <w:gridCol w:w="216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Study</w:t>
            </w:r>
          </w:p>
        </w:tc>
        <w:tc>
          <w:tcPr>
            <w:tcW w:w="9051" w:type="dxa"/>
            <w:gridSpan w:val="6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Implant Features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Type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Dimensions: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Diameter/Length (mm)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Insertion Depth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(mm to ridge crest)  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Torque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(Ncm) 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Surface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Grafting Materials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6" w:type="dxa"/>
            <w:gridSpan w:val="7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Animal Studies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Vigano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Screw-shaped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3.3 / 7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0</w:t>
            </w:r>
          </w:p>
        </w:tc>
        <w:tc>
          <w:tcPr>
            <w:tcW w:w="1479" w:type="dxa"/>
          </w:tcPr>
          <w:p>
            <w:pPr>
              <w:widowControl w:val="0"/>
              <w:ind w:left="0" w:leftChars="0" w:right="-92" w:rightChars="-46" w:firstLine="525" w:firstLineChars="250"/>
              <w:jc w:val="both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≥35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ZirTi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Siar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Screw-shaped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3.5 / 8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-1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Sandblasted bone-anchoring portion (Al</w:t>
            </w:r>
            <w:r>
              <w:rPr>
                <w:rFonts w:hint="default"/>
                <w:sz w:val="21"/>
                <w:szCs w:val="21"/>
                <w:vertAlign w:val="subscript"/>
                <w:lang w:val="en-US"/>
              </w:rPr>
              <w:t>2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O</w:t>
            </w:r>
            <w:r>
              <w:rPr>
                <w:rFonts w:hint="default"/>
                <w:sz w:val="21"/>
                <w:szCs w:val="21"/>
                <w:vertAlign w:val="subscript"/>
                <w:lang w:val="en-US"/>
              </w:rPr>
              <w:t>3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)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6" w:type="dxa"/>
            <w:gridSpan w:val="7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Clinical Studies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Han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Tapered 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3.5-7 / 7-11.5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0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50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Calcium-incorporated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(2007)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3-6.5 / 6.5-18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Mozzati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Screw-shaped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3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.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75</w:t>
            </w: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 / 13-18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-1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≥30≤50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Atieh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Tapered 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8-9 / 7-11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0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≥45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Mangano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Tapered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3.5-4.5 / 10-13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0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Calcium-incorporated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Ayna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Tapered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5-6 / 6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479" w:type="dxa"/>
          </w:tcPr>
          <w:p>
            <w:pPr>
              <w:widowControl w:val="0"/>
              <w:ind w:left="0" w:leftChars="0" w:right="-92" w:rightChars="-46" w:firstLine="525" w:firstLineChars="250"/>
              <w:jc w:val="both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≥35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Sand-blasted and acid-etched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Crespi et al.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3.8; 5 / 13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-1</w:t>
            </w:r>
          </w:p>
        </w:tc>
        <w:tc>
          <w:tcPr>
            <w:tcW w:w="1479" w:type="dxa"/>
          </w:tcPr>
          <w:p>
            <w:pPr>
              <w:widowControl w:val="0"/>
              <w:ind w:left="0" w:leftChars="0" w:right="-92" w:rightChars="-46" w:firstLine="525" w:firstLineChars="250"/>
              <w:jc w:val="both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≥35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Titanum plasma sprayed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(2006)</w:t>
            </w:r>
          </w:p>
        </w:tc>
        <w:tc>
          <w:tcPr>
            <w:tcW w:w="972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72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3.5-6.5 / 10-18</w:t>
            </w:r>
          </w:p>
        </w:tc>
        <w:tc>
          <w:tcPr>
            <w:tcW w:w="16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+1</w:t>
            </w:r>
          </w:p>
        </w:tc>
        <w:tc>
          <w:tcPr>
            <w:tcW w:w="1479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≥25</w:t>
            </w:r>
          </w:p>
        </w:tc>
        <w:tc>
          <w:tcPr>
            <w:tcW w:w="216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Machined (n=6),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Titanum plasma sprayed (n=5),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Sand-blasted and acid-etched (n=76),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Hydroxyapatite-coated (n=17),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Sand-blasted with a restorable blast medium (n=7)</w:t>
            </w:r>
          </w:p>
        </w:tc>
        <w:tc>
          <w:tcPr>
            <w:tcW w:w="109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</w:tbl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4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tbl>
      <w:tblPr>
        <w:tblStyle w:val="8"/>
        <w:tblpPr w:leftFromText="180" w:rightFromText="180" w:vertAnchor="text" w:horzAnchor="page" w:tblpX="1883" w:tblpY="323"/>
        <w:tblOverlap w:val="never"/>
        <w:tblW w:w="8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27"/>
        <w:gridCol w:w="212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Study</w:t>
            </w:r>
          </w:p>
        </w:tc>
        <w:tc>
          <w:tcPr>
            <w:tcW w:w="6381" w:type="dxa"/>
            <w:gridSpan w:val="3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Survival rate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Average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Immediate placement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Delayed placement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Vigano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Siar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OVERALL FOR ANIMAL STUDIES</w:t>
            </w:r>
          </w:p>
        </w:tc>
        <w:tc>
          <w:tcPr>
            <w:tcW w:w="6381" w:type="dxa"/>
            <w:gridSpan w:val="3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Han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98.4%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96.88%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(2007)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98.65%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98.3%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Mozzati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Atieh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75%*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66.7%*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83.3%*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Mangano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97.6%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97.7%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Ayna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93.7%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Crespi et al.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(2006)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95.5%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92.5%</w:t>
            </w:r>
            <w:r>
              <w:rPr>
                <w:rFonts w:hint="default"/>
                <w:i w:val="0"/>
                <w:iCs w:val="0"/>
                <w:sz w:val="21"/>
                <w:szCs w:val="21"/>
                <w:vertAlign w:val="superscript"/>
                <w:lang w:val="en-US"/>
              </w:rPr>
              <w:t>?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OVERALL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94.86%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93.9%</w:t>
            </w:r>
          </w:p>
        </w:tc>
        <w:tc>
          <w:tcPr>
            <w:tcW w:w="212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95.1%</w:t>
            </w:r>
          </w:p>
        </w:tc>
      </w:tr>
    </w:tbl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ind w:right="-92" w:rightChars="-46"/>
        <w:rPr>
          <w:rFonts w:hint="default"/>
          <w:i w:val="0"/>
          <w:iCs w:val="0"/>
          <w:sz w:val="21"/>
          <w:szCs w:val="21"/>
          <w:vertAlign w:val="baseline"/>
          <w:lang w:val="en-US"/>
        </w:rPr>
      </w:pPr>
      <w:r>
        <w:rPr>
          <w:rFonts w:hint="default"/>
          <w:i w:val="0"/>
          <w:iCs w:val="0"/>
          <w:sz w:val="21"/>
          <w:szCs w:val="21"/>
          <w:vertAlign w:val="baseline"/>
          <w:lang w:val="en-US"/>
        </w:rPr>
        <w:t>*- Succes rate;  ? - No info about which implants failed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5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tbl>
      <w:tblPr>
        <w:tblStyle w:val="8"/>
        <w:tblpPr w:leftFromText="180" w:rightFromText="180" w:vertAnchor="text" w:horzAnchor="page" w:tblpX="2676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044"/>
        <w:gridCol w:w="1114"/>
        <w:gridCol w:w="1136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Study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D1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D2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D3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Vigano et al.</w:t>
            </w:r>
          </w:p>
        </w:tc>
        <w:tc>
          <w:tcPr>
            <w:tcW w:w="4189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Siar et al.</w:t>
            </w:r>
          </w:p>
        </w:tc>
        <w:tc>
          <w:tcPr>
            <w:tcW w:w="4189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Han et al.</w:t>
            </w:r>
          </w:p>
        </w:tc>
        <w:tc>
          <w:tcPr>
            <w:tcW w:w="4189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Degidi et al. (2007)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♠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 (66.95%)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 (33.05%)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Mozzati et al.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○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?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?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?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Atieh et al.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♦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Mangano et al.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○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 (31.6%)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 (54.4%)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 (14%)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Ayna et al. </w:t>
            </w:r>
          </w:p>
        </w:tc>
        <w:tc>
          <w:tcPr>
            <w:tcW w:w="4189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Crespi et al.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♦</w:t>
            </w:r>
          </w:p>
        </w:tc>
        <w:tc>
          <w:tcPr>
            <w:tcW w:w="104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114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136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895" w:type="dxa"/>
            <w:vAlign w:val="top"/>
          </w:tcPr>
          <w:p>
            <w:pPr>
              <w:widowControl w:val="0"/>
              <w:ind w:right="-92" w:rightChars="-46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 xml:space="preserve">Degidi et al. (2006) </w:t>
            </w:r>
            <w:r>
              <w:rPr>
                <w:rFonts w:hint="default"/>
                <w:sz w:val="21"/>
                <w:szCs w:val="21"/>
                <w:vertAlign w:val="baseline"/>
                <w:lang w:val="ru-RU"/>
              </w:rPr>
              <w:t>♠</w:t>
            </w:r>
          </w:p>
        </w:tc>
        <w:tc>
          <w:tcPr>
            <w:tcW w:w="104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  <w:tc>
          <w:tcPr>
            <w:tcW w:w="113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  <w:tc>
          <w:tcPr>
            <w:tcW w:w="89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>+</w:t>
            </w:r>
          </w:p>
        </w:tc>
      </w:tr>
    </w:tbl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ind w:right="-92" w:rightChars="-46"/>
        <w:rPr>
          <w:rFonts w:hint="default"/>
          <w:sz w:val="21"/>
          <w:szCs w:val="21"/>
          <w:u w:val="none"/>
          <w:vertAlign w:val="baseline"/>
          <w:lang w:val="ru-RU"/>
        </w:rPr>
      </w:pPr>
      <w:r>
        <w:rPr>
          <w:rFonts w:hint="default"/>
          <w:sz w:val="21"/>
          <w:szCs w:val="21"/>
          <w:vertAlign w:val="baseline"/>
          <w:lang w:val="en-US"/>
        </w:rPr>
        <w:t>N</w:t>
      </w:r>
      <w:r>
        <w:rPr>
          <w:rFonts w:hint="default"/>
          <w:sz w:val="21"/>
          <w:szCs w:val="21"/>
          <w:vertAlign w:val="baseline"/>
          <w:lang w:val="ru-RU"/>
        </w:rPr>
        <w:t>otes</w:t>
      </w:r>
      <w:r>
        <w:rPr>
          <w:rFonts w:hint="default"/>
          <w:sz w:val="21"/>
          <w:szCs w:val="21"/>
          <w:vertAlign w:val="baseline"/>
          <w:lang w:val="en-US"/>
        </w:rPr>
        <w:t xml:space="preserve">: </w:t>
      </w:r>
      <w:r>
        <w:rPr>
          <w:rFonts w:hint="default"/>
          <w:sz w:val="21"/>
          <w:szCs w:val="21"/>
          <w:vertAlign w:val="baseline"/>
          <w:lang w:val="ru-RU"/>
        </w:rPr>
        <w:t xml:space="preserve">♦ - </w:t>
      </w:r>
      <w:r>
        <w:rPr>
          <w:rFonts w:hint="default"/>
          <w:sz w:val="21"/>
          <w:szCs w:val="21"/>
          <w:vertAlign w:val="baseline"/>
          <w:lang w:val="en-US"/>
        </w:rPr>
        <w:t>by</w:t>
      </w:r>
      <w:r>
        <w:rPr>
          <w:rFonts w:hint="default"/>
          <w:sz w:val="21"/>
          <w:szCs w:val="21"/>
          <w:vertAlign w:val="baseline"/>
          <w:lang w:val="ru-RU"/>
        </w:rPr>
        <w:t xml:space="preserve"> </w:t>
      </w:r>
      <w:r>
        <w:rPr>
          <w:rFonts w:hint="default"/>
          <w:sz w:val="21"/>
          <w:szCs w:val="21"/>
          <w:u w:val="none"/>
          <w:vertAlign w:val="baseline"/>
          <w:lang w:val="en-US"/>
        </w:rPr>
        <w:t>Lekholm и Zarb</w:t>
      </w:r>
      <w:r>
        <w:rPr>
          <w:rFonts w:hint="default"/>
          <w:sz w:val="21"/>
          <w:szCs w:val="21"/>
          <w:u w:val="none"/>
          <w:vertAlign w:val="baseline"/>
          <w:lang w:val="ru-RU"/>
        </w:rPr>
        <w:t xml:space="preserve">, ♠ - </w:t>
      </w:r>
      <w:r>
        <w:rPr>
          <w:rFonts w:hint="default"/>
          <w:sz w:val="21"/>
          <w:szCs w:val="21"/>
          <w:u w:val="none"/>
          <w:vertAlign w:val="baseline"/>
          <w:lang w:val="en-US"/>
        </w:rPr>
        <w:t>by</w:t>
      </w:r>
      <w:r>
        <w:rPr>
          <w:rFonts w:hint="default"/>
          <w:sz w:val="21"/>
          <w:szCs w:val="21"/>
          <w:u w:val="none"/>
          <w:vertAlign w:val="baseline"/>
          <w:lang w:val="ru-RU"/>
        </w:rPr>
        <w:t xml:space="preserve"> </w:t>
      </w:r>
      <w:r>
        <w:rPr>
          <w:rFonts w:hint="default"/>
          <w:sz w:val="21"/>
          <w:szCs w:val="21"/>
          <w:u w:val="none"/>
          <w:vertAlign w:val="baseline"/>
          <w:lang w:val="en-US"/>
        </w:rPr>
        <w:t>Misch</w:t>
      </w:r>
      <w:r>
        <w:rPr>
          <w:rFonts w:hint="default"/>
          <w:sz w:val="21"/>
          <w:szCs w:val="21"/>
          <w:u w:val="none"/>
          <w:vertAlign w:val="baseline"/>
          <w:lang w:val="ru-RU"/>
        </w:rPr>
        <w:t xml:space="preserve">, ○ - </w:t>
      </w:r>
      <w:r>
        <w:rPr>
          <w:rFonts w:hint="default"/>
          <w:sz w:val="21"/>
          <w:szCs w:val="21"/>
          <w:u w:val="none"/>
          <w:vertAlign w:val="baseline"/>
          <w:lang w:val="en-US"/>
        </w:rPr>
        <w:t>criteria is not indicated</w:t>
      </w:r>
      <w:r>
        <w:rPr>
          <w:rFonts w:hint="default"/>
          <w:sz w:val="21"/>
          <w:szCs w:val="21"/>
          <w:u w:val="none"/>
          <w:vertAlign w:val="baseline"/>
          <w:lang w:val="ru-RU"/>
        </w:rPr>
        <w:t xml:space="preserve">, </w:t>
      </w:r>
    </w:p>
    <w:p>
      <w:pPr>
        <w:ind w:left="0" w:leftChars="0" w:right="-92" w:rightChars="-46" w:firstLine="0" w:firstLineChars="0"/>
        <w:rPr>
          <w:rFonts w:hint="default"/>
          <w:sz w:val="21"/>
          <w:szCs w:val="21"/>
          <w:vertAlign w:val="baseline"/>
          <w:lang w:val="en-US"/>
        </w:rPr>
      </w:pPr>
      <w:r>
        <w:rPr>
          <w:rFonts w:hint="default"/>
          <w:sz w:val="21"/>
          <w:szCs w:val="21"/>
          <w:u w:val="none"/>
          <w:vertAlign w:val="baseline"/>
          <w:lang w:val="en-US"/>
        </w:rPr>
        <w:t xml:space="preserve">NR - not repoted 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  <w:t>Table 6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tbl>
      <w:tblPr>
        <w:tblStyle w:val="8"/>
        <w:tblpPr w:leftFromText="180" w:rightFromText="180" w:vertAnchor="text" w:horzAnchor="page" w:tblpX="897" w:tblpY="322"/>
        <w:tblOverlap w:val="never"/>
        <w:tblW w:w="10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675"/>
        <w:gridCol w:w="1114"/>
        <w:gridCol w:w="1083"/>
        <w:gridCol w:w="1210"/>
        <w:gridCol w:w="1104"/>
        <w:gridCol w:w="1318"/>
        <w:gridCol w:w="1071"/>
        <w:gridCol w:w="986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46" w:type="dxa"/>
            <w:gridSpan w:val="2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Study</w:t>
            </w:r>
          </w:p>
        </w:tc>
        <w:tc>
          <w:tcPr>
            <w:tcW w:w="4511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Immediate placement</w:t>
            </w:r>
          </w:p>
        </w:tc>
        <w:tc>
          <w:tcPr>
            <w:tcW w:w="4532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Delayed placement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746" w:type="dxa"/>
            <w:gridSpan w:val="2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Marginal bone loss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ru-RU"/>
              </w:rPr>
              <w:t xml:space="preserve"> (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mm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± SD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)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Probing depth (mm)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Gingival recession (mm)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Connective tissue contact (mm 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± SD)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Marginal bone loss</w:t>
            </w:r>
          </w:p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ru-RU"/>
              </w:rPr>
              <w:t>(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mm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± SD</w:t>
            </w: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)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Probing depth (mm)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Gingival recession (mm)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Connective tissue contact (mm 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± SD)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6257" w:type="dxa"/>
            <w:gridSpan w:val="6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Animal Studies</w:t>
            </w:r>
          </w:p>
        </w:tc>
        <w:tc>
          <w:tcPr>
            <w:tcW w:w="4532" w:type="dxa"/>
            <w:gridSpan w:val="4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071" w:type="dxa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Vigano et al.</w:t>
            </w: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IL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0.9-1.2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0.9-1.1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071" w:type="dxa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UL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0.8-1.4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0.7-0.9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71" w:type="dxa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Siar et al.</w:t>
            </w: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IL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1.51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71" w:type="dxa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DL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1.24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789" w:type="dxa"/>
            <w:gridSpan w:val="10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Clinical Studies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Han et al.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(2007)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color w:val="auto"/>
                <w:sz w:val="21"/>
                <w:szCs w:val="21"/>
                <w:vertAlign w:val="baseline"/>
                <w:lang w:val="en-US"/>
              </w:rPr>
              <w:t>0.25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color w:val="auto"/>
                <w:sz w:val="21"/>
                <w:szCs w:val="21"/>
                <w:vertAlign w:val="baseline"/>
                <w:lang w:val="en-US"/>
              </w:rPr>
              <w:t>0.25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Mozzati et al.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1.33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0.36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Atieh et al.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0.41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0.57</w:t>
            </w: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 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0.04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0.46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Mangano et al.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 xml:space="preserve"> 0.22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ru-RU"/>
              </w:rPr>
              <w:t xml:space="preserve"> 0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.2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0.33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0.22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Ayna et al.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1.23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0.77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2.29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0.47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0.23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0.17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2.06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0.26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71" w:type="dxa"/>
            <w:vMerge w:val="restart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Crespi et al.</w:t>
            </w: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KM ≥2 mm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0.85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0.23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2.73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0.34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0.24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0.16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71" w:type="dxa"/>
            <w:vMerge w:val="continue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KM &lt;2 mm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0.99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0.58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2.81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0.41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 xml:space="preserve">1.30 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/>
              </w:rPr>
              <w:t>± 0.8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46" w:type="dxa"/>
            <w:gridSpan w:val="2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/>
              </w:rPr>
              <w:t>Degidi et al. (2006)</w:t>
            </w: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/>
              </w:rPr>
              <w:t>&lt;1.5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bookmarkStart w:id="0" w:name="_GoBack"/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/>
              </w:rPr>
              <w:t>&lt;1.5</w:t>
            </w:r>
            <w:bookmarkEnd w:id="0"/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/>
                <w:i w:val="0"/>
                <w:iCs w:val="0"/>
                <w:sz w:val="21"/>
                <w:szCs w:val="21"/>
                <w:vertAlign w:val="baseline"/>
                <w:lang w:val="en-US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en-US"/>
              </w:rPr>
              <w:t>OVERALL</w:t>
            </w:r>
          </w:p>
        </w:tc>
        <w:tc>
          <w:tcPr>
            <w:tcW w:w="675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111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0.9</w:t>
            </w:r>
          </w:p>
        </w:tc>
        <w:tc>
          <w:tcPr>
            <w:tcW w:w="1083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2.61</w:t>
            </w:r>
          </w:p>
        </w:tc>
        <w:tc>
          <w:tcPr>
            <w:tcW w:w="1210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04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318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0.48</w:t>
            </w:r>
          </w:p>
        </w:tc>
        <w:tc>
          <w:tcPr>
            <w:tcW w:w="1071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986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  <w:tc>
          <w:tcPr>
            <w:tcW w:w="1157" w:type="dxa"/>
          </w:tcPr>
          <w:p>
            <w:pPr>
              <w:widowControl w:val="0"/>
              <w:ind w:right="-92" w:rightChars="-46"/>
              <w:jc w:val="center"/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z w:val="21"/>
                <w:szCs w:val="21"/>
                <w:vertAlign w:val="baseline"/>
                <w:lang w:val="en-US"/>
              </w:rPr>
              <w:t>-</w:t>
            </w:r>
          </w:p>
        </w:tc>
      </w:tr>
    </w:tbl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p>
      <w:pPr>
        <w:ind w:left="0" w:leftChars="0" w:right="-92" w:rightChars="-46" w:firstLine="0" w:firstLineChars="0"/>
        <w:jc w:val="both"/>
        <w:rPr>
          <w:rFonts w:hint="default"/>
          <w:i w:val="0"/>
          <w:iCs w:val="0"/>
          <w:sz w:val="21"/>
          <w:szCs w:val="21"/>
          <w:vertAlign w:val="baseline"/>
          <w:lang w:val="en-US"/>
        </w:rPr>
      </w:pPr>
      <w:r>
        <w:rPr>
          <w:rFonts w:hint="default"/>
          <w:i w:val="0"/>
          <w:iCs w:val="0"/>
          <w:sz w:val="21"/>
          <w:szCs w:val="21"/>
          <w:vertAlign w:val="baseline"/>
          <w:lang w:val="en-US"/>
        </w:rPr>
        <w:t xml:space="preserve">Notes: IL - Immediate loading; UL - Unloaded; DL - Delayed loading; KM - Keratinized mucosa; </w:t>
      </w:r>
      <w:r>
        <w:rPr>
          <w:rFonts w:hint="default"/>
          <w:sz w:val="21"/>
          <w:szCs w:val="21"/>
          <w:vertAlign w:val="baseline"/>
          <w:lang w:val="en-US"/>
        </w:rPr>
        <w:t>SD - standard deviation; NR - not reported.</w:t>
      </w:r>
    </w:p>
    <w:p>
      <w:pPr>
        <w:numPr>
          <w:ilvl w:val="0"/>
          <w:numId w:val="0"/>
        </w:numPr>
        <w:ind w:leftChars="0" w:right="-92" w:rightChars="-46"/>
        <w:rPr>
          <w:rFonts w:hint="default" w:ascii="Segoe UI" w:hAnsi="Segoe UI" w:eastAsia="Segoe UI" w:cs="Segoe UI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6C04AE"/>
    <w:rsid w:val="026929FF"/>
    <w:rsid w:val="03570C94"/>
    <w:rsid w:val="04093590"/>
    <w:rsid w:val="07002EF9"/>
    <w:rsid w:val="0BCF1A6D"/>
    <w:rsid w:val="0ED97B99"/>
    <w:rsid w:val="0F164D4D"/>
    <w:rsid w:val="13760AF9"/>
    <w:rsid w:val="16757268"/>
    <w:rsid w:val="19D5786F"/>
    <w:rsid w:val="1B071855"/>
    <w:rsid w:val="1CD848B6"/>
    <w:rsid w:val="1DE7126F"/>
    <w:rsid w:val="1E092B57"/>
    <w:rsid w:val="1E414EAF"/>
    <w:rsid w:val="213B1715"/>
    <w:rsid w:val="220F6791"/>
    <w:rsid w:val="260C49B2"/>
    <w:rsid w:val="2B674D52"/>
    <w:rsid w:val="2B737F66"/>
    <w:rsid w:val="2C56472C"/>
    <w:rsid w:val="2D7B5634"/>
    <w:rsid w:val="2DDA6F53"/>
    <w:rsid w:val="2DE95424"/>
    <w:rsid w:val="2FE77AB0"/>
    <w:rsid w:val="30CF67EA"/>
    <w:rsid w:val="31540E44"/>
    <w:rsid w:val="31702B66"/>
    <w:rsid w:val="33502B80"/>
    <w:rsid w:val="36D938A4"/>
    <w:rsid w:val="379B464D"/>
    <w:rsid w:val="37EC7AE2"/>
    <w:rsid w:val="38D86AFC"/>
    <w:rsid w:val="38F47817"/>
    <w:rsid w:val="39A05497"/>
    <w:rsid w:val="3A9A0B71"/>
    <w:rsid w:val="3AD04DAF"/>
    <w:rsid w:val="3B4C09D6"/>
    <w:rsid w:val="3B8C3916"/>
    <w:rsid w:val="3C3B5866"/>
    <w:rsid w:val="3D1073BD"/>
    <w:rsid w:val="3D8F3F65"/>
    <w:rsid w:val="3DE87112"/>
    <w:rsid w:val="40F95F19"/>
    <w:rsid w:val="41797D85"/>
    <w:rsid w:val="47C11563"/>
    <w:rsid w:val="497E6723"/>
    <w:rsid w:val="4AFA3FE9"/>
    <w:rsid w:val="4DCC2744"/>
    <w:rsid w:val="50633173"/>
    <w:rsid w:val="52160B5F"/>
    <w:rsid w:val="523B3E09"/>
    <w:rsid w:val="54AB1879"/>
    <w:rsid w:val="56501BA9"/>
    <w:rsid w:val="58C3200D"/>
    <w:rsid w:val="5AEC3DC6"/>
    <w:rsid w:val="5CCD5CD0"/>
    <w:rsid w:val="5D2B2EC2"/>
    <w:rsid w:val="5EC737DF"/>
    <w:rsid w:val="610C0BDE"/>
    <w:rsid w:val="614D0C4F"/>
    <w:rsid w:val="62E83590"/>
    <w:rsid w:val="638A3D9D"/>
    <w:rsid w:val="63E92BFA"/>
    <w:rsid w:val="647C1F16"/>
    <w:rsid w:val="64A612FA"/>
    <w:rsid w:val="64E11B0D"/>
    <w:rsid w:val="65285C94"/>
    <w:rsid w:val="6D1C5D1A"/>
    <w:rsid w:val="6DA538E6"/>
    <w:rsid w:val="6DE04795"/>
    <w:rsid w:val="6FAB2DD8"/>
    <w:rsid w:val="70311D20"/>
    <w:rsid w:val="70B40D31"/>
    <w:rsid w:val="71FB07ED"/>
    <w:rsid w:val="720F7C2C"/>
    <w:rsid w:val="72E83193"/>
    <w:rsid w:val="742A4FE2"/>
    <w:rsid w:val="749E4DE3"/>
    <w:rsid w:val="759F2943"/>
    <w:rsid w:val="75CA0CCD"/>
    <w:rsid w:val="76404CD8"/>
    <w:rsid w:val="78E10B6A"/>
    <w:rsid w:val="79EA6960"/>
    <w:rsid w:val="7C840CA2"/>
    <w:rsid w:val="7EA360E6"/>
    <w:rsid w:val="7F3F4808"/>
    <w:rsid w:val="7F961E45"/>
    <w:rsid w:val="7FF3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autoRedefine/>
    <w:qFormat/>
    <w:uiPriority w:val="0"/>
    <w:rPr>
      <w:color w:val="0000FF"/>
      <w:u w:val="single"/>
    </w:rPr>
  </w:style>
  <w:style w:type="character" w:styleId="5">
    <w:name w:val="Strong"/>
    <w:basedOn w:val="2"/>
    <w:autoRedefine/>
    <w:qFormat/>
    <w:uiPriority w:val="0"/>
    <w:rPr>
      <w:b/>
      <w:bCs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2023-09-01T17:52:00Z</dcterms:created>
  <dc:creator>kryk002</dc:creator>
  <cp:lastModifiedBy>Alex</cp:lastModifiedBy>
  <dcterms:modified xsi:type="dcterms:W3CDTF">2024-04-11T15:47:06Z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5264FB29F7454D19BD1DDB4766273102_13</vt:lpwstr>
  </property>
</Properties>
</file>