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0B6947" w14:textId="16A2CCD3" w:rsidR="00EB3B8B" w:rsidRPr="007144F5" w:rsidRDefault="007144F5" w:rsidP="007144F5">
      <w:pPr>
        <w:spacing w:line="480" w:lineRule="auto"/>
        <w:rPr>
          <w:rFonts w:ascii="Times New Roman" w:hAnsi="Times New Roman" w:cs="Times New Roman"/>
          <w:b/>
          <w:bCs/>
          <w:sz w:val="24"/>
          <w:szCs w:val="24"/>
        </w:rPr>
      </w:pPr>
      <w:r w:rsidRPr="007144F5">
        <w:rPr>
          <w:rFonts w:ascii="Times New Roman" w:hAnsi="Times New Roman" w:cs="Times New Roman"/>
          <w:b/>
          <w:bCs/>
          <w:sz w:val="24"/>
          <w:szCs w:val="24"/>
        </w:rPr>
        <w:t>Supplementary appendix.</w:t>
      </w:r>
    </w:p>
    <w:p w14:paraId="322683FB" w14:textId="499ED50E" w:rsidR="007144F5" w:rsidRPr="00D811B9" w:rsidRDefault="007144F5" w:rsidP="007144F5">
      <w:pPr>
        <w:spacing w:line="480" w:lineRule="auto"/>
        <w:rPr>
          <w:rFonts w:ascii="Times New Roman" w:hAnsi="Times New Roman" w:cs="Times New Roman"/>
          <w:sz w:val="24"/>
        </w:rPr>
      </w:pPr>
      <w:proofErr w:type="spellStart"/>
      <w:r w:rsidRPr="007144F5">
        <w:rPr>
          <w:rFonts w:ascii="Times New Roman" w:hAnsi="Times New Roman" w:cs="Times New Roman"/>
          <w:sz w:val="24"/>
          <w:szCs w:val="24"/>
        </w:rPr>
        <w:t>Droplex</w:t>
      </w:r>
      <w:proofErr w:type="spellEnd"/>
      <w:r w:rsidRPr="007144F5">
        <w:rPr>
          <w:rFonts w:ascii="Times New Roman" w:hAnsi="Times New Roman" w:cs="Times New Roman"/>
          <w:sz w:val="24"/>
          <w:szCs w:val="24"/>
        </w:rPr>
        <w:t xml:space="preserve"> </w:t>
      </w:r>
      <w:bookmarkStart w:id="0" w:name="_GoBack"/>
      <w:bookmarkEnd w:id="0"/>
      <w:r w:rsidRPr="007144F5">
        <w:rPr>
          <w:rFonts w:ascii="Times New Roman" w:hAnsi="Times New Roman" w:cs="Times New Roman"/>
          <w:sz w:val="24"/>
          <w:szCs w:val="24"/>
        </w:rPr>
        <w:t xml:space="preserve">EGFR Mutation Test v2 PCR master mixture and patient DNA samples from </w:t>
      </w:r>
      <w:r w:rsidR="00960B8D">
        <w:rPr>
          <w:rFonts w:ascii="Times New Roman" w:hAnsi="Times New Roman" w:cs="Times New Roman"/>
          <w:sz w:val="24"/>
          <w:szCs w:val="24"/>
        </w:rPr>
        <w:t xml:space="preserve">targeted washing fluid </w:t>
      </w:r>
      <w:r w:rsidRPr="007144F5">
        <w:rPr>
          <w:rFonts w:ascii="Times New Roman" w:hAnsi="Times New Roman" w:cs="Times New Roman"/>
          <w:sz w:val="24"/>
          <w:szCs w:val="24"/>
        </w:rPr>
        <w:t>were combined in an 8-strip PCR tube (</w:t>
      </w:r>
      <w:proofErr w:type="spellStart"/>
      <w:r w:rsidRPr="007144F5">
        <w:rPr>
          <w:rFonts w:ascii="Times New Roman" w:hAnsi="Times New Roman" w:cs="Times New Roman"/>
          <w:sz w:val="24"/>
          <w:szCs w:val="24"/>
        </w:rPr>
        <w:t>Axygen</w:t>
      </w:r>
      <w:proofErr w:type="spellEnd"/>
      <w:r w:rsidRPr="007144F5">
        <w:rPr>
          <w:rFonts w:ascii="Times New Roman" w:hAnsi="Times New Roman" w:cs="Times New Roman"/>
          <w:sz w:val="24"/>
          <w:szCs w:val="24"/>
        </w:rPr>
        <w:t>, Tewksbury, MA, USA) to a final reaction volume of 20</w:t>
      </w:r>
      <w:r w:rsidRPr="00D811B9">
        <w:rPr>
          <w:rFonts w:ascii="Times New Roman" w:hAnsi="Times New Roman" w:cs="Times New Roman"/>
          <w:sz w:val="24"/>
        </w:rPr>
        <w:t xml:space="preserve"> </w:t>
      </w:r>
      <w:proofErr w:type="spellStart"/>
      <w:r w:rsidRPr="00D811B9">
        <w:rPr>
          <w:rFonts w:ascii="Times New Roman" w:hAnsi="Times New Roman" w:cs="Times New Roman"/>
          <w:sz w:val="24"/>
        </w:rPr>
        <w:t>μL</w:t>
      </w:r>
      <w:proofErr w:type="spellEnd"/>
      <w:r w:rsidRPr="00D811B9">
        <w:rPr>
          <w:rFonts w:ascii="Times New Roman" w:hAnsi="Times New Roman" w:cs="Times New Roman"/>
          <w:sz w:val="24"/>
        </w:rPr>
        <w:t>, and then the mixture was loaded into each well of DG8 Cartridge (Bio-Rad). The droplets were generated using QX200 Droplet Generator (Bio-Rad) following the manufacturer’s instructions. The generated uniform nanoliter-sized droplets were transferred to a 96-well plate (Eppendorf, Hamburg, Germany or Bio-Rad) and the plate was placed into a thermal cycler (</w:t>
      </w:r>
      <w:proofErr w:type="spellStart"/>
      <w:r w:rsidRPr="00D811B9">
        <w:rPr>
          <w:rFonts w:ascii="Times New Roman" w:hAnsi="Times New Roman" w:cs="Times New Roman"/>
          <w:sz w:val="24"/>
        </w:rPr>
        <w:t>Veriti</w:t>
      </w:r>
      <w:proofErr w:type="spellEnd"/>
      <w:r w:rsidRPr="00D811B9">
        <w:rPr>
          <w:rFonts w:ascii="Times New Roman" w:hAnsi="Times New Roman" w:cs="Times New Roman"/>
          <w:sz w:val="24"/>
        </w:rPr>
        <w:t xml:space="preserve"> 96-Well Fast Thermal Cycler, </w:t>
      </w:r>
      <w:proofErr w:type="spellStart"/>
      <w:r w:rsidRPr="00D811B9">
        <w:rPr>
          <w:rFonts w:ascii="Times New Roman" w:hAnsi="Times New Roman" w:cs="Times New Roman"/>
          <w:sz w:val="24"/>
        </w:rPr>
        <w:t>Thermo</w:t>
      </w:r>
      <w:proofErr w:type="spellEnd"/>
      <w:r w:rsidRPr="00D811B9">
        <w:rPr>
          <w:rFonts w:ascii="Times New Roman" w:hAnsi="Times New Roman" w:cs="Times New Roman"/>
          <w:sz w:val="24"/>
        </w:rPr>
        <w:t xml:space="preserve"> Fisher Scientific, Waltham, MA, USA) for PCR amplification.</w:t>
      </w:r>
      <w:r w:rsidRPr="00D811B9">
        <w:rPr>
          <w:rFonts w:ascii="Times New Roman" w:hAnsi="Times New Roman" w:cs="Times New Roman" w:hint="eastAsia"/>
          <w:sz w:val="24"/>
        </w:rPr>
        <w:t xml:space="preserve"> </w:t>
      </w:r>
      <w:r w:rsidRPr="00D811B9">
        <w:rPr>
          <w:rFonts w:ascii="Times New Roman" w:hAnsi="Times New Roman" w:cs="Times New Roman"/>
          <w:sz w:val="24"/>
        </w:rPr>
        <w:t>The thermocycling conditions were as follows: one cycle of 30 minutes at 37°C, followed by 10 minutes at 95°C; 40 cycles of 30 seconds at 94°C; 1 minute at 58°C, and a final step at 98°C for 10 minutes, with the ramping rate settled at 2°C/sec.</w:t>
      </w:r>
      <w:r>
        <w:rPr>
          <w:rFonts w:ascii="Times New Roman" w:hAnsi="Times New Roman" w:cs="Times New Roman" w:hint="eastAsia"/>
          <w:sz w:val="24"/>
        </w:rPr>
        <w:t xml:space="preserve"> </w:t>
      </w:r>
      <w:r w:rsidRPr="00D811B9">
        <w:rPr>
          <w:rFonts w:ascii="Times New Roman" w:hAnsi="Times New Roman" w:cs="Times New Roman"/>
          <w:sz w:val="24"/>
        </w:rPr>
        <w:t xml:space="preserve">After thermal cycling, the droplet reader connected to a computer running data analysis </w:t>
      </w:r>
      <w:proofErr w:type="spellStart"/>
      <w:r w:rsidRPr="00D811B9">
        <w:rPr>
          <w:rFonts w:ascii="Times New Roman" w:hAnsi="Times New Roman" w:cs="Times New Roman"/>
          <w:sz w:val="24"/>
        </w:rPr>
        <w:t>QuantaSoft</w:t>
      </w:r>
      <w:proofErr w:type="spellEnd"/>
      <w:r w:rsidRPr="00D811B9">
        <w:rPr>
          <w:rFonts w:ascii="Times New Roman" w:hAnsi="Times New Roman" w:cs="Times New Roman"/>
          <w:sz w:val="24"/>
        </w:rPr>
        <w:t xml:space="preserve"> Software (v1.6.6.0320; Bio-Rad) and run data analysis was carried out. Thresholds were set manually based results from positive control containing wild-type genomic DNA and standard positive DNA. The number of positive and negative droplets were distinguished by threshold, and the given numbers were used for calculating the concentration target in terms of copies/µL. </w:t>
      </w:r>
    </w:p>
    <w:p w14:paraId="7D6BF86E" w14:textId="15762552" w:rsidR="007144F5" w:rsidRPr="007144F5" w:rsidRDefault="007144F5" w:rsidP="00D84E37">
      <w:pPr>
        <w:spacing w:line="480" w:lineRule="auto"/>
        <w:ind w:firstLine="800"/>
      </w:pPr>
      <w:r w:rsidRPr="00D811B9">
        <w:rPr>
          <w:rFonts w:ascii="Times New Roman" w:hAnsi="Times New Roman" w:cs="Times New Roman"/>
          <w:sz w:val="24"/>
        </w:rPr>
        <w:t>The kit is designed to detect total 107 EGFR mutations related with EGFR</w:t>
      </w:r>
      <w:r>
        <w:rPr>
          <w:rFonts w:ascii="Times New Roman" w:hAnsi="Times New Roman" w:cs="Times New Roman"/>
          <w:sz w:val="24"/>
        </w:rPr>
        <w:t>-</w:t>
      </w:r>
      <w:r w:rsidRPr="00D811B9">
        <w:rPr>
          <w:rFonts w:ascii="Times New Roman" w:hAnsi="Times New Roman" w:cs="Times New Roman"/>
          <w:sz w:val="24"/>
        </w:rPr>
        <w:t>tyrosine kinase inhibitor</w:t>
      </w:r>
      <w:r>
        <w:rPr>
          <w:rFonts w:ascii="Times New Roman" w:hAnsi="Times New Roman" w:cs="Times New Roman"/>
          <w:sz w:val="24"/>
        </w:rPr>
        <w:t xml:space="preserve"> </w:t>
      </w:r>
      <w:r w:rsidRPr="00D811B9">
        <w:rPr>
          <w:rFonts w:ascii="Times New Roman" w:hAnsi="Times New Roman" w:cs="Times New Roman"/>
          <w:sz w:val="24"/>
        </w:rPr>
        <w:t>through 6 reactions per specimen. Each reaction consists of specific primers and fluorescent labeled probes for EGFR mutations; exon 18 (L718X, G719X, G724S), exon 19 deletions (59 deletions), exon 20 (S768I, T790M, C797X, 33 insertions), and exon 21 (L858R, L861Q). To confirm the validity of the test, the positive control</w:t>
      </w:r>
      <w:r>
        <w:rPr>
          <w:rFonts w:ascii="Times New Roman" w:hAnsi="Times New Roman" w:cs="Times New Roman"/>
          <w:sz w:val="24"/>
        </w:rPr>
        <w:t xml:space="preserve"> </w:t>
      </w:r>
      <w:r w:rsidRPr="00D811B9">
        <w:rPr>
          <w:rFonts w:ascii="Times New Roman" w:hAnsi="Times New Roman" w:cs="Times New Roman"/>
          <w:sz w:val="24"/>
        </w:rPr>
        <w:t>and internal control</w:t>
      </w:r>
      <w:r>
        <w:rPr>
          <w:rFonts w:ascii="Times New Roman" w:hAnsi="Times New Roman" w:cs="Times New Roman"/>
          <w:sz w:val="24"/>
        </w:rPr>
        <w:t xml:space="preserve"> </w:t>
      </w:r>
      <w:r w:rsidRPr="00D811B9">
        <w:rPr>
          <w:rFonts w:ascii="Times New Roman" w:hAnsi="Times New Roman" w:cs="Times New Roman"/>
          <w:sz w:val="24"/>
        </w:rPr>
        <w:t xml:space="preserve">are measured in every test. Detailed procedure of </w:t>
      </w:r>
      <w:proofErr w:type="spellStart"/>
      <w:r w:rsidRPr="00D811B9">
        <w:rPr>
          <w:rFonts w:ascii="Times New Roman" w:hAnsi="Times New Roman" w:cs="Times New Roman"/>
          <w:sz w:val="24"/>
        </w:rPr>
        <w:t>Droplex</w:t>
      </w:r>
      <w:proofErr w:type="spellEnd"/>
      <w:r w:rsidRPr="00D811B9">
        <w:rPr>
          <w:rFonts w:ascii="Times New Roman" w:hAnsi="Times New Roman" w:cs="Times New Roman"/>
          <w:sz w:val="24"/>
        </w:rPr>
        <w:t xml:space="preserve"> EGFR Mutation Test v2 was performed according to the manufacturer's instructions. </w:t>
      </w:r>
    </w:p>
    <w:sectPr w:rsidR="007144F5" w:rsidRPr="007144F5">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44F5"/>
    <w:rsid w:val="002F7252"/>
    <w:rsid w:val="007144F5"/>
    <w:rsid w:val="00960B8D"/>
    <w:rsid w:val="00D47C4B"/>
    <w:rsid w:val="00D84E37"/>
    <w:rsid w:val="00EB3B8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90316"/>
  <w15:chartTrackingRefBased/>
  <w15:docId w15:val="{063FEF51-DA6A-409A-859A-5D3D94AC8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44F5"/>
    <w:pPr>
      <w:widowControl w:val="0"/>
    </w:pPr>
  </w:style>
  <w:style w:type="paragraph" w:styleId="1">
    <w:name w:val="heading 1"/>
    <w:basedOn w:val="a"/>
    <w:next w:val="a"/>
    <w:link w:val="1Char"/>
    <w:uiPriority w:val="9"/>
    <w:qFormat/>
    <w:rsid w:val="007144F5"/>
    <w:pPr>
      <w:keepNext/>
      <w:keepLines/>
      <w:wordWrap w:val="0"/>
      <w:autoSpaceDE w:val="0"/>
      <w:autoSpaceDN w:val="0"/>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7144F5"/>
    <w:pPr>
      <w:keepNext/>
      <w:keepLines/>
      <w:wordWrap w:val="0"/>
      <w:autoSpaceDE w:val="0"/>
      <w:autoSpaceDN w:val="0"/>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7144F5"/>
    <w:pPr>
      <w:keepNext/>
      <w:keepLines/>
      <w:wordWrap w:val="0"/>
      <w:autoSpaceDE w:val="0"/>
      <w:autoSpaceDN w:val="0"/>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Char"/>
    <w:uiPriority w:val="9"/>
    <w:semiHidden/>
    <w:unhideWhenUsed/>
    <w:qFormat/>
    <w:rsid w:val="007144F5"/>
    <w:pPr>
      <w:keepNext/>
      <w:keepLines/>
      <w:wordWrap w:val="0"/>
      <w:autoSpaceDE w:val="0"/>
      <w:autoSpaceDN w:val="0"/>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7144F5"/>
    <w:pPr>
      <w:keepNext/>
      <w:keepLines/>
      <w:wordWrap w:val="0"/>
      <w:autoSpaceDE w:val="0"/>
      <w:autoSpaceDN w:val="0"/>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7144F5"/>
    <w:pPr>
      <w:keepNext/>
      <w:keepLines/>
      <w:wordWrap w:val="0"/>
      <w:autoSpaceDE w:val="0"/>
      <w:autoSpaceDN w:val="0"/>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7144F5"/>
    <w:pPr>
      <w:keepNext/>
      <w:keepLines/>
      <w:wordWrap w:val="0"/>
      <w:autoSpaceDE w:val="0"/>
      <w:autoSpaceDN w:val="0"/>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7144F5"/>
    <w:pPr>
      <w:keepNext/>
      <w:keepLines/>
      <w:wordWrap w:val="0"/>
      <w:autoSpaceDE w:val="0"/>
      <w:autoSpaceDN w:val="0"/>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7144F5"/>
    <w:pPr>
      <w:keepNext/>
      <w:keepLines/>
      <w:wordWrap w:val="0"/>
      <w:autoSpaceDE w:val="0"/>
      <w:autoSpaceDN w:val="0"/>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7144F5"/>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7144F5"/>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7144F5"/>
    <w:rPr>
      <w:rFonts w:asciiTheme="majorHAnsi" w:eastAsiaTheme="majorEastAsia" w:hAnsiTheme="majorHAnsi" w:cstheme="majorBidi"/>
      <w:color w:val="000000" w:themeColor="text1"/>
      <w:sz w:val="24"/>
      <w:szCs w:val="24"/>
    </w:rPr>
  </w:style>
  <w:style w:type="character" w:customStyle="1" w:styleId="4Char">
    <w:name w:val="제목 4 Char"/>
    <w:basedOn w:val="a0"/>
    <w:link w:val="4"/>
    <w:uiPriority w:val="9"/>
    <w:semiHidden/>
    <w:rsid w:val="007144F5"/>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7144F5"/>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7144F5"/>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7144F5"/>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7144F5"/>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7144F5"/>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7144F5"/>
    <w:pPr>
      <w:wordWrap w:val="0"/>
      <w:autoSpaceDE w:val="0"/>
      <w:autoSpaceDN w:val="0"/>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7144F5"/>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7144F5"/>
    <w:pPr>
      <w:numPr>
        <w:ilvl w:val="1"/>
      </w:numPr>
      <w:wordWrap w:val="0"/>
      <w:autoSpaceDE w:val="0"/>
      <w:autoSpaceDN w:val="0"/>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7144F5"/>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7144F5"/>
    <w:pPr>
      <w:wordWrap w:val="0"/>
      <w:autoSpaceDE w:val="0"/>
      <w:autoSpaceDN w:val="0"/>
      <w:spacing w:before="160"/>
      <w:jc w:val="center"/>
    </w:pPr>
    <w:rPr>
      <w:i/>
      <w:iCs/>
      <w:color w:val="404040" w:themeColor="text1" w:themeTint="BF"/>
    </w:rPr>
  </w:style>
  <w:style w:type="character" w:customStyle="1" w:styleId="Char1">
    <w:name w:val="인용 Char"/>
    <w:basedOn w:val="a0"/>
    <w:link w:val="a5"/>
    <w:uiPriority w:val="29"/>
    <w:rsid w:val="007144F5"/>
    <w:rPr>
      <w:i/>
      <w:iCs/>
      <w:color w:val="404040" w:themeColor="text1" w:themeTint="BF"/>
    </w:rPr>
  </w:style>
  <w:style w:type="paragraph" w:styleId="a6">
    <w:name w:val="List Paragraph"/>
    <w:basedOn w:val="a"/>
    <w:uiPriority w:val="34"/>
    <w:qFormat/>
    <w:rsid w:val="007144F5"/>
    <w:pPr>
      <w:wordWrap w:val="0"/>
      <w:autoSpaceDE w:val="0"/>
      <w:autoSpaceDN w:val="0"/>
      <w:ind w:left="720"/>
      <w:contextualSpacing/>
    </w:pPr>
  </w:style>
  <w:style w:type="character" w:styleId="a7">
    <w:name w:val="Intense Emphasis"/>
    <w:basedOn w:val="a0"/>
    <w:uiPriority w:val="21"/>
    <w:qFormat/>
    <w:rsid w:val="007144F5"/>
    <w:rPr>
      <w:i/>
      <w:iCs/>
      <w:color w:val="0F4761" w:themeColor="accent1" w:themeShade="BF"/>
    </w:rPr>
  </w:style>
  <w:style w:type="paragraph" w:styleId="a8">
    <w:name w:val="Intense Quote"/>
    <w:basedOn w:val="a"/>
    <w:next w:val="a"/>
    <w:link w:val="Char2"/>
    <w:uiPriority w:val="30"/>
    <w:qFormat/>
    <w:rsid w:val="007144F5"/>
    <w:pPr>
      <w:pBdr>
        <w:top w:val="single" w:sz="4" w:space="10" w:color="0F4761" w:themeColor="accent1" w:themeShade="BF"/>
        <w:bottom w:val="single" w:sz="4" w:space="10" w:color="0F4761" w:themeColor="accent1" w:themeShade="BF"/>
      </w:pBdr>
      <w:wordWrap w:val="0"/>
      <w:autoSpaceDE w:val="0"/>
      <w:autoSpaceDN w:val="0"/>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7144F5"/>
    <w:rPr>
      <w:i/>
      <w:iCs/>
      <w:color w:val="0F4761" w:themeColor="accent1" w:themeShade="BF"/>
    </w:rPr>
  </w:style>
  <w:style w:type="character" w:styleId="a9">
    <w:name w:val="Intense Reference"/>
    <w:basedOn w:val="a0"/>
    <w:uiPriority w:val="32"/>
    <w:qFormat/>
    <w:rsid w:val="007144F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297</Words>
  <Characters>1693</Characters>
  <Application>Microsoft Office Word</Application>
  <DocSecurity>0</DocSecurity>
  <Lines>14</Lines>
  <Paragraphs>3</Paragraphs>
  <ScaleCrop>false</ScaleCrop>
  <Company/>
  <LinksUpToDate>false</LinksUpToDate>
  <CharactersWithSpaces>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Jung Seop Eom</dc:creator>
  <cp:keywords/>
  <dc:description/>
  <cp:lastModifiedBy>admin</cp:lastModifiedBy>
  <cp:revision>5</cp:revision>
  <dcterms:created xsi:type="dcterms:W3CDTF">2024-02-29T23:11:00Z</dcterms:created>
  <dcterms:modified xsi:type="dcterms:W3CDTF">2024-03-04T00:48:00Z</dcterms:modified>
</cp:coreProperties>
</file>