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A0B35" w14:textId="1565B438" w:rsidR="007466F0" w:rsidRDefault="005C0601" w:rsidP="007466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Text </w:t>
      </w:r>
    </w:p>
    <w:p w14:paraId="49ACD987" w14:textId="0FBCCBE2" w:rsidR="007466F0" w:rsidRPr="00C271C6" w:rsidRDefault="005C0601" w:rsidP="007466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</w:t>
      </w:r>
      <w:r w:rsidR="007466F0" w:rsidRPr="00C271C6">
        <w:rPr>
          <w:rFonts w:ascii="Arial" w:hAnsi="Arial" w:cs="Arial"/>
          <w:b/>
          <w:bCs/>
          <w:sz w:val="22"/>
          <w:szCs w:val="22"/>
        </w:rPr>
        <w:t>Table 1:  Selected published RCTs (No. 1-10) and ongoing newly registered RCTs (No. 11-20).</w:t>
      </w:r>
    </w:p>
    <w:tbl>
      <w:tblPr>
        <w:tblStyle w:val="PlainTable3"/>
        <w:tblpPr w:leftFromText="180" w:rightFromText="180" w:vertAnchor="text" w:tblpXSpec="center" w:tblpY="1"/>
        <w:tblOverlap w:val="never"/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354"/>
        <w:gridCol w:w="1273"/>
        <w:gridCol w:w="3962"/>
        <w:gridCol w:w="1904"/>
        <w:gridCol w:w="1050"/>
        <w:gridCol w:w="1647"/>
        <w:gridCol w:w="1195"/>
        <w:gridCol w:w="1085"/>
      </w:tblGrid>
      <w:tr w:rsidR="007466F0" w:rsidRPr="00411F43" w14:paraId="6DCA2229" w14:textId="77777777" w:rsidTr="00A01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7" w:type="dxa"/>
            <w:tcBorders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721F1D4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No</w:t>
            </w:r>
          </w:p>
        </w:tc>
        <w:tc>
          <w:tcPr>
            <w:tcW w:w="1354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3C470711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Journal</w:t>
            </w:r>
          </w:p>
        </w:tc>
        <w:tc>
          <w:tcPr>
            <w:tcW w:w="1273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0BE6E1BC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Publish Year</w:t>
            </w:r>
          </w:p>
        </w:tc>
        <w:tc>
          <w:tcPr>
            <w:tcW w:w="3962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336E9282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RCT name</w:t>
            </w:r>
          </w:p>
        </w:tc>
        <w:tc>
          <w:tcPr>
            <w:tcW w:w="1814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33F75B52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Speciality</w:t>
            </w:r>
          </w:p>
        </w:tc>
        <w:tc>
          <w:tcPr>
            <w:tcW w:w="1050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33772751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Phase</w:t>
            </w:r>
          </w:p>
        </w:tc>
        <w:tc>
          <w:tcPr>
            <w:tcW w:w="1639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7D2C0FAF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Registry number</w:t>
            </w:r>
          </w:p>
        </w:tc>
        <w:tc>
          <w:tcPr>
            <w:tcW w:w="1189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1E62B4CC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First Posted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 xml:space="preserve"> Date</w:t>
            </w:r>
          </w:p>
        </w:tc>
        <w:tc>
          <w:tcPr>
            <w:tcW w:w="1080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4BBEB247" w14:textId="77777777" w:rsidR="007466F0" w:rsidRPr="004B6E66" w:rsidRDefault="007466F0" w:rsidP="001969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Trial Type</w:t>
            </w:r>
          </w:p>
        </w:tc>
      </w:tr>
      <w:tr w:rsidR="007466F0" w:rsidRPr="00411F43" w14:paraId="5424838E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E8D6CF6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</w:t>
            </w:r>
          </w:p>
        </w:tc>
        <w:tc>
          <w:tcPr>
            <w:tcW w:w="1354" w:type="dxa"/>
            <w:noWrap/>
            <w:vAlign w:val="center"/>
            <w:hideMark/>
          </w:tcPr>
          <w:p w14:paraId="129A132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NEJM</w:t>
            </w:r>
          </w:p>
        </w:tc>
        <w:tc>
          <w:tcPr>
            <w:tcW w:w="1273" w:type="dxa"/>
            <w:noWrap/>
            <w:vAlign w:val="center"/>
            <w:hideMark/>
          </w:tcPr>
          <w:p w14:paraId="3BDC92E9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2024/2</w:t>
            </w:r>
          </w:p>
        </w:tc>
        <w:tc>
          <w:tcPr>
            <w:tcW w:w="3962" w:type="dxa"/>
            <w:noWrap/>
            <w:vAlign w:val="center"/>
            <w:hideMark/>
          </w:tcPr>
          <w:p w14:paraId="17FCB7C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Phase 3 Study to Evaluate the Efficacy and Safety of MGL-3196 (Resmetirom) in Patients With NASH and Fibrosis (MAESTRO-NASH)</w:t>
            </w:r>
          </w:p>
        </w:tc>
        <w:tc>
          <w:tcPr>
            <w:tcW w:w="1814" w:type="dxa"/>
            <w:noWrap/>
            <w:vAlign w:val="center"/>
            <w:hideMark/>
          </w:tcPr>
          <w:p w14:paraId="552343E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Gastroenterology</w:t>
            </w:r>
          </w:p>
        </w:tc>
        <w:tc>
          <w:tcPr>
            <w:tcW w:w="1050" w:type="dxa"/>
            <w:noWrap/>
            <w:vAlign w:val="center"/>
            <w:hideMark/>
          </w:tcPr>
          <w:p w14:paraId="44F0E35D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684F3695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NCT03900429</w:t>
            </w:r>
          </w:p>
        </w:tc>
        <w:tc>
          <w:tcPr>
            <w:tcW w:w="1189" w:type="dxa"/>
            <w:noWrap/>
            <w:vAlign w:val="center"/>
            <w:hideMark/>
          </w:tcPr>
          <w:p w14:paraId="41EDDD20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5D48FD26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20027030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7D7B5E1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</w:t>
            </w:r>
          </w:p>
        </w:tc>
        <w:tc>
          <w:tcPr>
            <w:tcW w:w="1354" w:type="dxa"/>
            <w:noWrap/>
            <w:vAlign w:val="center"/>
            <w:hideMark/>
          </w:tcPr>
          <w:p w14:paraId="496943A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NEJM</w:t>
            </w:r>
          </w:p>
        </w:tc>
        <w:tc>
          <w:tcPr>
            <w:tcW w:w="1273" w:type="dxa"/>
            <w:noWrap/>
            <w:vAlign w:val="center"/>
            <w:hideMark/>
          </w:tcPr>
          <w:p w14:paraId="6655C32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032D56D7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Testosterone Treatment and Fractures in Men with Hypogonadism</w:t>
            </w:r>
          </w:p>
        </w:tc>
        <w:tc>
          <w:tcPr>
            <w:tcW w:w="1814" w:type="dxa"/>
            <w:noWrap/>
            <w:vAlign w:val="center"/>
            <w:hideMark/>
          </w:tcPr>
          <w:p w14:paraId="7D692023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Endocrine</w:t>
            </w:r>
          </w:p>
        </w:tc>
        <w:tc>
          <w:tcPr>
            <w:tcW w:w="1050" w:type="dxa"/>
            <w:noWrap/>
            <w:vAlign w:val="center"/>
            <w:hideMark/>
          </w:tcPr>
          <w:p w14:paraId="4502DB19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IV</w:t>
            </w:r>
          </w:p>
        </w:tc>
        <w:tc>
          <w:tcPr>
            <w:tcW w:w="1639" w:type="dxa"/>
            <w:noWrap/>
            <w:vAlign w:val="center"/>
            <w:hideMark/>
          </w:tcPr>
          <w:p w14:paraId="199C2CB8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NCT03518034</w:t>
            </w:r>
          </w:p>
        </w:tc>
        <w:tc>
          <w:tcPr>
            <w:tcW w:w="1189" w:type="dxa"/>
            <w:noWrap/>
            <w:vAlign w:val="center"/>
            <w:hideMark/>
          </w:tcPr>
          <w:p w14:paraId="176C522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31979A2D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20BFE365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896B1FD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3</w:t>
            </w:r>
          </w:p>
        </w:tc>
        <w:tc>
          <w:tcPr>
            <w:tcW w:w="1354" w:type="dxa"/>
            <w:noWrap/>
            <w:vAlign w:val="center"/>
            <w:hideMark/>
          </w:tcPr>
          <w:p w14:paraId="6836F480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NEJM</w:t>
            </w:r>
          </w:p>
        </w:tc>
        <w:tc>
          <w:tcPr>
            <w:tcW w:w="1273" w:type="dxa"/>
            <w:noWrap/>
            <w:vAlign w:val="center"/>
            <w:hideMark/>
          </w:tcPr>
          <w:p w14:paraId="1F4EB82E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29FC82D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Azithromycin during Routine Well-Infant Visits to Prevent Death</w:t>
            </w:r>
          </w:p>
        </w:tc>
        <w:tc>
          <w:tcPr>
            <w:tcW w:w="1814" w:type="dxa"/>
            <w:noWrap/>
            <w:vAlign w:val="center"/>
            <w:hideMark/>
          </w:tcPr>
          <w:p w14:paraId="573472E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Paediatric</w:t>
            </w:r>
          </w:p>
        </w:tc>
        <w:tc>
          <w:tcPr>
            <w:tcW w:w="1050" w:type="dxa"/>
            <w:noWrap/>
            <w:vAlign w:val="center"/>
            <w:hideMark/>
          </w:tcPr>
          <w:p w14:paraId="1229115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IV</w:t>
            </w:r>
          </w:p>
        </w:tc>
        <w:tc>
          <w:tcPr>
            <w:tcW w:w="1639" w:type="dxa"/>
            <w:noWrap/>
            <w:vAlign w:val="center"/>
            <w:hideMark/>
          </w:tcPr>
          <w:p w14:paraId="4C8AEF0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NCT03676764</w:t>
            </w:r>
          </w:p>
        </w:tc>
        <w:tc>
          <w:tcPr>
            <w:tcW w:w="1189" w:type="dxa"/>
            <w:noWrap/>
            <w:vAlign w:val="center"/>
            <w:hideMark/>
          </w:tcPr>
          <w:p w14:paraId="0900B0C5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7A8A2525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5135D720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C836358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4</w:t>
            </w:r>
          </w:p>
        </w:tc>
        <w:tc>
          <w:tcPr>
            <w:tcW w:w="1354" w:type="dxa"/>
            <w:noWrap/>
            <w:vAlign w:val="center"/>
            <w:hideMark/>
          </w:tcPr>
          <w:p w14:paraId="57871603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NEJM</w:t>
            </w:r>
          </w:p>
        </w:tc>
        <w:tc>
          <w:tcPr>
            <w:tcW w:w="1273" w:type="dxa"/>
            <w:noWrap/>
            <w:vAlign w:val="center"/>
            <w:hideMark/>
          </w:tcPr>
          <w:p w14:paraId="7464526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47BAD133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Efficacy and Safety of Acoramidis in Transthyretin Amyloid Cardiomyopathy</w:t>
            </w:r>
          </w:p>
        </w:tc>
        <w:tc>
          <w:tcPr>
            <w:tcW w:w="1814" w:type="dxa"/>
            <w:noWrap/>
            <w:vAlign w:val="center"/>
            <w:hideMark/>
          </w:tcPr>
          <w:p w14:paraId="64F874F5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Cardiology</w:t>
            </w:r>
          </w:p>
        </w:tc>
        <w:tc>
          <w:tcPr>
            <w:tcW w:w="1050" w:type="dxa"/>
            <w:noWrap/>
            <w:vAlign w:val="center"/>
            <w:hideMark/>
          </w:tcPr>
          <w:p w14:paraId="2AABB645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187C31B0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NCT03860935</w:t>
            </w:r>
          </w:p>
        </w:tc>
        <w:tc>
          <w:tcPr>
            <w:tcW w:w="1189" w:type="dxa"/>
            <w:noWrap/>
            <w:vAlign w:val="center"/>
            <w:hideMark/>
          </w:tcPr>
          <w:p w14:paraId="6F8ADE63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3D8277A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06F8C278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98AD812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5</w:t>
            </w:r>
          </w:p>
        </w:tc>
        <w:tc>
          <w:tcPr>
            <w:tcW w:w="1354" w:type="dxa"/>
            <w:noWrap/>
            <w:vAlign w:val="center"/>
            <w:hideMark/>
          </w:tcPr>
          <w:p w14:paraId="7E8FDE29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JAMA</w:t>
            </w:r>
          </w:p>
        </w:tc>
        <w:tc>
          <w:tcPr>
            <w:tcW w:w="1273" w:type="dxa"/>
            <w:noWrap/>
            <w:vAlign w:val="center"/>
            <w:hideMark/>
          </w:tcPr>
          <w:p w14:paraId="704AD0DD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vAlign w:val="center"/>
            <w:hideMark/>
          </w:tcPr>
          <w:p w14:paraId="013BA5CD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Continued Treatment With Tirzepatide for Maintenance of Weight Reduction in Adults With Obesity</w:t>
            </w: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br/>
              <w:t>The SURMOUNT-4 Randomized Clinical Trial</w:t>
            </w:r>
          </w:p>
        </w:tc>
        <w:tc>
          <w:tcPr>
            <w:tcW w:w="1814" w:type="dxa"/>
            <w:noWrap/>
            <w:vAlign w:val="center"/>
            <w:hideMark/>
          </w:tcPr>
          <w:p w14:paraId="6854522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Endocrine</w:t>
            </w:r>
          </w:p>
        </w:tc>
        <w:tc>
          <w:tcPr>
            <w:tcW w:w="1050" w:type="dxa"/>
            <w:noWrap/>
            <w:vAlign w:val="center"/>
            <w:hideMark/>
          </w:tcPr>
          <w:p w14:paraId="05E0BA9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196269E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NCT04660643</w:t>
            </w:r>
          </w:p>
        </w:tc>
        <w:tc>
          <w:tcPr>
            <w:tcW w:w="1189" w:type="dxa"/>
            <w:noWrap/>
            <w:vAlign w:val="center"/>
            <w:hideMark/>
          </w:tcPr>
          <w:p w14:paraId="6F84935C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4C161A3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59B9009C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0492D32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6</w:t>
            </w:r>
          </w:p>
        </w:tc>
        <w:tc>
          <w:tcPr>
            <w:tcW w:w="1354" w:type="dxa"/>
            <w:noWrap/>
            <w:vAlign w:val="center"/>
            <w:hideMark/>
          </w:tcPr>
          <w:p w14:paraId="62578219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The Lancet</w:t>
            </w:r>
          </w:p>
        </w:tc>
        <w:tc>
          <w:tcPr>
            <w:tcW w:w="1273" w:type="dxa"/>
            <w:noWrap/>
            <w:vAlign w:val="center"/>
            <w:hideMark/>
          </w:tcPr>
          <w:p w14:paraId="5226D5FE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2024/2</w:t>
            </w:r>
          </w:p>
        </w:tc>
        <w:tc>
          <w:tcPr>
            <w:tcW w:w="3962" w:type="dxa"/>
            <w:noWrap/>
            <w:vAlign w:val="center"/>
            <w:hideMark/>
          </w:tcPr>
          <w:p w14:paraId="36EC541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Clinical Efficacy of Typhoid Conjugate Vaccine (Vi-TCV) Among Children Age 9 Months Through 12 Years in Blantyre, Malawi</w:t>
            </w:r>
          </w:p>
        </w:tc>
        <w:tc>
          <w:tcPr>
            <w:tcW w:w="1814" w:type="dxa"/>
            <w:noWrap/>
            <w:vAlign w:val="center"/>
            <w:hideMark/>
          </w:tcPr>
          <w:p w14:paraId="236359B1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Infectious Disease</w:t>
            </w:r>
          </w:p>
        </w:tc>
        <w:tc>
          <w:tcPr>
            <w:tcW w:w="1050" w:type="dxa"/>
            <w:noWrap/>
            <w:vAlign w:val="center"/>
            <w:hideMark/>
          </w:tcPr>
          <w:p w14:paraId="35749286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5425F37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NCT03299426</w:t>
            </w:r>
          </w:p>
        </w:tc>
        <w:tc>
          <w:tcPr>
            <w:tcW w:w="1189" w:type="dxa"/>
            <w:noWrap/>
            <w:vAlign w:val="center"/>
            <w:hideMark/>
          </w:tcPr>
          <w:p w14:paraId="4EFB40A7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17EC27A1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1599F948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2959588F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7</w:t>
            </w:r>
          </w:p>
        </w:tc>
        <w:tc>
          <w:tcPr>
            <w:tcW w:w="1354" w:type="dxa"/>
            <w:noWrap/>
            <w:vAlign w:val="center"/>
            <w:hideMark/>
          </w:tcPr>
          <w:p w14:paraId="63A73166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The Lancet</w:t>
            </w:r>
          </w:p>
        </w:tc>
        <w:tc>
          <w:tcPr>
            <w:tcW w:w="1273" w:type="dxa"/>
            <w:noWrap/>
            <w:vAlign w:val="center"/>
            <w:hideMark/>
          </w:tcPr>
          <w:p w14:paraId="201F12E3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6324597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Chemoprevention for malaria with monthly intermittent preventive treatment with dihydroartemisinin–piperaquine in pregnant women living with HIV on daily co-trimoxazole in Kenya and Malawi: a randomised, double-blind, placebo-controlled trial</w:t>
            </w:r>
          </w:p>
        </w:tc>
        <w:tc>
          <w:tcPr>
            <w:tcW w:w="1814" w:type="dxa"/>
            <w:noWrap/>
            <w:vAlign w:val="center"/>
            <w:hideMark/>
          </w:tcPr>
          <w:p w14:paraId="0489239E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Infectious Disease</w:t>
            </w:r>
          </w:p>
        </w:tc>
        <w:tc>
          <w:tcPr>
            <w:tcW w:w="1050" w:type="dxa"/>
            <w:noWrap/>
            <w:vAlign w:val="center"/>
            <w:hideMark/>
          </w:tcPr>
          <w:p w14:paraId="1C2821C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4AA42CFA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NCT04158713</w:t>
            </w:r>
          </w:p>
        </w:tc>
        <w:tc>
          <w:tcPr>
            <w:tcW w:w="1189" w:type="dxa"/>
            <w:noWrap/>
            <w:vAlign w:val="center"/>
            <w:hideMark/>
          </w:tcPr>
          <w:p w14:paraId="175E4552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16960DBE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685D387A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EFD0F07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lastRenderedPageBreak/>
              <w:t>8</w:t>
            </w:r>
          </w:p>
        </w:tc>
        <w:tc>
          <w:tcPr>
            <w:tcW w:w="1354" w:type="dxa"/>
            <w:noWrap/>
            <w:vAlign w:val="center"/>
            <w:hideMark/>
          </w:tcPr>
          <w:p w14:paraId="5D36718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The Lancet</w:t>
            </w:r>
          </w:p>
        </w:tc>
        <w:tc>
          <w:tcPr>
            <w:tcW w:w="1273" w:type="dxa"/>
            <w:noWrap/>
            <w:vAlign w:val="center"/>
            <w:hideMark/>
          </w:tcPr>
          <w:p w14:paraId="0CAD6CA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742D459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Phase III Study of Safety and Efficacy of Ligelizumab in the Treatment of CSU in Adolescents and Adults Inadequately Controlled With H1-antihistamines</w:t>
            </w:r>
          </w:p>
        </w:tc>
        <w:tc>
          <w:tcPr>
            <w:tcW w:w="1814" w:type="dxa"/>
            <w:noWrap/>
            <w:vAlign w:val="center"/>
            <w:hideMark/>
          </w:tcPr>
          <w:p w14:paraId="07D46BC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Dermatology</w:t>
            </w:r>
          </w:p>
        </w:tc>
        <w:tc>
          <w:tcPr>
            <w:tcW w:w="1050" w:type="dxa"/>
            <w:noWrap/>
            <w:vAlign w:val="center"/>
            <w:hideMark/>
          </w:tcPr>
          <w:p w14:paraId="7B389AA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45929459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NCT03580369</w:t>
            </w:r>
          </w:p>
        </w:tc>
        <w:tc>
          <w:tcPr>
            <w:tcW w:w="1189" w:type="dxa"/>
            <w:noWrap/>
            <w:vAlign w:val="center"/>
            <w:hideMark/>
          </w:tcPr>
          <w:p w14:paraId="2351E87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1850A1D5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2537B936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5B4C80D4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9</w:t>
            </w:r>
          </w:p>
        </w:tc>
        <w:tc>
          <w:tcPr>
            <w:tcW w:w="1354" w:type="dxa"/>
            <w:noWrap/>
            <w:vAlign w:val="center"/>
            <w:hideMark/>
          </w:tcPr>
          <w:p w14:paraId="20F71D0F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The Lancet</w:t>
            </w:r>
          </w:p>
        </w:tc>
        <w:tc>
          <w:tcPr>
            <w:tcW w:w="1273" w:type="dxa"/>
            <w:noWrap/>
            <w:vAlign w:val="center"/>
            <w:hideMark/>
          </w:tcPr>
          <w:p w14:paraId="43228C56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1F6E8873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Efficacy and safety of the muscarinic receptor agonist KarXT (xanomeline–trospium) in schizophrenia (EMERGENT-2) in the USA: results from a randomised, double-blind, placebo-controlled, flexible-dose phase 3 trial</w:t>
            </w:r>
          </w:p>
        </w:tc>
        <w:tc>
          <w:tcPr>
            <w:tcW w:w="1814" w:type="dxa"/>
            <w:noWrap/>
            <w:vAlign w:val="center"/>
            <w:hideMark/>
          </w:tcPr>
          <w:p w14:paraId="6E756902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Psychiatric</w:t>
            </w:r>
          </w:p>
        </w:tc>
        <w:tc>
          <w:tcPr>
            <w:tcW w:w="1050" w:type="dxa"/>
            <w:noWrap/>
            <w:vAlign w:val="center"/>
            <w:hideMark/>
          </w:tcPr>
          <w:p w14:paraId="294A6BA3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27101413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NCT04659161</w:t>
            </w:r>
          </w:p>
        </w:tc>
        <w:tc>
          <w:tcPr>
            <w:tcW w:w="1189" w:type="dxa"/>
            <w:noWrap/>
            <w:vAlign w:val="center"/>
            <w:hideMark/>
          </w:tcPr>
          <w:p w14:paraId="2EDED7CC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36097E1C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1BE6C5F9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65C91991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10</w:t>
            </w:r>
          </w:p>
        </w:tc>
        <w:tc>
          <w:tcPr>
            <w:tcW w:w="1354" w:type="dxa"/>
            <w:noWrap/>
            <w:vAlign w:val="center"/>
            <w:hideMark/>
          </w:tcPr>
          <w:p w14:paraId="6EE6BE6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Nature Medicine</w:t>
            </w:r>
          </w:p>
        </w:tc>
        <w:tc>
          <w:tcPr>
            <w:tcW w:w="1273" w:type="dxa"/>
            <w:noWrap/>
            <w:vAlign w:val="center"/>
            <w:hideMark/>
          </w:tcPr>
          <w:p w14:paraId="2523FA8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2024/1</w:t>
            </w:r>
          </w:p>
        </w:tc>
        <w:tc>
          <w:tcPr>
            <w:tcW w:w="3962" w:type="dxa"/>
            <w:noWrap/>
            <w:vAlign w:val="center"/>
            <w:hideMark/>
          </w:tcPr>
          <w:p w14:paraId="704F8115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First-line talazoparib with enzalutamide in HRR-deficient metastatic castration-resistant prostate cancer: the phase 3 TALAPRO-2 trial</w:t>
            </w:r>
          </w:p>
        </w:tc>
        <w:tc>
          <w:tcPr>
            <w:tcW w:w="1814" w:type="dxa"/>
            <w:noWrap/>
            <w:vAlign w:val="center"/>
            <w:hideMark/>
          </w:tcPr>
          <w:p w14:paraId="3517F39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Oncology</w:t>
            </w:r>
          </w:p>
        </w:tc>
        <w:tc>
          <w:tcPr>
            <w:tcW w:w="1050" w:type="dxa"/>
            <w:noWrap/>
            <w:vAlign w:val="center"/>
            <w:hideMark/>
          </w:tcPr>
          <w:p w14:paraId="72E9F14D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13DB0F4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NCT03395197</w:t>
            </w:r>
          </w:p>
        </w:tc>
        <w:tc>
          <w:tcPr>
            <w:tcW w:w="1189" w:type="dxa"/>
            <w:noWrap/>
            <w:vAlign w:val="center"/>
            <w:hideMark/>
          </w:tcPr>
          <w:p w14:paraId="55E718B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080" w:type="dxa"/>
            <w:noWrap/>
            <w:vAlign w:val="center"/>
            <w:hideMark/>
          </w:tcPr>
          <w:p w14:paraId="1DAD496E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1E08A536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F45A018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11</w:t>
            </w:r>
          </w:p>
        </w:tc>
        <w:tc>
          <w:tcPr>
            <w:tcW w:w="1354" w:type="dxa"/>
            <w:noWrap/>
            <w:vAlign w:val="center"/>
            <w:hideMark/>
          </w:tcPr>
          <w:p w14:paraId="2D1BB33A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1AB79150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0F4E6A5B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Colchicine in Acutely Decompensated HFREF</w:t>
            </w:r>
          </w:p>
        </w:tc>
        <w:tc>
          <w:tcPr>
            <w:tcW w:w="1814" w:type="dxa"/>
            <w:noWrap/>
            <w:vAlign w:val="center"/>
            <w:hideMark/>
          </w:tcPr>
          <w:p w14:paraId="4E52D2B0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Cardiology</w:t>
            </w:r>
          </w:p>
        </w:tc>
        <w:tc>
          <w:tcPr>
            <w:tcW w:w="1050" w:type="dxa"/>
            <w:noWrap/>
            <w:vAlign w:val="center"/>
            <w:hideMark/>
          </w:tcPr>
          <w:p w14:paraId="5A699B8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IV</w:t>
            </w:r>
          </w:p>
        </w:tc>
        <w:tc>
          <w:tcPr>
            <w:tcW w:w="1639" w:type="dxa"/>
            <w:noWrap/>
            <w:vAlign w:val="center"/>
            <w:hideMark/>
          </w:tcPr>
          <w:p w14:paraId="208071F9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NCT06286423</w:t>
            </w:r>
          </w:p>
        </w:tc>
        <w:tc>
          <w:tcPr>
            <w:tcW w:w="1189" w:type="dxa"/>
            <w:noWrap/>
            <w:vAlign w:val="center"/>
            <w:hideMark/>
          </w:tcPr>
          <w:p w14:paraId="7AA10E75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2/29/2024</w:t>
            </w:r>
          </w:p>
        </w:tc>
        <w:tc>
          <w:tcPr>
            <w:tcW w:w="1080" w:type="dxa"/>
            <w:noWrap/>
            <w:vAlign w:val="center"/>
            <w:hideMark/>
          </w:tcPr>
          <w:p w14:paraId="0FB496C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110D6BB5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CB6D172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12</w:t>
            </w:r>
          </w:p>
        </w:tc>
        <w:tc>
          <w:tcPr>
            <w:tcW w:w="1354" w:type="dxa"/>
            <w:noWrap/>
            <w:vAlign w:val="center"/>
            <w:hideMark/>
          </w:tcPr>
          <w:p w14:paraId="1C8DF189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0C77D68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6C6EF1D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Clinical Trial of the Efficacy and Safety of Raphamin in Prevention of Recurrences of Chronic Bacterial Cystitis</w:t>
            </w:r>
          </w:p>
        </w:tc>
        <w:tc>
          <w:tcPr>
            <w:tcW w:w="1814" w:type="dxa"/>
            <w:noWrap/>
            <w:vAlign w:val="center"/>
            <w:hideMark/>
          </w:tcPr>
          <w:p w14:paraId="77414A74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Infectious Disease</w:t>
            </w:r>
          </w:p>
        </w:tc>
        <w:tc>
          <w:tcPr>
            <w:tcW w:w="1050" w:type="dxa"/>
            <w:noWrap/>
            <w:vAlign w:val="center"/>
            <w:hideMark/>
          </w:tcPr>
          <w:p w14:paraId="1ED23390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0110D2B0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NCT06284265</w:t>
            </w:r>
          </w:p>
        </w:tc>
        <w:tc>
          <w:tcPr>
            <w:tcW w:w="1189" w:type="dxa"/>
            <w:noWrap/>
            <w:vAlign w:val="center"/>
            <w:hideMark/>
          </w:tcPr>
          <w:p w14:paraId="7D6F6654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2/28/2024</w:t>
            </w:r>
          </w:p>
        </w:tc>
        <w:tc>
          <w:tcPr>
            <w:tcW w:w="1080" w:type="dxa"/>
            <w:noWrap/>
            <w:vAlign w:val="center"/>
            <w:hideMark/>
          </w:tcPr>
          <w:p w14:paraId="35B58DC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37C1A0FB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AE9B2C1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13</w:t>
            </w:r>
          </w:p>
        </w:tc>
        <w:tc>
          <w:tcPr>
            <w:tcW w:w="1354" w:type="dxa"/>
            <w:noWrap/>
            <w:vAlign w:val="center"/>
            <w:hideMark/>
          </w:tcPr>
          <w:p w14:paraId="027B723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54D8F16F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21B3002D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Phase 3 Study of LNK01001 Capsule in Moderately to Severely Active Rheumatoid Arthritis</w:t>
            </w:r>
          </w:p>
        </w:tc>
        <w:tc>
          <w:tcPr>
            <w:tcW w:w="1814" w:type="dxa"/>
            <w:noWrap/>
            <w:vAlign w:val="center"/>
            <w:hideMark/>
          </w:tcPr>
          <w:p w14:paraId="6B1A8873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Rheumatology</w:t>
            </w:r>
          </w:p>
        </w:tc>
        <w:tc>
          <w:tcPr>
            <w:tcW w:w="1050" w:type="dxa"/>
            <w:noWrap/>
            <w:vAlign w:val="center"/>
            <w:hideMark/>
          </w:tcPr>
          <w:p w14:paraId="73F1964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161E9D86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NCT06276998</w:t>
            </w:r>
          </w:p>
        </w:tc>
        <w:tc>
          <w:tcPr>
            <w:tcW w:w="1189" w:type="dxa"/>
            <w:noWrap/>
            <w:vAlign w:val="center"/>
            <w:hideMark/>
          </w:tcPr>
          <w:p w14:paraId="2F8DEA0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2/26/2024</w:t>
            </w:r>
          </w:p>
        </w:tc>
        <w:tc>
          <w:tcPr>
            <w:tcW w:w="1080" w:type="dxa"/>
            <w:noWrap/>
            <w:vAlign w:val="center"/>
            <w:hideMark/>
          </w:tcPr>
          <w:p w14:paraId="7258124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07FF163D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A4994C7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14</w:t>
            </w:r>
          </w:p>
        </w:tc>
        <w:tc>
          <w:tcPr>
            <w:tcW w:w="1354" w:type="dxa"/>
            <w:noWrap/>
            <w:vAlign w:val="center"/>
            <w:hideMark/>
          </w:tcPr>
          <w:p w14:paraId="13DD56B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2D5525DE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369A78A3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Comparison of Postoperative Pain Score Between Perioperative Intravenous Ketamine and Placebo in Patients Undergoing Unilateral Total Knee Arthroplasty Under General Anesthesia</w:t>
            </w:r>
          </w:p>
        </w:tc>
        <w:tc>
          <w:tcPr>
            <w:tcW w:w="1814" w:type="dxa"/>
            <w:noWrap/>
            <w:vAlign w:val="center"/>
            <w:hideMark/>
          </w:tcPr>
          <w:p w14:paraId="5F12C786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 xml:space="preserve">Anesthesia </w:t>
            </w:r>
          </w:p>
        </w:tc>
        <w:tc>
          <w:tcPr>
            <w:tcW w:w="1050" w:type="dxa"/>
            <w:noWrap/>
            <w:vAlign w:val="center"/>
            <w:hideMark/>
          </w:tcPr>
          <w:p w14:paraId="6E7D565D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IV</w:t>
            </w:r>
          </w:p>
        </w:tc>
        <w:tc>
          <w:tcPr>
            <w:tcW w:w="1639" w:type="dxa"/>
            <w:noWrap/>
            <w:vAlign w:val="center"/>
            <w:hideMark/>
          </w:tcPr>
          <w:p w14:paraId="5967233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NCT06267638</w:t>
            </w:r>
          </w:p>
        </w:tc>
        <w:tc>
          <w:tcPr>
            <w:tcW w:w="1189" w:type="dxa"/>
            <w:noWrap/>
            <w:vAlign w:val="center"/>
            <w:hideMark/>
          </w:tcPr>
          <w:p w14:paraId="64BE2747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2/20/2024</w:t>
            </w:r>
          </w:p>
        </w:tc>
        <w:tc>
          <w:tcPr>
            <w:tcW w:w="1080" w:type="dxa"/>
            <w:noWrap/>
            <w:vAlign w:val="center"/>
            <w:hideMark/>
          </w:tcPr>
          <w:p w14:paraId="6DF5C12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547A83FC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6004D064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15</w:t>
            </w:r>
          </w:p>
        </w:tc>
        <w:tc>
          <w:tcPr>
            <w:tcW w:w="1354" w:type="dxa"/>
            <w:noWrap/>
            <w:vAlign w:val="center"/>
            <w:hideMark/>
          </w:tcPr>
          <w:p w14:paraId="33BB68F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37B5AC82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4FA7D19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 xml:space="preserve">Clinical Trial of the Efficacy and Safety of Raphamin in Combined </w:t>
            </w: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lastRenderedPageBreak/>
              <w:t>Treatment of Community-acquired Pneumonia</w:t>
            </w:r>
          </w:p>
        </w:tc>
        <w:tc>
          <w:tcPr>
            <w:tcW w:w="1814" w:type="dxa"/>
            <w:noWrap/>
            <w:vAlign w:val="center"/>
            <w:hideMark/>
          </w:tcPr>
          <w:p w14:paraId="742069F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lastRenderedPageBreak/>
              <w:t>Infectious Disease</w:t>
            </w:r>
          </w:p>
        </w:tc>
        <w:tc>
          <w:tcPr>
            <w:tcW w:w="1050" w:type="dxa"/>
            <w:noWrap/>
            <w:vAlign w:val="center"/>
            <w:hideMark/>
          </w:tcPr>
          <w:p w14:paraId="1A8D2575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33E2CA5A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NCT06263881</w:t>
            </w:r>
          </w:p>
        </w:tc>
        <w:tc>
          <w:tcPr>
            <w:tcW w:w="1189" w:type="dxa"/>
            <w:noWrap/>
            <w:vAlign w:val="center"/>
            <w:hideMark/>
          </w:tcPr>
          <w:p w14:paraId="1E79B829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2/16/2024</w:t>
            </w:r>
          </w:p>
        </w:tc>
        <w:tc>
          <w:tcPr>
            <w:tcW w:w="1080" w:type="dxa"/>
            <w:noWrap/>
            <w:vAlign w:val="center"/>
            <w:hideMark/>
          </w:tcPr>
          <w:p w14:paraId="3E9AD21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2B8E38B3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B264D42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16</w:t>
            </w:r>
          </w:p>
        </w:tc>
        <w:tc>
          <w:tcPr>
            <w:tcW w:w="1354" w:type="dxa"/>
            <w:noWrap/>
            <w:vAlign w:val="center"/>
            <w:hideMark/>
          </w:tcPr>
          <w:p w14:paraId="076EE0B4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43AF1974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2F705C98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Study of Guselkumab in Pediatric Participants With Moderately to Severely Active Ulcerative Colitis (QUASAR Jr)</w:t>
            </w:r>
          </w:p>
        </w:tc>
        <w:tc>
          <w:tcPr>
            <w:tcW w:w="1814" w:type="dxa"/>
            <w:noWrap/>
            <w:vAlign w:val="center"/>
            <w:hideMark/>
          </w:tcPr>
          <w:p w14:paraId="049D0AD0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Gastroenterology</w:t>
            </w:r>
          </w:p>
        </w:tc>
        <w:tc>
          <w:tcPr>
            <w:tcW w:w="1050" w:type="dxa"/>
            <w:noWrap/>
            <w:vAlign w:val="center"/>
            <w:hideMark/>
          </w:tcPr>
          <w:p w14:paraId="17B48E01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04B877E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NCT06260163</w:t>
            </w:r>
          </w:p>
        </w:tc>
        <w:tc>
          <w:tcPr>
            <w:tcW w:w="1189" w:type="dxa"/>
            <w:noWrap/>
            <w:vAlign w:val="center"/>
            <w:hideMark/>
          </w:tcPr>
          <w:p w14:paraId="33DDCED0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2/15/2024</w:t>
            </w:r>
          </w:p>
        </w:tc>
        <w:tc>
          <w:tcPr>
            <w:tcW w:w="1080" w:type="dxa"/>
            <w:noWrap/>
            <w:vAlign w:val="center"/>
            <w:hideMark/>
          </w:tcPr>
          <w:p w14:paraId="5F53C3D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72058C3A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0A21FA15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17</w:t>
            </w:r>
          </w:p>
        </w:tc>
        <w:tc>
          <w:tcPr>
            <w:tcW w:w="1354" w:type="dxa"/>
            <w:noWrap/>
            <w:vAlign w:val="center"/>
            <w:hideMark/>
          </w:tcPr>
          <w:p w14:paraId="54839CF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5828B4EC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2CB1A6BD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Study to Evaluate Mavacamten in Adolescents With Symptomatic Obstructive Hypertrophic Cardiomyopathy</w:t>
            </w:r>
          </w:p>
        </w:tc>
        <w:tc>
          <w:tcPr>
            <w:tcW w:w="1814" w:type="dxa"/>
            <w:noWrap/>
            <w:vAlign w:val="center"/>
            <w:hideMark/>
          </w:tcPr>
          <w:p w14:paraId="365674CE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Cardiology</w:t>
            </w:r>
          </w:p>
        </w:tc>
        <w:tc>
          <w:tcPr>
            <w:tcW w:w="1050" w:type="dxa"/>
            <w:noWrap/>
            <w:vAlign w:val="center"/>
            <w:hideMark/>
          </w:tcPr>
          <w:p w14:paraId="2DCBDC0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00C3CBB0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NCT06253221</w:t>
            </w:r>
          </w:p>
        </w:tc>
        <w:tc>
          <w:tcPr>
            <w:tcW w:w="1189" w:type="dxa"/>
            <w:noWrap/>
            <w:vAlign w:val="center"/>
            <w:hideMark/>
          </w:tcPr>
          <w:p w14:paraId="7269D0B0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2/12/2024</w:t>
            </w:r>
          </w:p>
        </w:tc>
        <w:tc>
          <w:tcPr>
            <w:tcW w:w="1080" w:type="dxa"/>
            <w:noWrap/>
            <w:vAlign w:val="center"/>
            <w:hideMark/>
          </w:tcPr>
          <w:p w14:paraId="6077E127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0F55DDB9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59E17EF6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18</w:t>
            </w:r>
          </w:p>
        </w:tc>
        <w:tc>
          <w:tcPr>
            <w:tcW w:w="1354" w:type="dxa"/>
            <w:noWrap/>
            <w:vAlign w:val="center"/>
            <w:hideMark/>
          </w:tcPr>
          <w:p w14:paraId="3AD080CE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6BEA25B7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10B5D73E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Study to Investigate the Effects of PT027 (Budesonide/​Albuterol Sulfate) Metered-dose Inhaler Compared With Placebo on Exercise-Induced Bronchoconstriction in Adult Patients With Asthma (BREATH)</w:t>
            </w:r>
          </w:p>
        </w:tc>
        <w:tc>
          <w:tcPr>
            <w:tcW w:w="1814" w:type="dxa"/>
            <w:noWrap/>
            <w:vAlign w:val="center"/>
            <w:hideMark/>
          </w:tcPr>
          <w:p w14:paraId="2B0F1F7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Respiratory</w:t>
            </w:r>
          </w:p>
        </w:tc>
        <w:tc>
          <w:tcPr>
            <w:tcW w:w="1050" w:type="dxa"/>
            <w:noWrap/>
            <w:vAlign w:val="center"/>
            <w:hideMark/>
          </w:tcPr>
          <w:p w14:paraId="7E361B8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7CCBC078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NCT06245551</w:t>
            </w:r>
          </w:p>
        </w:tc>
        <w:tc>
          <w:tcPr>
            <w:tcW w:w="1189" w:type="dxa"/>
            <w:noWrap/>
            <w:vAlign w:val="center"/>
            <w:hideMark/>
          </w:tcPr>
          <w:p w14:paraId="2FA3AA1D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2/7/2024</w:t>
            </w:r>
          </w:p>
        </w:tc>
        <w:tc>
          <w:tcPr>
            <w:tcW w:w="1080" w:type="dxa"/>
            <w:noWrap/>
            <w:vAlign w:val="center"/>
            <w:hideMark/>
          </w:tcPr>
          <w:p w14:paraId="34C1F161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1E4E165A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6C27C09F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19</w:t>
            </w:r>
          </w:p>
        </w:tc>
        <w:tc>
          <w:tcPr>
            <w:tcW w:w="1354" w:type="dxa"/>
            <w:noWrap/>
            <w:vAlign w:val="center"/>
            <w:hideMark/>
          </w:tcPr>
          <w:p w14:paraId="4C15795D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6EDDCA4F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4DA73D9F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Perfenidone in Type 2 Diabetic Patients With Diabetic Neuropathy (PenDaNt)</w:t>
            </w:r>
          </w:p>
        </w:tc>
        <w:tc>
          <w:tcPr>
            <w:tcW w:w="1814" w:type="dxa"/>
            <w:noWrap/>
            <w:vAlign w:val="center"/>
            <w:hideMark/>
          </w:tcPr>
          <w:p w14:paraId="23F3DF98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Endocrine</w:t>
            </w:r>
          </w:p>
        </w:tc>
        <w:tc>
          <w:tcPr>
            <w:tcW w:w="1050" w:type="dxa"/>
            <w:noWrap/>
            <w:vAlign w:val="center"/>
            <w:hideMark/>
          </w:tcPr>
          <w:p w14:paraId="5DD59419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IV</w:t>
            </w:r>
          </w:p>
        </w:tc>
        <w:tc>
          <w:tcPr>
            <w:tcW w:w="1639" w:type="dxa"/>
            <w:noWrap/>
            <w:vAlign w:val="center"/>
            <w:hideMark/>
          </w:tcPr>
          <w:p w14:paraId="659F60AA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NCT06224790</w:t>
            </w:r>
          </w:p>
        </w:tc>
        <w:tc>
          <w:tcPr>
            <w:tcW w:w="1189" w:type="dxa"/>
            <w:noWrap/>
            <w:vAlign w:val="center"/>
            <w:hideMark/>
          </w:tcPr>
          <w:p w14:paraId="2E4C54F1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1/25/2024</w:t>
            </w:r>
          </w:p>
        </w:tc>
        <w:tc>
          <w:tcPr>
            <w:tcW w:w="1080" w:type="dxa"/>
            <w:noWrap/>
            <w:vAlign w:val="center"/>
            <w:hideMark/>
          </w:tcPr>
          <w:p w14:paraId="41636CB4" w14:textId="77777777" w:rsidR="007466F0" w:rsidRPr="004B6E66" w:rsidRDefault="007466F0" w:rsidP="001969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  <w:tr w:rsidR="007466F0" w:rsidRPr="00411F43" w14:paraId="3E97B8D7" w14:textId="77777777" w:rsidTr="00A01F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34BC2FD2" w14:textId="77777777" w:rsidR="007466F0" w:rsidRPr="004B6E66" w:rsidRDefault="007466F0" w:rsidP="001969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20</w:t>
            </w:r>
          </w:p>
        </w:tc>
        <w:tc>
          <w:tcPr>
            <w:tcW w:w="1354" w:type="dxa"/>
            <w:noWrap/>
            <w:vAlign w:val="center"/>
            <w:hideMark/>
          </w:tcPr>
          <w:p w14:paraId="32835CD0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1273" w:type="dxa"/>
            <w:noWrap/>
            <w:vAlign w:val="center"/>
            <w:hideMark/>
          </w:tcPr>
          <w:p w14:paraId="748C6303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NA</w:t>
            </w:r>
          </w:p>
        </w:tc>
        <w:tc>
          <w:tcPr>
            <w:tcW w:w="3962" w:type="dxa"/>
            <w:noWrap/>
            <w:vAlign w:val="center"/>
            <w:hideMark/>
          </w:tcPr>
          <w:p w14:paraId="48BF66EC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A Study to Assess Long-term Safety of Fezolinetant Given to Japanese Women Going Through Menopause (Starlight 3)</w:t>
            </w:r>
          </w:p>
        </w:tc>
        <w:tc>
          <w:tcPr>
            <w:tcW w:w="1814" w:type="dxa"/>
            <w:noWrap/>
            <w:vAlign w:val="center"/>
            <w:hideMark/>
          </w:tcPr>
          <w:p w14:paraId="71DC36E2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Obstetrics and gynaecology</w:t>
            </w:r>
          </w:p>
        </w:tc>
        <w:tc>
          <w:tcPr>
            <w:tcW w:w="1050" w:type="dxa"/>
            <w:noWrap/>
            <w:vAlign w:val="center"/>
            <w:hideMark/>
          </w:tcPr>
          <w:p w14:paraId="2832836D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III</w:t>
            </w:r>
          </w:p>
        </w:tc>
        <w:tc>
          <w:tcPr>
            <w:tcW w:w="1639" w:type="dxa"/>
            <w:noWrap/>
            <w:vAlign w:val="center"/>
            <w:hideMark/>
          </w:tcPr>
          <w:p w14:paraId="34E8A1DF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NCT06206421</w:t>
            </w:r>
          </w:p>
        </w:tc>
        <w:tc>
          <w:tcPr>
            <w:tcW w:w="1189" w:type="dxa"/>
            <w:noWrap/>
            <w:vAlign w:val="center"/>
            <w:hideMark/>
          </w:tcPr>
          <w:p w14:paraId="5B96C778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1/16/2024</w:t>
            </w:r>
          </w:p>
        </w:tc>
        <w:tc>
          <w:tcPr>
            <w:tcW w:w="1080" w:type="dxa"/>
            <w:noWrap/>
            <w:vAlign w:val="center"/>
            <w:hideMark/>
          </w:tcPr>
          <w:p w14:paraId="426F302B" w14:textId="77777777" w:rsidR="007466F0" w:rsidRPr="004B6E66" w:rsidRDefault="007466F0" w:rsidP="00196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4B6E6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Placebo-control</w:t>
            </w:r>
          </w:p>
        </w:tc>
      </w:tr>
    </w:tbl>
    <w:p w14:paraId="5D9AD410" w14:textId="77777777" w:rsidR="007466F0" w:rsidRPr="00411F43" w:rsidRDefault="007466F0" w:rsidP="007466F0">
      <w:pPr>
        <w:rPr>
          <w:rFonts w:ascii="Arial" w:hAnsi="Arial" w:cs="Arial"/>
          <w:sz w:val="22"/>
          <w:szCs w:val="22"/>
        </w:rPr>
      </w:pPr>
    </w:p>
    <w:p w14:paraId="17C6605A" w14:textId="77777777" w:rsidR="007466F0" w:rsidRPr="00411F43" w:rsidRDefault="007466F0" w:rsidP="007466F0">
      <w:pPr>
        <w:rPr>
          <w:rFonts w:ascii="Arial" w:hAnsi="Arial" w:cs="Arial"/>
          <w:sz w:val="22"/>
          <w:szCs w:val="22"/>
        </w:rPr>
      </w:pPr>
      <w:r w:rsidRPr="00411F43">
        <w:rPr>
          <w:rFonts w:ascii="Arial" w:hAnsi="Arial" w:cs="Arial"/>
          <w:sz w:val="22"/>
          <w:szCs w:val="22"/>
        </w:rPr>
        <w:br w:type="page"/>
      </w:r>
    </w:p>
    <w:p w14:paraId="306B1DCF" w14:textId="77777777" w:rsidR="007466F0" w:rsidRPr="00411F43" w:rsidRDefault="007466F0" w:rsidP="007466F0">
      <w:pPr>
        <w:rPr>
          <w:rFonts w:ascii="Arial" w:hAnsi="Arial" w:cs="Arial"/>
          <w:sz w:val="22"/>
          <w:szCs w:val="22"/>
        </w:rPr>
        <w:sectPr w:rsidR="007466F0" w:rsidRPr="00411F43" w:rsidSect="00E50078">
          <w:footerReference w:type="even" r:id="rId7"/>
          <w:footerReference w:type="default" r:id="rId8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1753C7" w14:textId="01EFE900" w:rsidR="007466F0" w:rsidRDefault="002415D0" w:rsidP="007466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e</w:t>
      </w:r>
      <w:r w:rsidR="007466F0" w:rsidRPr="00910F93">
        <w:rPr>
          <w:rFonts w:ascii="Arial" w:hAnsi="Arial" w:cs="Arial"/>
          <w:b/>
          <w:bCs/>
          <w:sz w:val="22"/>
          <w:szCs w:val="22"/>
        </w:rPr>
        <w:t>Figure 1: Prompt for LLM based RCT design</w:t>
      </w:r>
      <w:r w:rsidR="007466F0">
        <w:rPr>
          <w:rFonts w:ascii="Arial" w:hAnsi="Arial" w:cs="Arial"/>
          <w:b/>
          <w:bCs/>
          <w:sz w:val="22"/>
          <w:szCs w:val="22"/>
        </w:rPr>
        <w:t xml:space="preserve"> (Temperature set as 0.2).</w:t>
      </w:r>
    </w:p>
    <w:p w14:paraId="72F5CEB5" w14:textId="77777777" w:rsidR="007466F0" w:rsidRPr="00910F93" w:rsidRDefault="007466F0" w:rsidP="007466F0">
      <w:pPr>
        <w:rPr>
          <w:rFonts w:ascii="Arial" w:hAnsi="Arial" w:cs="Arial"/>
          <w:b/>
          <w:bCs/>
          <w:sz w:val="22"/>
          <w:szCs w:val="22"/>
        </w:rPr>
      </w:pPr>
    </w:p>
    <w:p w14:paraId="5B07F8A7" w14:textId="77777777" w:rsidR="007466F0" w:rsidRDefault="007466F0" w:rsidP="007466F0">
      <w:pPr>
        <w:rPr>
          <w:rFonts w:ascii="Arial" w:hAnsi="Arial" w:cs="Arial"/>
          <w:sz w:val="22"/>
          <w:szCs w:val="22"/>
        </w:rPr>
      </w:pPr>
      <w:r w:rsidRPr="00792D0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36C309B" wp14:editId="4891A75D">
            <wp:extent cx="5731510" cy="7208520"/>
            <wp:effectExtent l="0" t="0" r="2540" b="0"/>
            <wp:docPr id="18319920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92094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0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0518" w14:textId="77777777" w:rsidR="007466F0" w:rsidRDefault="007466F0" w:rsidP="007466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C5F4F2B" w14:textId="22511550" w:rsidR="007466F0" w:rsidRDefault="002415D0" w:rsidP="007466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e</w:t>
      </w:r>
      <w:r w:rsidR="007466F0" w:rsidRPr="00910F93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7466F0">
        <w:rPr>
          <w:rFonts w:ascii="Arial" w:hAnsi="Arial" w:cs="Arial"/>
          <w:b/>
          <w:bCs/>
          <w:sz w:val="22"/>
          <w:szCs w:val="22"/>
        </w:rPr>
        <w:t>2</w:t>
      </w:r>
      <w:r w:rsidR="007466F0" w:rsidRPr="00910F93">
        <w:rPr>
          <w:rFonts w:ascii="Arial" w:hAnsi="Arial" w:cs="Arial"/>
          <w:b/>
          <w:bCs/>
          <w:sz w:val="22"/>
          <w:szCs w:val="22"/>
        </w:rPr>
        <w:t>:</w:t>
      </w:r>
      <w:r w:rsidR="007466F0">
        <w:rPr>
          <w:rFonts w:ascii="Arial" w:hAnsi="Arial" w:cs="Arial"/>
          <w:b/>
          <w:bCs/>
          <w:sz w:val="22"/>
          <w:szCs w:val="22"/>
        </w:rPr>
        <w:t xml:space="preserve"> Example output of </w:t>
      </w:r>
      <w:r w:rsidR="007466F0" w:rsidRPr="00910F93">
        <w:rPr>
          <w:rFonts w:ascii="Arial" w:hAnsi="Arial" w:cs="Arial"/>
          <w:b/>
          <w:bCs/>
          <w:sz w:val="22"/>
          <w:szCs w:val="22"/>
        </w:rPr>
        <w:t>LLM based RCT design</w:t>
      </w:r>
      <w:r w:rsidR="007466F0">
        <w:rPr>
          <w:rFonts w:ascii="Arial" w:hAnsi="Arial" w:cs="Arial"/>
          <w:b/>
          <w:bCs/>
          <w:sz w:val="22"/>
          <w:szCs w:val="22"/>
        </w:rPr>
        <w:t>.</w:t>
      </w:r>
    </w:p>
    <w:p w14:paraId="6F6D2293" w14:textId="77777777" w:rsidR="007466F0" w:rsidRDefault="007466F0" w:rsidP="007466F0">
      <w:pPr>
        <w:rPr>
          <w:rFonts w:ascii="Arial" w:hAnsi="Arial" w:cs="Arial"/>
          <w:b/>
          <w:bCs/>
          <w:sz w:val="22"/>
          <w:szCs w:val="22"/>
        </w:rPr>
      </w:pPr>
    </w:p>
    <w:p w14:paraId="48D44847" w14:textId="77777777" w:rsidR="007466F0" w:rsidRDefault="007466F0" w:rsidP="007466F0">
      <w:pPr>
        <w:rPr>
          <w:rFonts w:ascii="Arial" w:hAnsi="Arial" w:cs="Arial"/>
          <w:sz w:val="22"/>
          <w:szCs w:val="22"/>
        </w:rPr>
      </w:pPr>
      <w:r w:rsidRPr="0060185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6CE7AB2" wp14:editId="0A45C553">
            <wp:extent cx="5731510" cy="6378575"/>
            <wp:effectExtent l="0" t="0" r="2540" b="3175"/>
            <wp:docPr id="1949135387" name="Picture 1" descr="A screenshot of a medical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35387" name="Picture 1" descr="A screenshot of a medical for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7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B4C5" w14:textId="77777777" w:rsidR="007466F0" w:rsidRDefault="007466F0" w:rsidP="007466F0">
      <w:pPr>
        <w:rPr>
          <w:rFonts w:ascii="Arial" w:hAnsi="Arial" w:cs="Arial"/>
          <w:noProof/>
          <w:sz w:val="22"/>
          <w:szCs w:val="22"/>
        </w:rPr>
      </w:pPr>
    </w:p>
    <w:p w14:paraId="1154AF67" w14:textId="77777777" w:rsidR="007466F0" w:rsidRDefault="007466F0" w:rsidP="007466F0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</w:p>
    <w:p w14:paraId="549AC5CA" w14:textId="6DC29C68" w:rsidR="00B06843" w:rsidRDefault="005C0601" w:rsidP="00A01F11">
      <w:pPr>
        <w:rPr>
          <w:rFonts w:ascii="Arial" w:hAnsi="Arial" w:cs="Arial"/>
          <w:sz w:val="22"/>
          <w:szCs w:val="22"/>
        </w:rPr>
      </w:pPr>
      <w:r w:rsidRPr="00A01F11">
        <w:rPr>
          <w:rFonts w:ascii="Arial" w:hAnsi="Arial" w:cs="Arial"/>
          <w:b/>
          <w:bCs/>
          <w:sz w:val="22"/>
          <w:szCs w:val="22"/>
        </w:rPr>
        <w:lastRenderedPageBreak/>
        <w:t>e</w:t>
      </w:r>
      <w:r w:rsidR="007466F0" w:rsidRPr="005C0601">
        <w:rPr>
          <w:rFonts w:ascii="Arial" w:hAnsi="Arial" w:cs="Arial"/>
          <w:b/>
          <w:bCs/>
          <w:sz w:val="22"/>
          <w:szCs w:val="22"/>
        </w:rPr>
        <w:t>Table 2:  Averaged objective scoring of LLM output</w:t>
      </w:r>
      <w:r w:rsidR="00EA72B5" w:rsidRPr="005C0601">
        <w:rPr>
          <w:rFonts w:ascii="Arial" w:hAnsi="Arial" w:cs="Arial"/>
          <w:b/>
          <w:bCs/>
          <w:sz w:val="22"/>
          <w:szCs w:val="22"/>
        </w:rPr>
        <w:t>, with NLP based statistical</w:t>
      </w:r>
      <w:r w:rsidR="00EA72B5">
        <w:rPr>
          <w:rFonts w:ascii="Arial" w:hAnsi="Arial" w:cs="Arial"/>
          <w:b/>
          <w:bCs/>
          <w:sz w:val="22"/>
          <w:szCs w:val="22"/>
        </w:rPr>
        <w:t xml:space="preserve"> analytic</w:t>
      </w:r>
      <w:r w:rsidR="00EC2A12">
        <w:rPr>
          <w:rFonts w:ascii="Arial" w:hAnsi="Arial" w:cs="Arial"/>
          <w:b/>
          <w:bCs/>
          <w:sz w:val="22"/>
          <w:szCs w:val="22"/>
        </w:rPr>
        <w:t>al scoring</w:t>
      </w:r>
    </w:p>
    <w:tbl>
      <w:tblPr>
        <w:tblStyle w:val="PlainTable3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603"/>
        <w:gridCol w:w="1488"/>
        <w:gridCol w:w="1818"/>
        <w:gridCol w:w="1437"/>
        <w:gridCol w:w="1463"/>
      </w:tblGrid>
      <w:tr w:rsidR="005C0601" w:rsidRPr="005C0601" w14:paraId="78F5D19A" w14:textId="77777777" w:rsidTr="00A01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6" w:type="dxa"/>
            <w:tcBorders>
              <w:bottom w:val="none" w:sz="0" w:space="0" w:color="auto"/>
              <w:right w:val="none" w:sz="0" w:space="0" w:color="auto"/>
            </w:tcBorders>
            <w:noWrap/>
            <w:hideMark/>
          </w:tcPr>
          <w:p w14:paraId="10E85D21" w14:textId="36E17AD7" w:rsidR="001762A4" w:rsidRPr="00A01F11" w:rsidRDefault="001762A4" w:rsidP="00A01F1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</w:p>
        </w:tc>
        <w:tc>
          <w:tcPr>
            <w:tcW w:w="1603" w:type="dxa"/>
            <w:tcBorders>
              <w:bottom w:val="none" w:sz="0" w:space="0" w:color="auto"/>
            </w:tcBorders>
            <w:hideMark/>
          </w:tcPr>
          <w:p w14:paraId="3D496C84" w14:textId="5DF733E5" w:rsidR="001762A4" w:rsidRPr="00A01F11" w:rsidRDefault="005C0601" w:rsidP="005C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 xml:space="preserve">total score </w:t>
            </w:r>
          </w:p>
        </w:tc>
        <w:tc>
          <w:tcPr>
            <w:tcW w:w="1451" w:type="dxa"/>
            <w:tcBorders>
              <w:bottom w:val="none" w:sz="0" w:space="0" w:color="auto"/>
            </w:tcBorders>
            <w:hideMark/>
          </w:tcPr>
          <w:p w14:paraId="44D4E044" w14:textId="77777777" w:rsidR="001762A4" w:rsidRPr="00A01F11" w:rsidRDefault="001762A4" w:rsidP="005C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Eligibility</w:t>
            </w:r>
          </w:p>
        </w:tc>
        <w:tc>
          <w:tcPr>
            <w:tcW w:w="1818" w:type="dxa"/>
            <w:tcBorders>
              <w:bottom w:val="none" w:sz="0" w:space="0" w:color="auto"/>
            </w:tcBorders>
            <w:hideMark/>
          </w:tcPr>
          <w:p w14:paraId="35AC6227" w14:textId="77777777" w:rsidR="001762A4" w:rsidRPr="00A01F11" w:rsidRDefault="001762A4" w:rsidP="005C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Recruitment</w:t>
            </w:r>
          </w:p>
        </w:tc>
        <w:tc>
          <w:tcPr>
            <w:tcW w:w="1437" w:type="dxa"/>
            <w:tcBorders>
              <w:bottom w:val="none" w:sz="0" w:space="0" w:color="auto"/>
            </w:tcBorders>
            <w:hideMark/>
          </w:tcPr>
          <w:p w14:paraId="313E36A7" w14:textId="77777777" w:rsidR="001762A4" w:rsidRPr="00A01F11" w:rsidRDefault="001762A4" w:rsidP="005C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Study Arms</w:t>
            </w:r>
          </w:p>
        </w:tc>
        <w:tc>
          <w:tcPr>
            <w:tcW w:w="1451" w:type="dxa"/>
            <w:tcBorders>
              <w:bottom w:val="none" w:sz="0" w:space="0" w:color="auto"/>
            </w:tcBorders>
            <w:hideMark/>
          </w:tcPr>
          <w:p w14:paraId="3AC37F42" w14:textId="77777777" w:rsidR="001762A4" w:rsidRPr="00A01F11" w:rsidRDefault="001762A4" w:rsidP="005C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Outcome Measures</w:t>
            </w:r>
          </w:p>
        </w:tc>
      </w:tr>
      <w:tr w:rsidR="005C0601" w:rsidRPr="005C0601" w14:paraId="4AF44111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tcBorders>
              <w:right w:val="none" w:sz="0" w:space="0" w:color="auto"/>
            </w:tcBorders>
            <w:noWrap/>
            <w:hideMark/>
          </w:tcPr>
          <w:p w14:paraId="0976FDDB" w14:textId="77777777" w:rsidR="001762A4" w:rsidRPr="00A01F11" w:rsidRDefault="001762A4" w:rsidP="00A01F1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BLEU</w:t>
            </w:r>
          </w:p>
        </w:tc>
        <w:tc>
          <w:tcPr>
            <w:tcW w:w="1603" w:type="dxa"/>
            <w:noWrap/>
            <w:hideMark/>
          </w:tcPr>
          <w:p w14:paraId="34F5663E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0.04478295</w:t>
            </w:r>
          </w:p>
        </w:tc>
        <w:tc>
          <w:tcPr>
            <w:tcW w:w="1451" w:type="dxa"/>
            <w:noWrap/>
            <w:hideMark/>
          </w:tcPr>
          <w:p w14:paraId="45602E64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0.04132682</w:t>
            </w:r>
          </w:p>
        </w:tc>
        <w:tc>
          <w:tcPr>
            <w:tcW w:w="1818" w:type="dxa"/>
            <w:noWrap/>
            <w:hideMark/>
          </w:tcPr>
          <w:p w14:paraId="15E09250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0.25689486</w:t>
            </w:r>
          </w:p>
        </w:tc>
        <w:tc>
          <w:tcPr>
            <w:tcW w:w="1437" w:type="dxa"/>
            <w:noWrap/>
            <w:hideMark/>
          </w:tcPr>
          <w:p w14:paraId="6359D4B0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0.07282843</w:t>
            </w:r>
          </w:p>
        </w:tc>
        <w:tc>
          <w:tcPr>
            <w:tcW w:w="1451" w:type="dxa"/>
            <w:noWrap/>
            <w:hideMark/>
          </w:tcPr>
          <w:p w14:paraId="084144AC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0.0313343</w:t>
            </w:r>
          </w:p>
        </w:tc>
      </w:tr>
      <w:tr w:rsidR="005C0601" w:rsidRPr="005C0601" w14:paraId="7FC6FBD8" w14:textId="77777777" w:rsidTr="00A01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tcBorders>
              <w:right w:val="none" w:sz="0" w:space="0" w:color="auto"/>
            </w:tcBorders>
            <w:noWrap/>
            <w:hideMark/>
          </w:tcPr>
          <w:p w14:paraId="17710710" w14:textId="77777777" w:rsidR="001762A4" w:rsidRPr="00A01F11" w:rsidRDefault="001762A4" w:rsidP="00A01F1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ROUGE-L</w:t>
            </w:r>
          </w:p>
        </w:tc>
        <w:tc>
          <w:tcPr>
            <w:tcW w:w="1603" w:type="dxa"/>
            <w:noWrap/>
            <w:hideMark/>
          </w:tcPr>
          <w:p w14:paraId="6628BB24" w14:textId="77777777" w:rsidR="001762A4" w:rsidRPr="00A01F11" w:rsidRDefault="001762A4" w:rsidP="00A01F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0.19870998</w:t>
            </w:r>
          </w:p>
        </w:tc>
        <w:tc>
          <w:tcPr>
            <w:tcW w:w="1451" w:type="dxa"/>
            <w:noWrap/>
            <w:hideMark/>
          </w:tcPr>
          <w:p w14:paraId="43A0351C" w14:textId="77777777" w:rsidR="001762A4" w:rsidRPr="00A01F11" w:rsidRDefault="001762A4" w:rsidP="00A01F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0.18931406</w:t>
            </w:r>
          </w:p>
        </w:tc>
        <w:tc>
          <w:tcPr>
            <w:tcW w:w="1818" w:type="dxa"/>
            <w:noWrap/>
            <w:hideMark/>
          </w:tcPr>
          <w:p w14:paraId="742255A0" w14:textId="77777777" w:rsidR="001762A4" w:rsidRPr="00A01F11" w:rsidRDefault="001762A4" w:rsidP="00A01F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0.61798858</w:t>
            </w:r>
          </w:p>
        </w:tc>
        <w:tc>
          <w:tcPr>
            <w:tcW w:w="1437" w:type="dxa"/>
            <w:noWrap/>
            <w:hideMark/>
          </w:tcPr>
          <w:p w14:paraId="643BCEE3" w14:textId="77777777" w:rsidR="001762A4" w:rsidRPr="00A01F11" w:rsidRDefault="001762A4" w:rsidP="00A01F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0.28428445</w:t>
            </w:r>
          </w:p>
        </w:tc>
        <w:tc>
          <w:tcPr>
            <w:tcW w:w="1451" w:type="dxa"/>
            <w:noWrap/>
            <w:hideMark/>
          </w:tcPr>
          <w:p w14:paraId="657CCCBB" w14:textId="77777777" w:rsidR="001762A4" w:rsidRPr="00A01F11" w:rsidRDefault="001762A4" w:rsidP="00A01F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0.17543501</w:t>
            </w:r>
          </w:p>
        </w:tc>
      </w:tr>
      <w:tr w:rsidR="005C0601" w:rsidRPr="005C0601" w14:paraId="696ADE8D" w14:textId="77777777" w:rsidTr="00A01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tcBorders>
              <w:right w:val="none" w:sz="0" w:space="0" w:color="auto"/>
            </w:tcBorders>
            <w:noWrap/>
            <w:hideMark/>
          </w:tcPr>
          <w:p w14:paraId="0FB88C7A" w14:textId="03326E5D" w:rsidR="001762A4" w:rsidRPr="00A01F11" w:rsidRDefault="001762A4" w:rsidP="00A01F1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METEOR</w:t>
            </w:r>
          </w:p>
        </w:tc>
        <w:tc>
          <w:tcPr>
            <w:tcW w:w="1603" w:type="dxa"/>
            <w:noWrap/>
            <w:hideMark/>
          </w:tcPr>
          <w:p w14:paraId="35F1D34D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0.17572606</w:t>
            </w:r>
          </w:p>
        </w:tc>
        <w:tc>
          <w:tcPr>
            <w:tcW w:w="1451" w:type="dxa"/>
            <w:noWrap/>
            <w:hideMark/>
          </w:tcPr>
          <w:p w14:paraId="1944068B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0.19684976</w:t>
            </w:r>
          </w:p>
        </w:tc>
        <w:tc>
          <w:tcPr>
            <w:tcW w:w="1818" w:type="dxa"/>
            <w:noWrap/>
            <w:hideMark/>
          </w:tcPr>
          <w:p w14:paraId="61BBC69B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0.51055223</w:t>
            </w:r>
          </w:p>
        </w:tc>
        <w:tc>
          <w:tcPr>
            <w:tcW w:w="1437" w:type="dxa"/>
            <w:noWrap/>
            <w:hideMark/>
          </w:tcPr>
          <w:p w14:paraId="7BBF066A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0.27311108</w:t>
            </w:r>
          </w:p>
        </w:tc>
        <w:tc>
          <w:tcPr>
            <w:tcW w:w="1451" w:type="dxa"/>
            <w:noWrap/>
            <w:hideMark/>
          </w:tcPr>
          <w:p w14:paraId="6A66161A" w14:textId="77777777" w:rsidR="001762A4" w:rsidRPr="00A01F11" w:rsidRDefault="001762A4" w:rsidP="00A01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</w:pPr>
            <w:r w:rsidRPr="00A01F1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SG"/>
                <w14:ligatures w14:val="none"/>
              </w:rPr>
              <w:t>0.15082139</w:t>
            </w:r>
          </w:p>
        </w:tc>
      </w:tr>
    </w:tbl>
    <w:p w14:paraId="4A829425" w14:textId="2E6FA421" w:rsidR="001762A4" w:rsidRPr="002312EB" w:rsidRDefault="001762A4" w:rsidP="002312EB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1762A4" w:rsidRPr="002312EB" w:rsidSect="00E50078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D870" w14:textId="77777777" w:rsidR="00E50078" w:rsidRPr="00AA7A62" w:rsidRDefault="00E50078" w:rsidP="004C1FBF">
      <w:pPr>
        <w:spacing w:after="0" w:line="240" w:lineRule="auto"/>
      </w:pPr>
      <w:r w:rsidRPr="00AA7A62">
        <w:separator/>
      </w:r>
    </w:p>
  </w:endnote>
  <w:endnote w:type="continuationSeparator" w:id="0">
    <w:p w14:paraId="70E7797C" w14:textId="77777777" w:rsidR="00E50078" w:rsidRPr="00AA7A62" w:rsidRDefault="00E50078" w:rsidP="004C1FBF">
      <w:pPr>
        <w:spacing w:after="0" w:line="240" w:lineRule="auto"/>
      </w:pPr>
      <w:r w:rsidRPr="00AA7A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28695955"/>
      <w:docPartObj>
        <w:docPartGallery w:val="Page Numbers (Bottom of Page)"/>
        <w:docPartUnique/>
      </w:docPartObj>
    </w:sdtPr>
    <w:sdtContent>
      <w:p w14:paraId="2F4E3F13" w14:textId="2E7AA8DA" w:rsidR="005C0601" w:rsidRDefault="005C0601" w:rsidP="00F52A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2CF8B6" w14:textId="77777777" w:rsidR="005C0601" w:rsidRDefault="005C0601" w:rsidP="00A01F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43283137"/>
      <w:docPartObj>
        <w:docPartGallery w:val="Page Numbers (Bottom of Page)"/>
        <w:docPartUnique/>
      </w:docPartObj>
    </w:sdtPr>
    <w:sdtContent>
      <w:p w14:paraId="7633F7B4" w14:textId="604E3134" w:rsidR="005C0601" w:rsidRDefault="005C0601" w:rsidP="00F52A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EDC584A" w14:textId="77777777" w:rsidR="005C0601" w:rsidRDefault="005C0601" w:rsidP="00A01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CD91" w14:textId="77777777" w:rsidR="00E50078" w:rsidRPr="00AA7A62" w:rsidRDefault="00E50078" w:rsidP="004C1FBF">
      <w:pPr>
        <w:spacing w:after="0" w:line="240" w:lineRule="auto"/>
      </w:pPr>
      <w:r w:rsidRPr="00AA7A62">
        <w:separator/>
      </w:r>
    </w:p>
  </w:footnote>
  <w:footnote w:type="continuationSeparator" w:id="0">
    <w:p w14:paraId="2075F451" w14:textId="77777777" w:rsidR="00E50078" w:rsidRPr="00AA7A62" w:rsidRDefault="00E50078" w:rsidP="004C1FBF">
      <w:pPr>
        <w:spacing w:after="0" w:line="240" w:lineRule="auto"/>
      </w:pPr>
      <w:r w:rsidRPr="00AA7A6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pstfapssrdtmezzrkppv9vdvtpp0zv0ffv&quot;&gt;My EndNote Library&lt;record-ids&gt;&lt;item&gt;343&lt;/item&gt;&lt;item&gt;344&lt;/item&gt;&lt;item&gt;350&lt;/item&gt;&lt;item&gt;357&lt;/item&gt;&lt;item&gt;359&lt;/item&gt;&lt;item&gt;382&lt;/item&gt;&lt;item&gt;423&lt;/item&gt;&lt;item&gt;424&lt;/item&gt;&lt;item&gt;425&lt;/item&gt;&lt;item&gt;426&lt;/item&gt;&lt;item&gt;429&lt;/item&gt;&lt;item&gt;433&lt;/item&gt;&lt;item&gt;434&lt;/item&gt;&lt;item&gt;435&lt;/item&gt;&lt;item&gt;436&lt;/item&gt;&lt;item&gt;439&lt;/item&gt;&lt;item&gt;440&lt;/item&gt;&lt;item&gt;441&lt;/item&gt;&lt;item&gt;442&lt;/item&gt;&lt;item&gt;443&lt;/item&gt;&lt;item&gt;444&lt;/item&gt;&lt;item&gt;445&lt;/item&gt;&lt;item&gt;446&lt;/item&gt;&lt;item&gt;447&lt;/item&gt;&lt;item&gt;448&lt;/item&gt;&lt;item&gt;449&lt;/item&gt;&lt;item&gt;450&lt;/item&gt;&lt;item&gt;451&lt;/item&gt;&lt;item&gt;453&lt;/item&gt;&lt;item&gt;454&lt;/item&gt;&lt;item&gt;455&lt;/item&gt;&lt;/record-ids&gt;&lt;/item&gt;&lt;/Libraries&gt;"/>
  </w:docVars>
  <w:rsids>
    <w:rsidRoot w:val="004C1FBF"/>
    <w:rsid w:val="00000F85"/>
    <w:rsid w:val="00002294"/>
    <w:rsid w:val="00003533"/>
    <w:rsid w:val="00005C7B"/>
    <w:rsid w:val="000068FF"/>
    <w:rsid w:val="00006CF0"/>
    <w:rsid w:val="0000741F"/>
    <w:rsid w:val="00010ACF"/>
    <w:rsid w:val="00013386"/>
    <w:rsid w:val="00021D6B"/>
    <w:rsid w:val="00025560"/>
    <w:rsid w:val="0003022F"/>
    <w:rsid w:val="00035DA6"/>
    <w:rsid w:val="00037398"/>
    <w:rsid w:val="00040209"/>
    <w:rsid w:val="0004250A"/>
    <w:rsid w:val="00043EE1"/>
    <w:rsid w:val="00044B18"/>
    <w:rsid w:val="000452F3"/>
    <w:rsid w:val="00045351"/>
    <w:rsid w:val="00052914"/>
    <w:rsid w:val="00057B18"/>
    <w:rsid w:val="0006362A"/>
    <w:rsid w:val="00064C46"/>
    <w:rsid w:val="00065C95"/>
    <w:rsid w:val="0006778D"/>
    <w:rsid w:val="00073AB3"/>
    <w:rsid w:val="00076F10"/>
    <w:rsid w:val="00080D59"/>
    <w:rsid w:val="000861EC"/>
    <w:rsid w:val="0008755A"/>
    <w:rsid w:val="00091766"/>
    <w:rsid w:val="000918B4"/>
    <w:rsid w:val="00091A0D"/>
    <w:rsid w:val="00093C69"/>
    <w:rsid w:val="00097126"/>
    <w:rsid w:val="000A15F5"/>
    <w:rsid w:val="000A436E"/>
    <w:rsid w:val="000A75F6"/>
    <w:rsid w:val="000B0FFD"/>
    <w:rsid w:val="000B1DA3"/>
    <w:rsid w:val="000B588B"/>
    <w:rsid w:val="000B5C0A"/>
    <w:rsid w:val="000B7C49"/>
    <w:rsid w:val="000C1648"/>
    <w:rsid w:val="000C30FE"/>
    <w:rsid w:val="000C35E1"/>
    <w:rsid w:val="000C4E9E"/>
    <w:rsid w:val="000C53D6"/>
    <w:rsid w:val="000C59C5"/>
    <w:rsid w:val="000D2563"/>
    <w:rsid w:val="000E5EAC"/>
    <w:rsid w:val="000F0FA6"/>
    <w:rsid w:val="000F23AA"/>
    <w:rsid w:val="000F2F32"/>
    <w:rsid w:val="000F3093"/>
    <w:rsid w:val="000F51E0"/>
    <w:rsid w:val="000F5863"/>
    <w:rsid w:val="000F6A9E"/>
    <w:rsid w:val="000F7A59"/>
    <w:rsid w:val="00105C07"/>
    <w:rsid w:val="0010639F"/>
    <w:rsid w:val="00107900"/>
    <w:rsid w:val="0010797D"/>
    <w:rsid w:val="00112586"/>
    <w:rsid w:val="0011271C"/>
    <w:rsid w:val="0011337A"/>
    <w:rsid w:val="00116B2A"/>
    <w:rsid w:val="00122C02"/>
    <w:rsid w:val="001250A5"/>
    <w:rsid w:val="00125B2F"/>
    <w:rsid w:val="00127BAB"/>
    <w:rsid w:val="00133487"/>
    <w:rsid w:val="00133B3F"/>
    <w:rsid w:val="0013444B"/>
    <w:rsid w:val="00136C80"/>
    <w:rsid w:val="001379CF"/>
    <w:rsid w:val="00143248"/>
    <w:rsid w:val="001440E7"/>
    <w:rsid w:val="00145092"/>
    <w:rsid w:val="00150CB8"/>
    <w:rsid w:val="0015107D"/>
    <w:rsid w:val="00154DCE"/>
    <w:rsid w:val="00155CFF"/>
    <w:rsid w:val="00163E4D"/>
    <w:rsid w:val="00165EC2"/>
    <w:rsid w:val="001702FA"/>
    <w:rsid w:val="00173630"/>
    <w:rsid w:val="0017544A"/>
    <w:rsid w:val="00176216"/>
    <w:rsid w:val="001762A4"/>
    <w:rsid w:val="00177C37"/>
    <w:rsid w:val="00183EBF"/>
    <w:rsid w:val="00184E65"/>
    <w:rsid w:val="00184F8F"/>
    <w:rsid w:val="00185229"/>
    <w:rsid w:val="001930D3"/>
    <w:rsid w:val="0019478E"/>
    <w:rsid w:val="00197BC4"/>
    <w:rsid w:val="001A08E4"/>
    <w:rsid w:val="001A1CF7"/>
    <w:rsid w:val="001A3A95"/>
    <w:rsid w:val="001A5131"/>
    <w:rsid w:val="001A5AAE"/>
    <w:rsid w:val="001A7F67"/>
    <w:rsid w:val="001B1BB9"/>
    <w:rsid w:val="001B3F96"/>
    <w:rsid w:val="001B4F84"/>
    <w:rsid w:val="001B550A"/>
    <w:rsid w:val="001B5C82"/>
    <w:rsid w:val="001C2018"/>
    <w:rsid w:val="001C2A4E"/>
    <w:rsid w:val="001C42A6"/>
    <w:rsid w:val="001D086F"/>
    <w:rsid w:val="001D1AC4"/>
    <w:rsid w:val="001D38C8"/>
    <w:rsid w:val="001D6114"/>
    <w:rsid w:val="001D6787"/>
    <w:rsid w:val="001E4DA0"/>
    <w:rsid w:val="001E5540"/>
    <w:rsid w:val="001E55EB"/>
    <w:rsid w:val="001E65C3"/>
    <w:rsid w:val="001E6793"/>
    <w:rsid w:val="001F34C1"/>
    <w:rsid w:val="00200833"/>
    <w:rsid w:val="00200F7A"/>
    <w:rsid w:val="002033FD"/>
    <w:rsid w:val="0020434F"/>
    <w:rsid w:val="002078B3"/>
    <w:rsid w:val="00207EAB"/>
    <w:rsid w:val="0021015F"/>
    <w:rsid w:val="00210444"/>
    <w:rsid w:val="00210CB9"/>
    <w:rsid w:val="00212308"/>
    <w:rsid w:val="00215B0F"/>
    <w:rsid w:val="0021707E"/>
    <w:rsid w:val="00217F0C"/>
    <w:rsid w:val="00220405"/>
    <w:rsid w:val="00222615"/>
    <w:rsid w:val="00222FCD"/>
    <w:rsid w:val="00226FE8"/>
    <w:rsid w:val="002312EB"/>
    <w:rsid w:val="00231B6C"/>
    <w:rsid w:val="0023520D"/>
    <w:rsid w:val="002415D0"/>
    <w:rsid w:val="002436CE"/>
    <w:rsid w:val="00246C1A"/>
    <w:rsid w:val="00246FA9"/>
    <w:rsid w:val="00250FC8"/>
    <w:rsid w:val="002551B2"/>
    <w:rsid w:val="002613C3"/>
    <w:rsid w:val="00263D3F"/>
    <w:rsid w:val="00263E98"/>
    <w:rsid w:val="002662F0"/>
    <w:rsid w:val="002720B5"/>
    <w:rsid w:val="00272C18"/>
    <w:rsid w:val="00274B02"/>
    <w:rsid w:val="0028178C"/>
    <w:rsid w:val="002846C5"/>
    <w:rsid w:val="002851C0"/>
    <w:rsid w:val="00286BCD"/>
    <w:rsid w:val="002870E4"/>
    <w:rsid w:val="00290DA4"/>
    <w:rsid w:val="00291F54"/>
    <w:rsid w:val="0029599B"/>
    <w:rsid w:val="00297123"/>
    <w:rsid w:val="002A0E64"/>
    <w:rsid w:val="002A6A4A"/>
    <w:rsid w:val="002B02CC"/>
    <w:rsid w:val="002B07E9"/>
    <w:rsid w:val="002B5A1C"/>
    <w:rsid w:val="002B5FEF"/>
    <w:rsid w:val="002B690B"/>
    <w:rsid w:val="002B6C51"/>
    <w:rsid w:val="002C023F"/>
    <w:rsid w:val="002C4703"/>
    <w:rsid w:val="002C7D90"/>
    <w:rsid w:val="002D3D62"/>
    <w:rsid w:val="002D4D9C"/>
    <w:rsid w:val="002D5037"/>
    <w:rsid w:val="002D5EB8"/>
    <w:rsid w:val="002D75B8"/>
    <w:rsid w:val="002E20F2"/>
    <w:rsid w:val="002E4362"/>
    <w:rsid w:val="002F3FB6"/>
    <w:rsid w:val="002F68AD"/>
    <w:rsid w:val="00302CAA"/>
    <w:rsid w:val="003035C0"/>
    <w:rsid w:val="003104E9"/>
    <w:rsid w:val="00312EC3"/>
    <w:rsid w:val="003131EC"/>
    <w:rsid w:val="003144D6"/>
    <w:rsid w:val="00320434"/>
    <w:rsid w:val="00322E4B"/>
    <w:rsid w:val="003251C6"/>
    <w:rsid w:val="00325B6A"/>
    <w:rsid w:val="00327AA3"/>
    <w:rsid w:val="00327E03"/>
    <w:rsid w:val="00332390"/>
    <w:rsid w:val="0033429C"/>
    <w:rsid w:val="0033545F"/>
    <w:rsid w:val="00340BC0"/>
    <w:rsid w:val="003417EE"/>
    <w:rsid w:val="00345F26"/>
    <w:rsid w:val="00346492"/>
    <w:rsid w:val="00353A40"/>
    <w:rsid w:val="00360C89"/>
    <w:rsid w:val="00361332"/>
    <w:rsid w:val="00364875"/>
    <w:rsid w:val="003649A3"/>
    <w:rsid w:val="0036574D"/>
    <w:rsid w:val="00366794"/>
    <w:rsid w:val="003669AF"/>
    <w:rsid w:val="003731B6"/>
    <w:rsid w:val="00374DEB"/>
    <w:rsid w:val="00381A35"/>
    <w:rsid w:val="003826CF"/>
    <w:rsid w:val="003831A5"/>
    <w:rsid w:val="0039245E"/>
    <w:rsid w:val="00393806"/>
    <w:rsid w:val="00393F7A"/>
    <w:rsid w:val="00396B54"/>
    <w:rsid w:val="003972D2"/>
    <w:rsid w:val="003A0AC4"/>
    <w:rsid w:val="003B34B6"/>
    <w:rsid w:val="003B7EBA"/>
    <w:rsid w:val="003C5E6F"/>
    <w:rsid w:val="003C7A2F"/>
    <w:rsid w:val="003D04E3"/>
    <w:rsid w:val="003D0F33"/>
    <w:rsid w:val="003D1FD8"/>
    <w:rsid w:val="003D2097"/>
    <w:rsid w:val="003D297E"/>
    <w:rsid w:val="003D706D"/>
    <w:rsid w:val="003D7E16"/>
    <w:rsid w:val="003E5580"/>
    <w:rsid w:val="003E7119"/>
    <w:rsid w:val="003E7D7E"/>
    <w:rsid w:val="003F2C0D"/>
    <w:rsid w:val="003F620F"/>
    <w:rsid w:val="003F6952"/>
    <w:rsid w:val="00400867"/>
    <w:rsid w:val="00401F54"/>
    <w:rsid w:val="004051F9"/>
    <w:rsid w:val="00405562"/>
    <w:rsid w:val="00407ACC"/>
    <w:rsid w:val="00407CD4"/>
    <w:rsid w:val="004102FA"/>
    <w:rsid w:val="00416F75"/>
    <w:rsid w:val="0041736B"/>
    <w:rsid w:val="0042252F"/>
    <w:rsid w:val="00422A46"/>
    <w:rsid w:val="00427164"/>
    <w:rsid w:val="00434737"/>
    <w:rsid w:val="00434BED"/>
    <w:rsid w:val="00435A9A"/>
    <w:rsid w:val="00435B76"/>
    <w:rsid w:val="00435BE4"/>
    <w:rsid w:val="004371D0"/>
    <w:rsid w:val="004374AE"/>
    <w:rsid w:val="00442D3B"/>
    <w:rsid w:val="00443B1C"/>
    <w:rsid w:val="004470CD"/>
    <w:rsid w:val="00447DF8"/>
    <w:rsid w:val="00450077"/>
    <w:rsid w:val="00461D22"/>
    <w:rsid w:val="004638C8"/>
    <w:rsid w:val="00463957"/>
    <w:rsid w:val="00475694"/>
    <w:rsid w:val="00480436"/>
    <w:rsid w:val="00482593"/>
    <w:rsid w:val="00482B81"/>
    <w:rsid w:val="0048496A"/>
    <w:rsid w:val="0048519D"/>
    <w:rsid w:val="00485504"/>
    <w:rsid w:val="0049401C"/>
    <w:rsid w:val="004A04F6"/>
    <w:rsid w:val="004A1828"/>
    <w:rsid w:val="004A60D4"/>
    <w:rsid w:val="004A66BE"/>
    <w:rsid w:val="004B2309"/>
    <w:rsid w:val="004B6880"/>
    <w:rsid w:val="004B735B"/>
    <w:rsid w:val="004C1FBF"/>
    <w:rsid w:val="004C2884"/>
    <w:rsid w:val="004C28C3"/>
    <w:rsid w:val="004C4A85"/>
    <w:rsid w:val="004C6C98"/>
    <w:rsid w:val="004C7DCB"/>
    <w:rsid w:val="004D0565"/>
    <w:rsid w:val="004D2B49"/>
    <w:rsid w:val="004D4759"/>
    <w:rsid w:val="004D552C"/>
    <w:rsid w:val="004D68EB"/>
    <w:rsid w:val="004D6E7F"/>
    <w:rsid w:val="004D7E5B"/>
    <w:rsid w:val="004E1E03"/>
    <w:rsid w:val="004E2843"/>
    <w:rsid w:val="004E4DE1"/>
    <w:rsid w:val="004E5153"/>
    <w:rsid w:val="004E5FFE"/>
    <w:rsid w:val="004E730B"/>
    <w:rsid w:val="004E7311"/>
    <w:rsid w:val="004F4678"/>
    <w:rsid w:val="004F5908"/>
    <w:rsid w:val="004F699F"/>
    <w:rsid w:val="004F7D04"/>
    <w:rsid w:val="0050446A"/>
    <w:rsid w:val="005058A2"/>
    <w:rsid w:val="0050796F"/>
    <w:rsid w:val="00514401"/>
    <w:rsid w:val="00517EFE"/>
    <w:rsid w:val="005212B1"/>
    <w:rsid w:val="00523F01"/>
    <w:rsid w:val="0052408A"/>
    <w:rsid w:val="0053629A"/>
    <w:rsid w:val="0053633F"/>
    <w:rsid w:val="00536DD3"/>
    <w:rsid w:val="00540C4B"/>
    <w:rsid w:val="0054101A"/>
    <w:rsid w:val="00544B41"/>
    <w:rsid w:val="0054520E"/>
    <w:rsid w:val="0056001C"/>
    <w:rsid w:val="00561915"/>
    <w:rsid w:val="005626A2"/>
    <w:rsid w:val="00562D05"/>
    <w:rsid w:val="00563959"/>
    <w:rsid w:val="00564C80"/>
    <w:rsid w:val="00566281"/>
    <w:rsid w:val="00573939"/>
    <w:rsid w:val="005747DE"/>
    <w:rsid w:val="005758E2"/>
    <w:rsid w:val="00576392"/>
    <w:rsid w:val="0057696D"/>
    <w:rsid w:val="00577573"/>
    <w:rsid w:val="005804BB"/>
    <w:rsid w:val="005823AD"/>
    <w:rsid w:val="00582DD7"/>
    <w:rsid w:val="00582F16"/>
    <w:rsid w:val="00587518"/>
    <w:rsid w:val="0058770A"/>
    <w:rsid w:val="005925BB"/>
    <w:rsid w:val="005948C8"/>
    <w:rsid w:val="005A13A0"/>
    <w:rsid w:val="005A2592"/>
    <w:rsid w:val="005A2C79"/>
    <w:rsid w:val="005A3AFD"/>
    <w:rsid w:val="005B3CF8"/>
    <w:rsid w:val="005B4571"/>
    <w:rsid w:val="005B467C"/>
    <w:rsid w:val="005C0601"/>
    <w:rsid w:val="005C0CD2"/>
    <w:rsid w:val="005C1C4A"/>
    <w:rsid w:val="005C22A5"/>
    <w:rsid w:val="005C3D59"/>
    <w:rsid w:val="005C40C9"/>
    <w:rsid w:val="005D0A26"/>
    <w:rsid w:val="005E10A4"/>
    <w:rsid w:val="005E2E77"/>
    <w:rsid w:val="005E448F"/>
    <w:rsid w:val="005E6A3B"/>
    <w:rsid w:val="005F348F"/>
    <w:rsid w:val="00600006"/>
    <w:rsid w:val="006017E2"/>
    <w:rsid w:val="00602A09"/>
    <w:rsid w:val="00602CE0"/>
    <w:rsid w:val="00606362"/>
    <w:rsid w:val="0060786C"/>
    <w:rsid w:val="006101C4"/>
    <w:rsid w:val="00610F4E"/>
    <w:rsid w:val="00610F52"/>
    <w:rsid w:val="006126FF"/>
    <w:rsid w:val="00625485"/>
    <w:rsid w:val="0062595E"/>
    <w:rsid w:val="00626208"/>
    <w:rsid w:val="00630C59"/>
    <w:rsid w:val="00631654"/>
    <w:rsid w:val="006337ED"/>
    <w:rsid w:val="00635235"/>
    <w:rsid w:val="0064054E"/>
    <w:rsid w:val="006438AD"/>
    <w:rsid w:val="00643F34"/>
    <w:rsid w:val="0064441C"/>
    <w:rsid w:val="006459E2"/>
    <w:rsid w:val="00646985"/>
    <w:rsid w:val="00651399"/>
    <w:rsid w:val="00652036"/>
    <w:rsid w:val="00652778"/>
    <w:rsid w:val="006531E5"/>
    <w:rsid w:val="00656BCD"/>
    <w:rsid w:val="00656F9D"/>
    <w:rsid w:val="006576C0"/>
    <w:rsid w:val="0066190B"/>
    <w:rsid w:val="00662295"/>
    <w:rsid w:val="00663EE8"/>
    <w:rsid w:val="00664223"/>
    <w:rsid w:val="0066588B"/>
    <w:rsid w:val="00665ABA"/>
    <w:rsid w:val="0067073D"/>
    <w:rsid w:val="006715B1"/>
    <w:rsid w:val="00671A01"/>
    <w:rsid w:val="006727D4"/>
    <w:rsid w:val="006743BC"/>
    <w:rsid w:val="00674AA6"/>
    <w:rsid w:val="00674C72"/>
    <w:rsid w:val="006768A3"/>
    <w:rsid w:val="006821DF"/>
    <w:rsid w:val="00682393"/>
    <w:rsid w:val="00682FCD"/>
    <w:rsid w:val="0068340B"/>
    <w:rsid w:val="0068683C"/>
    <w:rsid w:val="00686A77"/>
    <w:rsid w:val="00687ECC"/>
    <w:rsid w:val="00694740"/>
    <w:rsid w:val="00694B71"/>
    <w:rsid w:val="00696A0F"/>
    <w:rsid w:val="00697221"/>
    <w:rsid w:val="006A144D"/>
    <w:rsid w:val="006A216B"/>
    <w:rsid w:val="006A5AA2"/>
    <w:rsid w:val="006A6980"/>
    <w:rsid w:val="006A7365"/>
    <w:rsid w:val="006A78E0"/>
    <w:rsid w:val="006B1BD0"/>
    <w:rsid w:val="006B314E"/>
    <w:rsid w:val="006B349D"/>
    <w:rsid w:val="006B37C5"/>
    <w:rsid w:val="006C3861"/>
    <w:rsid w:val="006C6602"/>
    <w:rsid w:val="006C764A"/>
    <w:rsid w:val="006C7C8D"/>
    <w:rsid w:val="006D246D"/>
    <w:rsid w:val="006D5671"/>
    <w:rsid w:val="006D7245"/>
    <w:rsid w:val="006E25C2"/>
    <w:rsid w:val="006E2E50"/>
    <w:rsid w:val="006E3C58"/>
    <w:rsid w:val="006E72D4"/>
    <w:rsid w:val="006F07E6"/>
    <w:rsid w:val="006F15FB"/>
    <w:rsid w:val="006F2425"/>
    <w:rsid w:val="006F3BD5"/>
    <w:rsid w:val="006F4A3B"/>
    <w:rsid w:val="00705B7D"/>
    <w:rsid w:val="007079DB"/>
    <w:rsid w:val="00720516"/>
    <w:rsid w:val="00720C29"/>
    <w:rsid w:val="0072304F"/>
    <w:rsid w:val="00725676"/>
    <w:rsid w:val="007266BE"/>
    <w:rsid w:val="0072686A"/>
    <w:rsid w:val="00727782"/>
    <w:rsid w:val="00730C8E"/>
    <w:rsid w:val="00730EA3"/>
    <w:rsid w:val="00731A6D"/>
    <w:rsid w:val="00733711"/>
    <w:rsid w:val="00733880"/>
    <w:rsid w:val="0073552F"/>
    <w:rsid w:val="00740AF2"/>
    <w:rsid w:val="00740D70"/>
    <w:rsid w:val="007433D1"/>
    <w:rsid w:val="00743B20"/>
    <w:rsid w:val="007462B3"/>
    <w:rsid w:val="007466F0"/>
    <w:rsid w:val="00752541"/>
    <w:rsid w:val="007544B1"/>
    <w:rsid w:val="00756154"/>
    <w:rsid w:val="00763323"/>
    <w:rsid w:val="0077230B"/>
    <w:rsid w:val="00772317"/>
    <w:rsid w:val="00774062"/>
    <w:rsid w:val="00775BDC"/>
    <w:rsid w:val="0077617E"/>
    <w:rsid w:val="00776C47"/>
    <w:rsid w:val="00783CCE"/>
    <w:rsid w:val="00785680"/>
    <w:rsid w:val="00786101"/>
    <w:rsid w:val="0078775E"/>
    <w:rsid w:val="007900E0"/>
    <w:rsid w:val="007942A8"/>
    <w:rsid w:val="007A0B0D"/>
    <w:rsid w:val="007A4C94"/>
    <w:rsid w:val="007A5554"/>
    <w:rsid w:val="007B0146"/>
    <w:rsid w:val="007B3A95"/>
    <w:rsid w:val="007B3BDE"/>
    <w:rsid w:val="007B6E64"/>
    <w:rsid w:val="007B7813"/>
    <w:rsid w:val="007B7B37"/>
    <w:rsid w:val="007C3929"/>
    <w:rsid w:val="007C4ED1"/>
    <w:rsid w:val="007C7464"/>
    <w:rsid w:val="007D335C"/>
    <w:rsid w:val="007D6E6B"/>
    <w:rsid w:val="007E0AE2"/>
    <w:rsid w:val="007F0E3E"/>
    <w:rsid w:val="007F17AF"/>
    <w:rsid w:val="007F68DD"/>
    <w:rsid w:val="00800CD9"/>
    <w:rsid w:val="00803577"/>
    <w:rsid w:val="00804D45"/>
    <w:rsid w:val="00810DFD"/>
    <w:rsid w:val="0081119B"/>
    <w:rsid w:val="008114CE"/>
    <w:rsid w:val="00812988"/>
    <w:rsid w:val="0081588B"/>
    <w:rsid w:val="008172B5"/>
    <w:rsid w:val="00817E17"/>
    <w:rsid w:val="00821005"/>
    <w:rsid w:val="00822F2D"/>
    <w:rsid w:val="00824CA2"/>
    <w:rsid w:val="00826B12"/>
    <w:rsid w:val="0083706C"/>
    <w:rsid w:val="00841BFC"/>
    <w:rsid w:val="008431B5"/>
    <w:rsid w:val="008453D9"/>
    <w:rsid w:val="00852309"/>
    <w:rsid w:val="00855436"/>
    <w:rsid w:val="00855FD3"/>
    <w:rsid w:val="00860C8E"/>
    <w:rsid w:val="008615D0"/>
    <w:rsid w:val="0086421A"/>
    <w:rsid w:val="0087070D"/>
    <w:rsid w:val="00870A7D"/>
    <w:rsid w:val="00873331"/>
    <w:rsid w:val="00881242"/>
    <w:rsid w:val="008835D2"/>
    <w:rsid w:val="00885052"/>
    <w:rsid w:val="00886865"/>
    <w:rsid w:val="00887D25"/>
    <w:rsid w:val="008900A9"/>
    <w:rsid w:val="0089088B"/>
    <w:rsid w:val="008915B1"/>
    <w:rsid w:val="0089311B"/>
    <w:rsid w:val="008A3916"/>
    <w:rsid w:val="008A736A"/>
    <w:rsid w:val="008A73CE"/>
    <w:rsid w:val="008C0396"/>
    <w:rsid w:val="008C1A51"/>
    <w:rsid w:val="008C1E94"/>
    <w:rsid w:val="008C2A81"/>
    <w:rsid w:val="008C5C43"/>
    <w:rsid w:val="008C6EA2"/>
    <w:rsid w:val="008D34A9"/>
    <w:rsid w:val="008D3F36"/>
    <w:rsid w:val="008D636C"/>
    <w:rsid w:val="008D6FF1"/>
    <w:rsid w:val="008D7E6D"/>
    <w:rsid w:val="008E41E7"/>
    <w:rsid w:val="008F3691"/>
    <w:rsid w:val="008F4F93"/>
    <w:rsid w:val="009037F8"/>
    <w:rsid w:val="00903915"/>
    <w:rsid w:val="009063D5"/>
    <w:rsid w:val="009125BE"/>
    <w:rsid w:val="00915981"/>
    <w:rsid w:val="009174D2"/>
    <w:rsid w:val="00921177"/>
    <w:rsid w:val="00924F2A"/>
    <w:rsid w:val="00926376"/>
    <w:rsid w:val="00926595"/>
    <w:rsid w:val="0093149B"/>
    <w:rsid w:val="00931773"/>
    <w:rsid w:val="009319C1"/>
    <w:rsid w:val="009322DC"/>
    <w:rsid w:val="00933D62"/>
    <w:rsid w:val="00934644"/>
    <w:rsid w:val="009356E8"/>
    <w:rsid w:val="009359FE"/>
    <w:rsid w:val="00935C50"/>
    <w:rsid w:val="009361BE"/>
    <w:rsid w:val="0094062D"/>
    <w:rsid w:val="00941739"/>
    <w:rsid w:val="0094269A"/>
    <w:rsid w:val="00943323"/>
    <w:rsid w:val="009439BD"/>
    <w:rsid w:val="00944871"/>
    <w:rsid w:val="0095013A"/>
    <w:rsid w:val="009516E0"/>
    <w:rsid w:val="009537D2"/>
    <w:rsid w:val="00953FD5"/>
    <w:rsid w:val="0095728C"/>
    <w:rsid w:val="009630AC"/>
    <w:rsid w:val="00963833"/>
    <w:rsid w:val="00971731"/>
    <w:rsid w:val="00972A0A"/>
    <w:rsid w:val="009733F3"/>
    <w:rsid w:val="00975938"/>
    <w:rsid w:val="0097722F"/>
    <w:rsid w:val="009822EC"/>
    <w:rsid w:val="0098415D"/>
    <w:rsid w:val="009854D3"/>
    <w:rsid w:val="009B39F9"/>
    <w:rsid w:val="009B7747"/>
    <w:rsid w:val="009C071A"/>
    <w:rsid w:val="009C6485"/>
    <w:rsid w:val="009C74FC"/>
    <w:rsid w:val="009D124B"/>
    <w:rsid w:val="009D368B"/>
    <w:rsid w:val="009D4B60"/>
    <w:rsid w:val="009D79DD"/>
    <w:rsid w:val="009E0B46"/>
    <w:rsid w:val="009E4087"/>
    <w:rsid w:val="009E4531"/>
    <w:rsid w:val="009E7371"/>
    <w:rsid w:val="009F0BF0"/>
    <w:rsid w:val="009F5D83"/>
    <w:rsid w:val="009F73FD"/>
    <w:rsid w:val="009F741A"/>
    <w:rsid w:val="00A01F11"/>
    <w:rsid w:val="00A02036"/>
    <w:rsid w:val="00A10A98"/>
    <w:rsid w:val="00A134E4"/>
    <w:rsid w:val="00A146A1"/>
    <w:rsid w:val="00A239B6"/>
    <w:rsid w:val="00A24EC9"/>
    <w:rsid w:val="00A256CA"/>
    <w:rsid w:val="00A25FB0"/>
    <w:rsid w:val="00A301B7"/>
    <w:rsid w:val="00A30D2F"/>
    <w:rsid w:val="00A36EBB"/>
    <w:rsid w:val="00A50E58"/>
    <w:rsid w:val="00A5620C"/>
    <w:rsid w:val="00A618EC"/>
    <w:rsid w:val="00A61D9A"/>
    <w:rsid w:val="00A6413B"/>
    <w:rsid w:val="00A66A2E"/>
    <w:rsid w:val="00A720B3"/>
    <w:rsid w:val="00A73D55"/>
    <w:rsid w:val="00A75010"/>
    <w:rsid w:val="00A767F9"/>
    <w:rsid w:val="00A8279A"/>
    <w:rsid w:val="00A82C1A"/>
    <w:rsid w:val="00A86BB3"/>
    <w:rsid w:val="00A92A4D"/>
    <w:rsid w:val="00A93460"/>
    <w:rsid w:val="00A9523C"/>
    <w:rsid w:val="00A97CA1"/>
    <w:rsid w:val="00AA02FB"/>
    <w:rsid w:val="00AA079D"/>
    <w:rsid w:val="00AA1358"/>
    <w:rsid w:val="00AA3EE6"/>
    <w:rsid w:val="00AA4FE7"/>
    <w:rsid w:val="00AA706E"/>
    <w:rsid w:val="00AA7A62"/>
    <w:rsid w:val="00AB0A5A"/>
    <w:rsid w:val="00AB19D5"/>
    <w:rsid w:val="00AB47C8"/>
    <w:rsid w:val="00AB4F79"/>
    <w:rsid w:val="00AB6BE7"/>
    <w:rsid w:val="00AC1901"/>
    <w:rsid w:val="00AC1EC7"/>
    <w:rsid w:val="00AC671B"/>
    <w:rsid w:val="00AD25B5"/>
    <w:rsid w:val="00AD5620"/>
    <w:rsid w:val="00AE5E33"/>
    <w:rsid w:val="00AE6FAB"/>
    <w:rsid w:val="00AF0173"/>
    <w:rsid w:val="00AF250D"/>
    <w:rsid w:val="00AF26F1"/>
    <w:rsid w:val="00B00A22"/>
    <w:rsid w:val="00B01141"/>
    <w:rsid w:val="00B01B46"/>
    <w:rsid w:val="00B02CFD"/>
    <w:rsid w:val="00B06667"/>
    <w:rsid w:val="00B06843"/>
    <w:rsid w:val="00B07FA1"/>
    <w:rsid w:val="00B102F1"/>
    <w:rsid w:val="00B10F7B"/>
    <w:rsid w:val="00B11CC9"/>
    <w:rsid w:val="00B120B8"/>
    <w:rsid w:val="00B16E7A"/>
    <w:rsid w:val="00B21A71"/>
    <w:rsid w:val="00B235F5"/>
    <w:rsid w:val="00B27651"/>
    <w:rsid w:val="00B336A9"/>
    <w:rsid w:val="00B352DC"/>
    <w:rsid w:val="00B35F01"/>
    <w:rsid w:val="00B37DE0"/>
    <w:rsid w:val="00B4347F"/>
    <w:rsid w:val="00B44092"/>
    <w:rsid w:val="00B45BB1"/>
    <w:rsid w:val="00B50661"/>
    <w:rsid w:val="00B5107C"/>
    <w:rsid w:val="00B514F1"/>
    <w:rsid w:val="00B523FB"/>
    <w:rsid w:val="00B54B59"/>
    <w:rsid w:val="00B5503E"/>
    <w:rsid w:val="00B55352"/>
    <w:rsid w:val="00B61796"/>
    <w:rsid w:val="00B6246D"/>
    <w:rsid w:val="00B63396"/>
    <w:rsid w:val="00B645AB"/>
    <w:rsid w:val="00B64993"/>
    <w:rsid w:val="00B64EBB"/>
    <w:rsid w:val="00B666B3"/>
    <w:rsid w:val="00B674A7"/>
    <w:rsid w:val="00B677FB"/>
    <w:rsid w:val="00B76451"/>
    <w:rsid w:val="00B82128"/>
    <w:rsid w:val="00B851E4"/>
    <w:rsid w:val="00B86CF3"/>
    <w:rsid w:val="00B87EE2"/>
    <w:rsid w:val="00B90464"/>
    <w:rsid w:val="00B905A0"/>
    <w:rsid w:val="00B90FD4"/>
    <w:rsid w:val="00B91180"/>
    <w:rsid w:val="00B93417"/>
    <w:rsid w:val="00B94735"/>
    <w:rsid w:val="00B97954"/>
    <w:rsid w:val="00BA2757"/>
    <w:rsid w:val="00BA58A1"/>
    <w:rsid w:val="00BB5A68"/>
    <w:rsid w:val="00BB7D2B"/>
    <w:rsid w:val="00BC0E9F"/>
    <w:rsid w:val="00BC1F92"/>
    <w:rsid w:val="00BC28F2"/>
    <w:rsid w:val="00BC3795"/>
    <w:rsid w:val="00BC4006"/>
    <w:rsid w:val="00BC584C"/>
    <w:rsid w:val="00BD3A4D"/>
    <w:rsid w:val="00BD6D5C"/>
    <w:rsid w:val="00BD7046"/>
    <w:rsid w:val="00BD749E"/>
    <w:rsid w:val="00BE3474"/>
    <w:rsid w:val="00BE37E1"/>
    <w:rsid w:val="00BE6855"/>
    <w:rsid w:val="00BF10D6"/>
    <w:rsid w:val="00C00901"/>
    <w:rsid w:val="00C0514C"/>
    <w:rsid w:val="00C06D86"/>
    <w:rsid w:val="00C0781C"/>
    <w:rsid w:val="00C11195"/>
    <w:rsid w:val="00C1131D"/>
    <w:rsid w:val="00C12482"/>
    <w:rsid w:val="00C12C77"/>
    <w:rsid w:val="00C14187"/>
    <w:rsid w:val="00C1592D"/>
    <w:rsid w:val="00C31521"/>
    <w:rsid w:val="00C34251"/>
    <w:rsid w:val="00C3753D"/>
    <w:rsid w:val="00C42018"/>
    <w:rsid w:val="00C435E5"/>
    <w:rsid w:val="00C44B8C"/>
    <w:rsid w:val="00C44FF3"/>
    <w:rsid w:val="00C5129A"/>
    <w:rsid w:val="00C520A3"/>
    <w:rsid w:val="00C538A2"/>
    <w:rsid w:val="00C54450"/>
    <w:rsid w:val="00C55F11"/>
    <w:rsid w:val="00C56AC5"/>
    <w:rsid w:val="00C56E5D"/>
    <w:rsid w:val="00C57630"/>
    <w:rsid w:val="00C678F3"/>
    <w:rsid w:val="00C723AA"/>
    <w:rsid w:val="00C7530A"/>
    <w:rsid w:val="00C76A16"/>
    <w:rsid w:val="00C805B3"/>
    <w:rsid w:val="00C83C0B"/>
    <w:rsid w:val="00C8410C"/>
    <w:rsid w:val="00C8575F"/>
    <w:rsid w:val="00C86B9F"/>
    <w:rsid w:val="00C9029E"/>
    <w:rsid w:val="00C97851"/>
    <w:rsid w:val="00CA3CA0"/>
    <w:rsid w:val="00CA3F18"/>
    <w:rsid w:val="00CA5C1E"/>
    <w:rsid w:val="00CB5F94"/>
    <w:rsid w:val="00CB7D38"/>
    <w:rsid w:val="00CC0635"/>
    <w:rsid w:val="00CC282C"/>
    <w:rsid w:val="00CC64F6"/>
    <w:rsid w:val="00CC772B"/>
    <w:rsid w:val="00CD0D08"/>
    <w:rsid w:val="00CD4CC9"/>
    <w:rsid w:val="00CD7B82"/>
    <w:rsid w:val="00CE1616"/>
    <w:rsid w:val="00CE4FEA"/>
    <w:rsid w:val="00CE6720"/>
    <w:rsid w:val="00CE77C8"/>
    <w:rsid w:val="00CF2C46"/>
    <w:rsid w:val="00CF7BDF"/>
    <w:rsid w:val="00D00AC8"/>
    <w:rsid w:val="00D00F66"/>
    <w:rsid w:val="00D01608"/>
    <w:rsid w:val="00D02D7E"/>
    <w:rsid w:val="00D0425A"/>
    <w:rsid w:val="00D120F4"/>
    <w:rsid w:val="00D1441E"/>
    <w:rsid w:val="00D17D97"/>
    <w:rsid w:val="00D21743"/>
    <w:rsid w:val="00D21EB5"/>
    <w:rsid w:val="00D22030"/>
    <w:rsid w:val="00D224E5"/>
    <w:rsid w:val="00D264EE"/>
    <w:rsid w:val="00D30849"/>
    <w:rsid w:val="00D321E7"/>
    <w:rsid w:val="00D364E0"/>
    <w:rsid w:val="00D41FB6"/>
    <w:rsid w:val="00D43D4E"/>
    <w:rsid w:val="00D44B4C"/>
    <w:rsid w:val="00D45C56"/>
    <w:rsid w:val="00D46BF1"/>
    <w:rsid w:val="00D46D1C"/>
    <w:rsid w:val="00D51E5A"/>
    <w:rsid w:val="00D53D91"/>
    <w:rsid w:val="00D60D12"/>
    <w:rsid w:val="00D622DF"/>
    <w:rsid w:val="00D62924"/>
    <w:rsid w:val="00D63399"/>
    <w:rsid w:val="00D647EF"/>
    <w:rsid w:val="00D64ECC"/>
    <w:rsid w:val="00D72DFA"/>
    <w:rsid w:val="00D75A06"/>
    <w:rsid w:val="00D75CB7"/>
    <w:rsid w:val="00D77A5E"/>
    <w:rsid w:val="00D77D58"/>
    <w:rsid w:val="00D80F7B"/>
    <w:rsid w:val="00D83168"/>
    <w:rsid w:val="00D83FD5"/>
    <w:rsid w:val="00D90990"/>
    <w:rsid w:val="00D90D7B"/>
    <w:rsid w:val="00D91F77"/>
    <w:rsid w:val="00D921E5"/>
    <w:rsid w:val="00D93DDB"/>
    <w:rsid w:val="00D9588B"/>
    <w:rsid w:val="00DA2875"/>
    <w:rsid w:val="00DA5200"/>
    <w:rsid w:val="00DA6317"/>
    <w:rsid w:val="00DB109A"/>
    <w:rsid w:val="00DB1B40"/>
    <w:rsid w:val="00DB3B02"/>
    <w:rsid w:val="00DB4618"/>
    <w:rsid w:val="00DB46B7"/>
    <w:rsid w:val="00DB6618"/>
    <w:rsid w:val="00DB7B57"/>
    <w:rsid w:val="00DC05E1"/>
    <w:rsid w:val="00DC21DB"/>
    <w:rsid w:val="00DC2645"/>
    <w:rsid w:val="00DC2D7B"/>
    <w:rsid w:val="00DC55D3"/>
    <w:rsid w:val="00DC5963"/>
    <w:rsid w:val="00DC60DD"/>
    <w:rsid w:val="00DD7E10"/>
    <w:rsid w:val="00DE03E2"/>
    <w:rsid w:val="00DE1BF2"/>
    <w:rsid w:val="00DE43B5"/>
    <w:rsid w:val="00DF7C85"/>
    <w:rsid w:val="00E01809"/>
    <w:rsid w:val="00E07B03"/>
    <w:rsid w:val="00E10753"/>
    <w:rsid w:val="00E10E91"/>
    <w:rsid w:val="00E11DEA"/>
    <w:rsid w:val="00E14939"/>
    <w:rsid w:val="00E163FB"/>
    <w:rsid w:val="00E21978"/>
    <w:rsid w:val="00E22573"/>
    <w:rsid w:val="00E231A1"/>
    <w:rsid w:val="00E26BD1"/>
    <w:rsid w:val="00E27ED5"/>
    <w:rsid w:val="00E33419"/>
    <w:rsid w:val="00E33A94"/>
    <w:rsid w:val="00E33DD0"/>
    <w:rsid w:val="00E34E7F"/>
    <w:rsid w:val="00E3705A"/>
    <w:rsid w:val="00E3734F"/>
    <w:rsid w:val="00E41725"/>
    <w:rsid w:val="00E43736"/>
    <w:rsid w:val="00E47C54"/>
    <w:rsid w:val="00E50078"/>
    <w:rsid w:val="00E50A14"/>
    <w:rsid w:val="00E51C53"/>
    <w:rsid w:val="00E52632"/>
    <w:rsid w:val="00E5308E"/>
    <w:rsid w:val="00E61853"/>
    <w:rsid w:val="00E63C1B"/>
    <w:rsid w:val="00E65C15"/>
    <w:rsid w:val="00E66ADE"/>
    <w:rsid w:val="00E7272D"/>
    <w:rsid w:val="00E72DD9"/>
    <w:rsid w:val="00E824BC"/>
    <w:rsid w:val="00E83140"/>
    <w:rsid w:val="00E84801"/>
    <w:rsid w:val="00E94F27"/>
    <w:rsid w:val="00E96137"/>
    <w:rsid w:val="00EA0366"/>
    <w:rsid w:val="00EA03A7"/>
    <w:rsid w:val="00EA286D"/>
    <w:rsid w:val="00EA2DA6"/>
    <w:rsid w:val="00EA3F81"/>
    <w:rsid w:val="00EA5717"/>
    <w:rsid w:val="00EA597A"/>
    <w:rsid w:val="00EA6111"/>
    <w:rsid w:val="00EA72B5"/>
    <w:rsid w:val="00EB035D"/>
    <w:rsid w:val="00EB1441"/>
    <w:rsid w:val="00EB5C23"/>
    <w:rsid w:val="00EC0952"/>
    <w:rsid w:val="00EC2088"/>
    <w:rsid w:val="00EC2A12"/>
    <w:rsid w:val="00ED43B5"/>
    <w:rsid w:val="00EE1035"/>
    <w:rsid w:val="00EE2C7B"/>
    <w:rsid w:val="00EE744D"/>
    <w:rsid w:val="00EE7FEB"/>
    <w:rsid w:val="00EF0909"/>
    <w:rsid w:val="00EF1897"/>
    <w:rsid w:val="00F00B1B"/>
    <w:rsid w:val="00F016B4"/>
    <w:rsid w:val="00F01832"/>
    <w:rsid w:val="00F0204F"/>
    <w:rsid w:val="00F02520"/>
    <w:rsid w:val="00F2356B"/>
    <w:rsid w:val="00F31AA4"/>
    <w:rsid w:val="00F327B9"/>
    <w:rsid w:val="00F33887"/>
    <w:rsid w:val="00F356DE"/>
    <w:rsid w:val="00F36196"/>
    <w:rsid w:val="00F374B3"/>
    <w:rsid w:val="00F37C0C"/>
    <w:rsid w:val="00F43867"/>
    <w:rsid w:val="00F465C3"/>
    <w:rsid w:val="00F50208"/>
    <w:rsid w:val="00F52B71"/>
    <w:rsid w:val="00F54506"/>
    <w:rsid w:val="00F6433B"/>
    <w:rsid w:val="00F64E82"/>
    <w:rsid w:val="00F666BC"/>
    <w:rsid w:val="00F702D4"/>
    <w:rsid w:val="00F72229"/>
    <w:rsid w:val="00F726A8"/>
    <w:rsid w:val="00F73013"/>
    <w:rsid w:val="00F73FA3"/>
    <w:rsid w:val="00F77DC2"/>
    <w:rsid w:val="00F82C81"/>
    <w:rsid w:val="00F849AC"/>
    <w:rsid w:val="00F850E0"/>
    <w:rsid w:val="00F91C62"/>
    <w:rsid w:val="00F96D1C"/>
    <w:rsid w:val="00FA158A"/>
    <w:rsid w:val="00FA1692"/>
    <w:rsid w:val="00FA2878"/>
    <w:rsid w:val="00FA3B81"/>
    <w:rsid w:val="00FA3C19"/>
    <w:rsid w:val="00FA6C08"/>
    <w:rsid w:val="00FB1265"/>
    <w:rsid w:val="00FB25B9"/>
    <w:rsid w:val="00FB33AF"/>
    <w:rsid w:val="00FB382B"/>
    <w:rsid w:val="00FB3A99"/>
    <w:rsid w:val="00FB4E43"/>
    <w:rsid w:val="00FB5767"/>
    <w:rsid w:val="00FB5AC2"/>
    <w:rsid w:val="00FC14B3"/>
    <w:rsid w:val="00FC2F16"/>
    <w:rsid w:val="00FC6DB1"/>
    <w:rsid w:val="00FD241C"/>
    <w:rsid w:val="00FD4312"/>
    <w:rsid w:val="00FD5EC0"/>
    <w:rsid w:val="00FD6108"/>
    <w:rsid w:val="00FD6A58"/>
    <w:rsid w:val="00FE21D0"/>
    <w:rsid w:val="00FE2FC5"/>
    <w:rsid w:val="00FE4527"/>
    <w:rsid w:val="00FE56AA"/>
    <w:rsid w:val="00FE7CF3"/>
    <w:rsid w:val="00FF0877"/>
    <w:rsid w:val="00FF3B70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90AF8"/>
  <w15:chartTrackingRefBased/>
  <w15:docId w15:val="{B50402B2-FC5A-D149-9668-34AD609E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F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C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FBF"/>
  </w:style>
  <w:style w:type="paragraph" w:styleId="Footer">
    <w:name w:val="footer"/>
    <w:basedOn w:val="Normal"/>
    <w:link w:val="FooterChar"/>
    <w:uiPriority w:val="99"/>
    <w:unhideWhenUsed/>
    <w:rsid w:val="004C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FBF"/>
  </w:style>
  <w:style w:type="paragraph" w:customStyle="1" w:styleId="EndNoteBibliographyTitle">
    <w:name w:val="EndNote Bibliography Title"/>
    <w:basedOn w:val="Normal"/>
    <w:link w:val="EndNoteBibliographyTitleChar"/>
    <w:rsid w:val="00150CB8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0CB8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50CB8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50CB8"/>
    <w:rPr>
      <w:rFonts w:ascii="Aptos" w:hAnsi="Aptos"/>
      <w:noProof/>
      <w:lang w:val="en-US"/>
    </w:rPr>
  </w:style>
  <w:style w:type="paragraph" w:styleId="Revision">
    <w:name w:val="Revision"/>
    <w:hidden/>
    <w:uiPriority w:val="99"/>
    <w:semiHidden/>
    <w:rsid w:val="001C2A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0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2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6C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C08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7466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7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762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1762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">
    <w:name w:val="Grid Table 2"/>
    <w:basedOn w:val="TableNormal"/>
    <w:uiPriority w:val="47"/>
    <w:rsid w:val="009C64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5C06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">
    <w:name w:val="Grid Table 5 Dark"/>
    <w:basedOn w:val="TableNormal"/>
    <w:uiPriority w:val="50"/>
    <w:rsid w:val="005C06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7Colorful">
    <w:name w:val="Grid Table 7 Colorful"/>
    <w:basedOn w:val="TableNormal"/>
    <w:uiPriority w:val="52"/>
    <w:rsid w:val="005C06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">
    <w:name w:val="Grid Table 4"/>
    <w:basedOn w:val="TableNormal"/>
    <w:uiPriority w:val="49"/>
    <w:rsid w:val="005C06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4">
    <w:name w:val="Grid Table 5 Dark Accent 4"/>
    <w:basedOn w:val="TableNormal"/>
    <w:uiPriority w:val="50"/>
    <w:rsid w:val="005C06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5C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A229D4-2CCC-3249-9256-E879C495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Liyuan</dc:creator>
  <cp:keywords/>
  <dc:description/>
  <cp:lastModifiedBy>Poonam Mutha</cp:lastModifiedBy>
  <cp:revision>10</cp:revision>
  <dcterms:created xsi:type="dcterms:W3CDTF">2024-04-11T16:08:00Z</dcterms:created>
  <dcterms:modified xsi:type="dcterms:W3CDTF">2024-04-22T04:27:00Z</dcterms:modified>
</cp:coreProperties>
</file>